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三亚市2020年医疗保障脱贫攻坚</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工作实施方案</w:t>
      </w:r>
    </w:p>
    <w:p>
      <w:pPr>
        <w:rPr>
          <w:rFonts w:hint="eastAsia"/>
          <w:lang w:val="en-US" w:eastAsia="zh-CN"/>
        </w:rPr>
      </w:pPr>
    </w:p>
    <w:p>
      <w:p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为深入贯彻习近平总书记在解决“两不愁三保障”突出问题座谈会上重要指示精神，落实国家、省、市关于医疗保障脱贫攻坚工作要求，根据国家医疗保障局等四部门《关于坚决完成医疗保障脱贫攻坚硬任务的指导意见》（医保发</w:t>
      </w:r>
      <w:r>
        <w:rPr>
          <w:rFonts w:hint="eastAsia" w:ascii="仿宋_GB2312" w:hAnsi="仿宋_GB2312" w:eastAsia="仿宋_GB2312" w:cs="仿宋_GB2312"/>
          <w:color w:val="000000"/>
          <w:sz w:val="32"/>
          <w:szCs w:val="32"/>
          <w:shd w:val="clear" w:color="auto" w:fill="FFFFFF"/>
        </w:rPr>
        <w:t>〔20</w:t>
      </w:r>
      <w:r>
        <w:rPr>
          <w:rFonts w:hint="eastAsia" w:ascii="仿宋_GB2312" w:hAnsi="仿宋_GB2312" w:eastAsia="仿宋_GB2312" w:cs="仿宋_GB2312"/>
          <w:color w:val="000000"/>
          <w:sz w:val="32"/>
          <w:szCs w:val="32"/>
          <w:shd w:val="clear" w:color="auto" w:fill="FFFFFF"/>
          <w:lang w:val="en-US" w:eastAsia="zh-CN"/>
        </w:rPr>
        <w:t>19</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en-US" w:eastAsia="zh-CN"/>
        </w:rPr>
        <w:t>57号</w:t>
      </w:r>
      <w:r>
        <w:rPr>
          <w:rFonts w:hint="eastAsia" w:ascii="仿宋_GB2312" w:hAnsi="仿宋_GB2312" w:eastAsia="仿宋_GB2312" w:cs="仿宋_GB2312"/>
          <w:sz w:val="32"/>
          <w:szCs w:val="32"/>
          <w:lang w:val="en-US" w:eastAsia="zh-CN"/>
        </w:rPr>
        <w:t>）、《海南省医疗保障扶贫三年（2018-2020年）行动实施方案》（琼医保</w:t>
      </w:r>
      <w:r>
        <w:rPr>
          <w:rFonts w:hint="eastAsia" w:ascii="仿宋_GB2312" w:hAnsi="仿宋_GB2312" w:eastAsia="仿宋_GB2312" w:cs="仿宋_GB2312"/>
          <w:color w:val="000000"/>
          <w:sz w:val="32"/>
          <w:szCs w:val="32"/>
          <w:shd w:val="clear" w:color="auto" w:fill="FFFFFF"/>
        </w:rPr>
        <w:t>〔20</w:t>
      </w:r>
      <w:r>
        <w:rPr>
          <w:rFonts w:hint="eastAsia" w:ascii="仿宋_GB2312" w:hAnsi="仿宋_GB2312" w:eastAsia="仿宋_GB2312" w:cs="仿宋_GB2312"/>
          <w:color w:val="000000"/>
          <w:sz w:val="32"/>
          <w:szCs w:val="32"/>
          <w:shd w:val="clear" w:color="auto" w:fill="FFFFFF"/>
          <w:lang w:val="en-US" w:eastAsia="zh-CN"/>
        </w:rPr>
        <w:t>18</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en-US" w:eastAsia="zh-CN"/>
        </w:rPr>
        <w:t>17号</w:t>
      </w:r>
      <w:r>
        <w:rPr>
          <w:rFonts w:hint="eastAsia" w:ascii="仿宋_GB2312" w:hAnsi="仿宋_GB2312" w:eastAsia="仿宋_GB2312" w:cs="仿宋_GB2312"/>
          <w:sz w:val="32"/>
          <w:szCs w:val="32"/>
          <w:lang w:val="en-US" w:eastAsia="zh-CN"/>
        </w:rPr>
        <w:t>）、海南省打赢脱贫攻坚战指挥部办公室《关于明确脱贫攻坚医疗保障若干政策的通知》（琼脱贫指办</w:t>
      </w:r>
      <w:r>
        <w:rPr>
          <w:rFonts w:hint="eastAsia" w:ascii="仿宋_GB2312" w:hAnsi="仿宋_GB2312" w:eastAsia="仿宋_GB2312" w:cs="仿宋_GB2312"/>
          <w:color w:val="000000"/>
          <w:sz w:val="32"/>
          <w:szCs w:val="32"/>
          <w:shd w:val="clear" w:color="auto" w:fill="FFFFFF"/>
        </w:rPr>
        <w:t>〔20</w:t>
      </w:r>
      <w:r>
        <w:rPr>
          <w:rFonts w:hint="eastAsia" w:ascii="仿宋_GB2312" w:hAnsi="仿宋_GB2312" w:eastAsia="仿宋_GB2312" w:cs="仿宋_GB2312"/>
          <w:color w:val="000000"/>
          <w:sz w:val="32"/>
          <w:szCs w:val="32"/>
          <w:shd w:val="clear" w:color="auto" w:fill="FFFFFF"/>
          <w:lang w:val="en-US" w:eastAsia="zh-CN"/>
        </w:rPr>
        <w:t>19</w:t>
      </w:r>
      <w:r>
        <w:rPr>
          <w:rFonts w:hint="eastAsia" w:ascii="仿宋_GB2312" w:hAnsi="仿宋_GB2312" w:eastAsia="仿宋_GB2312" w:cs="仿宋_GB2312"/>
          <w:color w:val="000000"/>
          <w:sz w:val="32"/>
          <w:szCs w:val="32"/>
          <w:shd w:val="clear" w:color="auto" w:fill="FFFFFF"/>
        </w:rPr>
        <w:t>〕</w:t>
      </w:r>
      <w:r>
        <w:rPr>
          <w:rFonts w:hint="eastAsia" w:ascii="仿宋_GB2312" w:hAnsi="仿宋_GB2312" w:eastAsia="仿宋_GB2312" w:cs="仿宋_GB2312"/>
          <w:color w:val="000000"/>
          <w:sz w:val="32"/>
          <w:szCs w:val="32"/>
          <w:shd w:val="clear" w:color="auto" w:fill="FFFFFF"/>
          <w:lang w:val="en-US" w:eastAsia="zh-CN"/>
        </w:rPr>
        <w:t>37号</w:t>
      </w:r>
      <w:r>
        <w:rPr>
          <w:rFonts w:hint="eastAsia" w:ascii="仿宋_GB2312" w:hAnsi="仿宋_GB2312" w:eastAsia="仿宋_GB2312" w:cs="仿宋_GB2312"/>
          <w:sz w:val="32"/>
          <w:szCs w:val="32"/>
          <w:lang w:val="en-US" w:eastAsia="zh-CN"/>
        </w:rPr>
        <w:t>）、《三亚市2020年脱贫攻坚工作实施方案》等相关文件要求，结合我市医疗保障脱贫攻坚工作实际，制定本实施方案。</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一、指导思想</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深入贯彻党的十九大精神，以习近平总书记关于脱贫攻坚工作系列重要讲话精神为指导，坚持脱贫攻坚目标和现行标准，确保贫困人员全部纳入三项制度保障范围。切实履行主体责任，充分发挥部门职责，采取针对性的政策措施，扎实完成医疗保障脱贫攻坚任务，防止因病返贫。</w:t>
      </w:r>
    </w:p>
    <w:p>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二、工作目标</w:t>
      </w:r>
    </w:p>
    <w:p>
      <w:pPr>
        <w:numPr>
          <w:ilvl w:val="0"/>
          <w:numId w:val="0"/>
        </w:numPr>
        <w:ind w:firstLine="640" w:firstLineChars="200"/>
        <w:rPr>
          <w:rFonts w:hint="eastAsia" w:ascii="仿宋_GB2312" w:hAnsi="仿宋_GB2312" w:eastAsia="仿宋_GB2312" w:cs="仿宋_GB2312"/>
          <w:sz w:val="32"/>
          <w:szCs w:val="32"/>
          <w:lang w:val="en-US" w:eastAsia="zh-CN"/>
        </w:rPr>
        <w:sectPr>
          <w:pgSz w:w="11906" w:h="16838"/>
          <w:pgMar w:top="1440" w:right="1531" w:bottom="1440" w:left="1531" w:header="851" w:footer="992" w:gutter="0"/>
          <w:pgNumType w:fmt="numberInDash"/>
          <w:cols w:space="425" w:num="1"/>
          <w:docGrid w:type="lines" w:linePitch="312" w:charSpace="0"/>
        </w:sectPr>
      </w:pPr>
      <w:r>
        <w:rPr>
          <w:rFonts w:hint="eastAsia" w:ascii="仿宋_GB2312" w:hAnsi="仿宋_GB2312" w:eastAsia="仿宋_GB2312" w:cs="仿宋_GB2312"/>
          <w:sz w:val="32"/>
          <w:szCs w:val="32"/>
          <w:lang w:val="en-US" w:eastAsia="zh-CN"/>
        </w:rPr>
        <w:t>为确保全市实行动态调整的农村最低生活保障对象、农村特困供养人员、农村建档立卡贫困人员（以下简称“农村贫困人员”）医疗有保障，充分发挥基本医保、大病保险、医疗救助各项制度作用。让贫困人员的医疗保障既不拔高标准、出现过高承诺和过</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度保障问题，也不降低保障标准和出现看病没有制度保障的情况。不断优化医疗保障经办服务管理，继续推进农村贫困人员“一站式”结算，为农村贫困人员提供便捷、优质的医疗费用结算服务。</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三、主要措施</w:t>
      </w:r>
    </w:p>
    <w:p>
      <w:pPr>
        <w:numPr>
          <w:ilvl w:val="0"/>
          <w:numId w:val="0"/>
        </w:num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（一）实现农村贫困人员应保尽保</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农村贫困人员参加城乡居民基本医疗保险个人缴费部分由财政给予全额补贴，通过医疗救助资金给予资助。确保农村贫困人员基本医保、大病保险覆盖率达到100%。对年度内新增的农村贫困人员，因超过规定参保缴费期未参保的，市医保局沟通市医疗保险服务中心及税务部门，及时将新增的农村贫困人员纳入城乡居民医疗保险保障范围，其新增农村贫困人员个人缴费部分由财政给予全额补贴。（牵头单位：三亚市医疗保障局；责任单位：各区及育才生态区、国家税务总局三亚市税务局、市扶贫办、市民政局、市财政局、市医疗保险服务中心）</w:t>
      </w:r>
    </w:p>
    <w:p>
      <w:pPr>
        <w:numPr>
          <w:ilvl w:val="0"/>
          <w:numId w:val="1"/>
        </w:num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落实本省农村贫困人员医疗保障政策</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1.提高城乡居民基本医保报销比例。</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（1）提高普通门诊报销比例。农村贫困人员在市内二级及以下定点医疗机构门诊就诊，报销比例提高5%。</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（2）提高慢性特殊疾病病种门诊报销比例。农村贫困人员经市医疗保险经办机构认定患有36种慢性特殊疾病的，在选定治疗的定点医疗机构，报销比例提高5%。</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（3）提高住院患者报销比例。农村贫困人员在省内基本医保定点医疗机构住院治疗，报销比例提高5%。</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2.农村贫困人员在本市定点医疗机构就医报销不设起付线。</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3.落实大病保险倾斜政策。降低农村贫困人员大病保险起付线，大病保险起付线由8000元降至4000元，同时取消农村贫困人员大病保险封顶线。</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强化医疗救助托底保障力度。农村贫困人员在基本医保定点医疗机构发生的慢性特殊疾病门诊和住院医疗费用，经基本医疗保险、大病保险、其他补充商业保险支付后，合规的个人负担费用在年度救助限额内救助比例不低于70%。</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（牵头单位：三亚市医疗保障局；责任单位：各区及育才生态区、市金融发展局、市医疗保险服务中心）</w:t>
      </w:r>
    </w:p>
    <w:p>
      <w:pPr>
        <w:numPr>
          <w:ilvl w:val="0"/>
          <w:numId w:val="0"/>
        </w:numPr>
        <w:ind w:firstLine="643"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（三）实施综合医疗保障措施</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我市农村贫困人员在脱贫攻坚期内继续享受医疗保障扶持政策，全部纳入城乡居民基本医疗保险、大病保险、商业补充保险、医疗救助、健康扶贫专项资金保障范围，实行联动报销，发挥医疗保障政策的叠加效益，确保农村贫困人员住院医疗费用实际保险比例达到90%，慢性特殊疾病病种门诊报销比例达到80%。（牵头单位：三亚市医疗保障局；责任单位：各区及育才生态区、市财政局、市金融发展局、市医疗保险服务中心、各级定点医疗机构）</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1.住院医疗保障。农村</w:t>
      </w:r>
      <w:r>
        <w:rPr>
          <w:rFonts w:hint="eastAsia" w:ascii="仿宋_GB2312" w:hAnsi="仿宋_GB2312" w:eastAsia="仿宋_GB2312" w:cs="仿宋_GB2312"/>
          <w:sz w:val="32"/>
          <w:szCs w:val="32"/>
        </w:rPr>
        <w:t>贫困人员在定点医疗机构产生的住院医疗费用，经城乡居民医疗保险、大病保险、</w:t>
      </w:r>
      <w:r>
        <w:rPr>
          <w:rFonts w:hint="eastAsia" w:ascii="仿宋_GB2312" w:hAnsi="仿宋_GB2312" w:eastAsia="仿宋_GB2312" w:cs="仿宋_GB2312"/>
          <w:sz w:val="32"/>
          <w:szCs w:val="32"/>
          <w:lang w:val="en-US" w:eastAsia="zh-CN"/>
        </w:rPr>
        <w:t>商业补充保险、</w:t>
      </w:r>
      <w:r>
        <w:rPr>
          <w:rFonts w:hint="eastAsia" w:ascii="仿宋_GB2312" w:hAnsi="仿宋_GB2312" w:eastAsia="仿宋_GB2312" w:cs="仿宋_GB2312"/>
          <w:sz w:val="32"/>
          <w:szCs w:val="32"/>
        </w:rPr>
        <w:t>医疗救助</w:t>
      </w:r>
      <w:r>
        <w:rPr>
          <w:rFonts w:hint="eastAsia" w:ascii="仿宋_GB2312" w:hAnsi="仿宋_GB2312" w:eastAsia="仿宋_GB2312" w:cs="仿宋_GB2312"/>
          <w:sz w:val="32"/>
          <w:szCs w:val="32"/>
          <w:lang w:val="en-US" w:eastAsia="zh-CN"/>
        </w:rPr>
        <w:t>报销后，报销比例未达到医疗费总额90%的，由市政府健康扶贫专项资金报销至医疗费总额的90%，剩余部分由个人自付。</w:t>
      </w:r>
      <w:r>
        <w:rPr>
          <w:rFonts w:hint="eastAsia" w:ascii="仿宋_GB2312" w:hAnsi="仿宋_GB2312" w:eastAsia="仿宋_GB2312" w:cs="仿宋_GB2312"/>
          <w:sz w:val="32"/>
          <w:szCs w:val="32"/>
        </w:rPr>
        <w:t>经城乡居民医疗保险、大病保险、</w:t>
      </w:r>
      <w:r>
        <w:rPr>
          <w:rFonts w:hint="eastAsia" w:ascii="仿宋_GB2312" w:hAnsi="仿宋_GB2312" w:eastAsia="仿宋_GB2312" w:cs="仿宋_GB2312"/>
          <w:sz w:val="32"/>
          <w:szCs w:val="32"/>
          <w:lang w:val="en-US" w:eastAsia="zh-CN"/>
        </w:rPr>
        <w:t>商业补充保险、</w:t>
      </w:r>
      <w:r>
        <w:rPr>
          <w:rFonts w:hint="eastAsia" w:ascii="仿宋_GB2312" w:hAnsi="仿宋_GB2312" w:eastAsia="仿宋_GB2312" w:cs="仿宋_GB2312"/>
          <w:sz w:val="32"/>
          <w:szCs w:val="32"/>
        </w:rPr>
        <w:t>医疗救助</w:t>
      </w:r>
      <w:r>
        <w:rPr>
          <w:rFonts w:hint="eastAsia" w:ascii="仿宋_GB2312" w:hAnsi="仿宋_GB2312" w:eastAsia="仿宋_GB2312" w:cs="仿宋_GB2312"/>
          <w:sz w:val="32"/>
          <w:szCs w:val="32"/>
          <w:lang w:val="en-US" w:eastAsia="zh-CN"/>
        </w:rPr>
        <w:t>报销后，报销比例已达到医疗费总额90%的，健康扶贫专项资金不再报销。</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2.慢性特殊疾病门诊医疗保障。农村</w:t>
      </w:r>
      <w:r>
        <w:rPr>
          <w:rFonts w:hint="eastAsia" w:ascii="仿宋_GB2312" w:hAnsi="仿宋_GB2312" w:eastAsia="仿宋_GB2312" w:cs="仿宋_GB2312"/>
          <w:sz w:val="32"/>
          <w:szCs w:val="32"/>
        </w:rPr>
        <w:t>贫困人员</w:t>
      </w:r>
      <w:r>
        <w:rPr>
          <w:rFonts w:hint="eastAsia" w:ascii="仿宋_GB2312" w:hAnsi="仿宋_GB2312" w:eastAsia="仿宋_GB2312" w:cs="仿宋_GB2312"/>
          <w:sz w:val="32"/>
          <w:szCs w:val="32"/>
          <w:lang w:val="en-US" w:eastAsia="zh-CN"/>
        </w:rPr>
        <w:t>患36种慢性特殊疾病经认定后，</w:t>
      </w:r>
      <w:r>
        <w:rPr>
          <w:rFonts w:hint="eastAsia" w:ascii="仿宋_GB2312" w:hAnsi="仿宋_GB2312" w:eastAsia="仿宋_GB2312" w:cs="仿宋_GB2312"/>
          <w:sz w:val="32"/>
          <w:szCs w:val="32"/>
        </w:rPr>
        <w:t>在定点医疗机构产生</w:t>
      </w:r>
      <w:r>
        <w:rPr>
          <w:rFonts w:hint="eastAsia" w:ascii="仿宋_GB2312" w:hAnsi="仿宋_GB2312" w:eastAsia="仿宋_GB2312" w:cs="仿宋_GB2312"/>
          <w:sz w:val="32"/>
          <w:szCs w:val="32"/>
          <w:lang w:val="en-US" w:eastAsia="zh-CN"/>
        </w:rPr>
        <w:t>的慢性特殊疾病门诊</w:t>
      </w:r>
      <w:r>
        <w:rPr>
          <w:rFonts w:hint="eastAsia" w:ascii="仿宋_GB2312" w:hAnsi="仿宋_GB2312" w:eastAsia="仿宋_GB2312" w:cs="仿宋_GB2312"/>
          <w:sz w:val="32"/>
          <w:szCs w:val="32"/>
        </w:rPr>
        <w:t>医疗费用，经城乡居民医疗保险、大病保险、</w:t>
      </w:r>
      <w:r>
        <w:rPr>
          <w:rFonts w:hint="eastAsia" w:ascii="仿宋_GB2312" w:hAnsi="仿宋_GB2312" w:eastAsia="仿宋_GB2312" w:cs="仿宋_GB2312"/>
          <w:sz w:val="32"/>
          <w:szCs w:val="32"/>
          <w:lang w:val="en-US" w:eastAsia="zh-CN"/>
        </w:rPr>
        <w:t>商业补充保险、</w:t>
      </w:r>
      <w:r>
        <w:rPr>
          <w:rFonts w:hint="eastAsia" w:ascii="仿宋_GB2312" w:hAnsi="仿宋_GB2312" w:eastAsia="仿宋_GB2312" w:cs="仿宋_GB2312"/>
          <w:sz w:val="32"/>
          <w:szCs w:val="32"/>
        </w:rPr>
        <w:t>医疗救助</w:t>
      </w:r>
      <w:r>
        <w:rPr>
          <w:rFonts w:hint="eastAsia" w:ascii="仿宋_GB2312" w:hAnsi="仿宋_GB2312" w:eastAsia="仿宋_GB2312" w:cs="仿宋_GB2312"/>
          <w:sz w:val="32"/>
          <w:szCs w:val="32"/>
          <w:lang w:val="en-US" w:eastAsia="zh-CN"/>
        </w:rPr>
        <w:t>报销后，报销比例未达到医疗费总额80%的，由市政府健康扶贫专项资金报销至医疗费总额的80%，剩余部分由个人自付。</w:t>
      </w:r>
      <w:r>
        <w:rPr>
          <w:rFonts w:hint="eastAsia" w:ascii="仿宋_GB2312" w:hAnsi="仿宋_GB2312" w:eastAsia="仿宋_GB2312" w:cs="仿宋_GB2312"/>
          <w:sz w:val="32"/>
          <w:szCs w:val="32"/>
        </w:rPr>
        <w:t>经城乡居民医疗保险、大病保险、</w:t>
      </w:r>
      <w:r>
        <w:rPr>
          <w:rFonts w:hint="eastAsia" w:ascii="仿宋_GB2312" w:hAnsi="仿宋_GB2312" w:eastAsia="仿宋_GB2312" w:cs="仿宋_GB2312"/>
          <w:sz w:val="32"/>
          <w:szCs w:val="32"/>
          <w:lang w:val="en-US" w:eastAsia="zh-CN"/>
        </w:rPr>
        <w:t>商业补充保险、</w:t>
      </w:r>
      <w:r>
        <w:rPr>
          <w:rFonts w:hint="eastAsia" w:ascii="仿宋_GB2312" w:hAnsi="仿宋_GB2312" w:eastAsia="仿宋_GB2312" w:cs="仿宋_GB2312"/>
          <w:sz w:val="32"/>
          <w:szCs w:val="32"/>
        </w:rPr>
        <w:t>医疗救助</w:t>
      </w:r>
      <w:r>
        <w:rPr>
          <w:rFonts w:hint="eastAsia" w:ascii="仿宋_GB2312" w:hAnsi="仿宋_GB2312" w:eastAsia="仿宋_GB2312" w:cs="仿宋_GB2312"/>
          <w:sz w:val="32"/>
          <w:szCs w:val="32"/>
          <w:lang w:val="en-US" w:eastAsia="zh-CN"/>
        </w:rPr>
        <w:t>报销后，报销比例已达到医疗费总额80%的，健康扶贫专项资金不再报销。</w:t>
      </w:r>
    </w:p>
    <w:p>
      <w:pPr>
        <w:ind w:firstLine="592" w:firstLineChars="185"/>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普通门诊医疗保障。农村贫困人员按《海南省城乡居民基本医疗保险普通门诊统筹管理办法（试行）》享受普通门诊相关待遇。最高支付标准以下的门诊医疗费用，由统筹基金和个人分别按比例分担：一级及以下定点医疗机构，统筹基金支付比例为65%，个人支付比例为35%；二级定点医疗机构，统筹基金支付比例为55%，个人支付比例为45%。每日最高支付限额为40元，年度最高支付限额为300元。</w:t>
      </w:r>
    </w:p>
    <w:p>
      <w:pPr>
        <w:ind w:firstLine="592" w:firstLineChars="18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4.农村特困人员医疗保障。农村</w:t>
      </w:r>
      <w:r>
        <w:rPr>
          <w:rFonts w:hint="eastAsia" w:ascii="仿宋_GB2312" w:hAnsi="仿宋_GB2312" w:eastAsia="仿宋_GB2312" w:cs="仿宋_GB2312"/>
          <w:sz w:val="32"/>
          <w:szCs w:val="32"/>
        </w:rPr>
        <w:t>特困人员在定点医疗机构就医产生的住院和门诊医疗费用</w:t>
      </w:r>
      <w:r>
        <w:rPr>
          <w:rFonts w:hint="eastAsia" w:ascii="仿宋_GB2312" w:hAnsi="仿宋_GB2312" w:eastAsia="仿宋_GB2312" w:cs="仿宋_GB2312"/>
          <w:sz w:val="32"/>
          <w:szCs w:val="32"/>
          <w:lang w:val="en-US" w:eastAsia="zh-CN"/>
        </w:rPr>
        <w:t>实际报销比例达100%。如</w:t>
      </w:r>
      <w:r>
        <w:rPr>
          <w:rFonts w:hint="eastAsia" w:ascii="仿宋_GB2312" w:hAnsi="仿宋_GB2312" w:eastAsia="仿宋_GB2312" w:cs="仿宋_GB2312"/>
          <w:sz w:val="32"/>
          <w:szCs w:val="32"/>
        </w:rPr>
        <w:t>经城乡居民基本医疗保险、大病保险、</w:t>
      </w:r>
      <w:r>
        <w:rPr>
          <w:rFonts w:hint="eastAsia" w:ascii="仿宋_GB2312" w:hAnsi="仿宋_GB2312" w:eastAsia="仿宋_GB2312" w:cs="仿宋_GB2312"/>
          <w:sz w:val="32"/>
          <w:szCs w:val="32"/>
          <w:lang w:val="en-US" w:eastAsia="zh-CN"/>
        </w:rPr>
        <w:t>商业补充保险、</w:t>
      </w:r>
      <w:r>
        <w:rPr>
          <w:rFonts w:hint="eastAsia" w:ascii="仿宋_GB2312" w:hAnsi="仿宋_GB2312" w:eastAsia="仿宋_GB2312" w:cs="仿宋_GB2312"/>
          <w:sz w:val="32"/>
          <w:szCs w:val="32"/>
        </w:rPr>
        <w:t>医疗救助报销后，</w:t>
      </w:r>
      <w:r>
        <w:rPr>
          <w:rFonts w:hint="eastAsia" w:ascii="仿宋_GB2312" w:hAnsi="仿宋_GB2312" w:eastAsia="仿宋_GB2312" w:cs="仿宋_GB2312"/>
          <w:sz w:val="32"/>
          <w:szCs w:val="32"/>
          <w:lang w:val="en-US" w:eastAsia="zh-CN"/>
        </w:rPr>
        <w:t>实际报销比例未达到100%的，由健康扶贫专项资金进行兜底保障到100%。</w:t>
      </w:r>
    </w:p>
    <w:p>
      <w:pPr>
        <w:ind w:firstLine="594" w:firstLineChars="18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（四）优化医保经办服务</w:t>
      </w:r>
    </w:p>
    <w:p>
      <w:pPr>
        <w:ind w:firstLine="592" w:firstLineChars="18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1.继续实行定点医疗机构“一站式”结算服务，避免农村贫困人员多部门申请报销，确保农村贫困人员在就诊定点医院仅缴纳个人自付医疗费用，即时享受“一站式”结算的便利政策。</w:t>
      </w:r>
    </w:p>
    <w:p>
      <w:pPr>
        <w:ind w:firstLine="592" w:firstLineChars="18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2.市医疗保险服务中心负责政策宣传并帮助和引导贫困人员兑现政策，解决农村贫困人员政策不知情，就医报销难等问题。</w:t>
      </w:r>
    </w:p>
    <w:p>
      <w:pPr>
        <w:ind w:firstLine="592" w:firstLineChars="18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3.市医疗保险服务中心、各定点医疗机构优先做好农村贫困人员异地就医备案和就医结算等服务，简化手续，精简材料审核，切实做好农村贫困人员跨省异地就医备案工作。</w:t>
      </w:r>
    </w:p>
    <w:p>
      <w:pPr>
        <w:ind w:firstLine="592" w:firstLineChars="18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4.市卫健委做好农村贫困人员在定点医疗机构“先诊疗后付费”工作，减轻农村贫困人员就医负担。</w:t>
      </w:r>
    </w:p>
    <w:p>
      <w:pPr>
        <w:numPr>
          <w:ilvl w:val="0"/>
          <w:numId w:val="0"/>
        </w:numPr>
        <w:ind w:firstLine="640" w:firstLineChars="200"/>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（牵头单位：三亚市医疗保障局；责任单位：各区及育才生态区、市卫健委、市金融发展局、市医疗保险服务中心、各级定点医疗机构）</w:t>
      </w:r>
    </w:p>
    <w:p>
      <w:pPr>
        <w:numPr>
          <w:ilvl w:val="0"/>
          <w:numId w:val="2"/>
        </w:numPr>
        <w:ind w:firstLine="594" w:firstLineChars="185"/>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规范农村贫困人员慢性特殊疾病管理</w:t>
      </w:r>
    </w:p>
    <w:p>
      <w:pPr>
        <w:numPr>
          <w:ilvl w:val="0"/>
          <w:numId w:val="0"/>
        </w:numPr>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贯彻落实《海南省基本医疗保险门诊慢性特殊疾病管理办法（试行）》，贫困人员患有36种慢性特殊疾病的，按规定进行申请和认定。对符合慢性特殊疾病病种认定标准的农村贫困人员，市、区医保经办机构、各定点医疗机构开通绿色通道，优先办理贫困人员慢性特殊疾病门诊申请。</w:t>
      </w:r>
      <w:r>
        <w:rPr>
          <w:rFonts w:hint="eastAsia" w:ascii="仿宋_GB2312" w:hAnsi="仿宋_GB2312" w:eastAsia="仿宋_GB2312" w:cs="仿宋_GB2312"/>
          <w:sz w:val="32"/>
          <w:szCs w:val="32"/>
          <w:lang w:val="en-US" w:eastAsia="zh-CN"/>
        </w:rPr>
        <w:t>（牵头单位：三亚市医疗保障局；责任单位：各区及育才生态区、市医疗保险服务中心、各级定点医疗机构）</w:t>
      </w:r>
    </w:p>
    <w:p>
      <w:pPr>
        <w:ind w:firstLine="594" w:firstLineChars="18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（六）落实基本医疗保障范围规定</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全面执行新版国家基本医保药品目录，将国家医保目录谈判准入药品纳入医保支付范围。加强对各定点医疗机构药品和医疗服务价格监测，防范定点医疗机构药品及医疗服务价格过高。（牵头单位：三亚市医疗保障局；责任单位：各区及育才生态区、市医疗保险服务中心、各级定点医疗机构）</w:t>
      </w:r>
    </w:p>
    <w:p>
      <w:pPr>
        <w:ind w:firstLine="594" w:firstLineChars="18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（七）加强医疗保障基金监管</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在全市范围内开展打击欺诈骗保行为，确保基金安全平稳运行。结合定点医疗机构协议管理，规范定点医疗机构诊疗行为，严厉打击定点医疗机构诱导农村贫困人员挂床、住院、虚记等欺诈骗保行为，加强各定点医疗机构对农村贫困人员小病大养、小病大治等问题的治理。引导定点医疗机构在保障医疗质量和安全的前提下，优先选择基本医疗保险支付范围内的药品和诊疗项目，合理控制费用。（牵头单位：三亚市医疗保障局；责任单位：各区及育才生态区、市医疗保险服务中心、各级定点医疗机构）</w:t>
      </w:r>
    </w:p>
    <w:p>
      <w:pPr>
        <w:numPr>
          <w:ilvl w:val="0"/>
          <w:numId w:val="0"/>
        </w:numPr>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（八）做好疫情防控期间贫困群众医疗保障工作</w:t>
      </w:r>
    </w:p>
    <w:p>
      <w:pPr>
        <w:numPr>
          <w:ilvl w:val="0"/>
          <w:numId w:val="0"/>
        </w:numPr>
        <w:ind w:firstLine="640" w:firstLineChars="200"/>
        <w:rPr>
          <w:rFonts w:hint="default" w:ascii="仿宋_GB2312" w:hAnsi="仿宋_GB2312" w:eastAsia="仿宋_GB2312" w:cs="仿宋_GB2312"/>
          <w:b/>
          <w:bCs/>
          <w:sz w:val="32"/>
          <w:szCs w:val="32"/>
          <w:lang w:val="en-US" w:eastAsia="zh-CN"/>
        </w:rPr>
      </w:pPr>
      <w:r>
        <w:rPr>
          <w:rFonts w:hint="eastAsia" w:ascii="仿宋_GB2312" w:hAnsi="仿宋_GB2312" w:eastAsia="仿宋_GB2312" w:cs="仿宋_GB2312"/>
          <w:b w:val="0"/>
          <w:bCs w:val="0"/>
          <w:sz w:val="32"/>
          <w:szCs w:val="32"/>
          <w:lang w:val="en-US" w:eastAsia="zh-CN"/>
        </w:rPr>
        <w:t>及时做好疫情防控期间贫困群众医疗保障工作，落实基本医保、大病保险、医疗救助和健康扶贫专项资金“一站式”结算，减轻贫困群众负担。确保贫困群众患病得到及时治疗。对确诊或按卫生健康部门新型冠状病毒感染肺炎诊疗方案确定的疑似贫困患者，其医疗费用在基本医保、大病保险、医疗救助、健康扶贫专项资金等按规定支付后，个人负担部分由市财政安排专项救助资金兜底解决。及时将国家卫生健康委关于新型冠状病毒的诊疗方案中用于治疗的药品和诊疗项目全部临时纳入医保目录，享受基本医保报销。</w:t>
      </w:r>
      <w:r>
        <w:rPr>
          <w:rFonts w:hint="eastAsia" w:ascii="仿宋_GB2312" w:hAnsi="仿宋_GB2312" w:eastAsia="仿宋_GB2312" w:cs="仿宋_GB2312"/>
          <w:sz w:val="32"/>
          <w:szCs w:val="32"/>
          <w:lang w:val="en-US" w:eastAsia="zh-CN"/>
        </w:rPr>
        <w:t>（牵头单位：三亚市医疗保障局；责任单位：市医疗保险服务中心、各级定点医疗机构）</w:t>
      </w:r>
    </w:p>
    <w:p>
      <w:pPr>
        <w:ind w:firstLine="594" w:firstLineChars="185"/>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（九）开展医疗保障扶贫政策宣传</w:t>
      </w:r>
    </w:p>
    <w:p>
      <w:pPr>
        <w:numPr>
          <w:ilvl w:val="0"/>
          <w:numId w:val="0"/>
        </w:numPr>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继续推进以帮扶责任人为抓手，深入开展医保扶贫政策宣传工作，通过编印医保扶贫手册，制作医保扶贫宣传海报，入户随访讲解等群众看得懂、听得明白的方式，深入宣传医保扶贫政策，逐户逐人进行医保扶贫政策解读。强化宣传力度，提高知晓率，防止贫困户对医保保障工作产生误解。（牵头单位：三亚市医疗保障局；责任单位：各区及育才生态区、市医疗保险服务中心、各级定点医疗机构）</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黑体" w:hAnsi="黑体" w:eastAsia="黑体" w:cs="黑体"/>
          <w:sz w:val="32"/>
          <w:szCs w:val="32"/>
          <w:lang w:val="en-US" w:eastAsia="zh-CN"/>
        </w:rPr>
        <w:t>四、保障措施</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（一）加强组织领导。</w:t>
      </w:r>
      <w:r>
        <w:rPr>
          <w:rFonts w:hint="eastAsia" w:ascii="仿宋_GB2312" w:hAnsi="仿宋_GB2312" w:eastAsia="仿宋_GB2312" w:cs="仿宋_GB2312"/>
          <w:sz w:val="32"/>
          <w:szCs w:val="32"/>
          <w:lang w:val="en-US" w:eastAsia="zh-CN"/>
        </w:rPr>
        <w:t>各区人民政府、育才生态区管委会要高度重视医疗保障脱贫攻坚工作，结合各区实际，统筹部署安排工作，层层落实责任，推进以帮扶责任人为抓手，支持和配合医疗保障脱贫攻坚工作，防止因病致贫、因病返贫。</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（二）筑牢数据基础。</w:t>
      </w:r>
      <w:r>
        <w:rPr>
          <w:rFonts w:hint="eastAsia" w:ascii="仿宋_GB2312" w:hAnsi="仿宋_GB2312" w:eastAsia="仿宋_GB2312" w:cs="仿宋_GB2312"/>
          <w:sz w:val="32"/>
          <w:szCs w:val="32"/>
          <w:lang w:val="en-US" w:eastAsia="zh-CN"/>
        </w:rPr>
        <w:t>做好贫困人员的身份标识，完善农村贫困人员患病就医结算台账。强化贫困人员参保缴费、待遇保障等情况的监测。及时做好贫困人员医疗费用结算相关统计台账，确保线上线下、市、区、村三级医保扶贫信息数据保持一致。各区须与扶贫部门做好信息比对，确保人员身份、参保状态等信息同步更新。</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（三）落实现行制度标准。</w:t>
      </w:r>
      <w:r>
        <w:rPr>
          <w:rFonts w:hint="eastAsia" w:ascii="仿宋_GB2312" w:hAnsi="仿宋_GB2312" w:eastAsia="仿宋_GB2312" w:cs="仿宋_GB2312"/>
          <w:sz w:val="32"/>
          <w:szCs w:val="32"/>
          <w:lang w:val="en-US" w:eastAsia="zh-CN"/>
        </w:rPr>
        <w:t>坚持医疗保障现行基本制度、基本政策和标准。既要狠抓落实确保医保扶贫任务全面完成，也要高度重视防范出现不切实际过高承诺、过度保障、不可持续的问题。落实省打赢脱贫攻坚战指挥部办公室《关于明确脱贫攻坚医疗保障若干政策的通知》要求，保持全省政策一致性，不擅自提高医疗保障待遇政策。</w:t>
      </w:r>
    </w:p>
    <w:p>
      <w:pPr>
        <w:keepNext w:val="0"/>
        <w:keepLines w:val="0"/>
        <w:pageBreakBefore w:val="0"/>
        <w:kinsoku/>
        <w:wordWrap/>
        <w:overflowPunct/>
        <w:topLinePunct w:val="0"/>
        <w:autoSpaceDE/>
        <w:autoSpaceDN/>
        <w:bidi w:val="0"/>
        <w:adjustRightInd/>
        <w:snapToGrid/>
        <w:spacing w:line="600" w:lineRule="exact"/>
        <w:ind w:firstLine="64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bCs/>
          <w:sz w:val="32"/>
          <w:szCs w:val="32"/>
          <w:lang w:val="en-US" w:eastAsia="zh-CN"/>
        </w:rPr>
        <w:t>（四）开展医保扶贫督导。</w:t>
      </w:r>
      <w:r>
        <w:rPr>
          <w:rFonts w:hint="eastAsia" w:ascii="仿宋_GB2312" w:hAnsi="仿宋_GB2312" w:eastAsia="仿宋_GB2312" w:cs="仿宋_GB2312"/>
          <w:sz w:val="32"/>
          <w:szCs w:val="32"/>
          <w:lang w:val="en-US" w:eastAsia="zh-CN"/>
        </w:rPr>
        <w:t>医保扶贫督导工作常态化，</w:t>
      </w:r>
      <w:r>
        <w:rPr>
          <w:rFonts w:hint="eastAsia" w:ascii="仿宋_GB2312" w:hAnsi="仿宋_GB2312" w:eastAsia="仿宋_GB2312" w:cs="仿宋_GB2312"/>
          <w:b w:val="0"/>
          <w:bCs/>
          <w:i w:val="0"/>
          <w:caps w:val="0"/>
          <w:color w:val="auto"/>
          <w:spacing w:val="0"/>
          <w:sz w:val="32"/>
          <w:szCs w:val="32"/>
          <w:shd w:val="clear" w:color="auto" w:fill="FFFFFF"/>
          <w:lang w:val="en-US" w:eastAsia="zh-CN"/>
        </w:rPr>
        <w:t>对全市4个区及育才生态区在医保扶贫方面的突出问题整改落实情况进行拉网式督导，及时发现存在问题，总结工作经验，挖掘工作亮点，对发现的痛点难点问题提出建议，及时把问题解决在基层，确保医保扶贫各项政策落实到位。</w:t>
      </w:r>
    </w:p>
    <w:p>
      <w:pPr>
        <w:ind w:firstLine="592" w:firstLineChars="185"/>
        <w:rPr>
          <w:rFonts w:hint="default" w:ascii="仿宋_GB2312" w:hAnsi="仿宋_GB2312" w:eastAsia="仿宋_GB2312" w:cs="仿宋_GB2312"/>
          <w:sz w:val="32"/>
          <w:szCs w:val="32"/>
          <w:lang w:val="en-US" w:eastAsia="zh-CN"/>
        </w:rPr>
      </w:pPr>
    </w:p>
    <w:p>
      <w:pPr>
        <w:ind w:firstLine="592" w:firstLineChars="185"/>
        <w:rPr>
          <w:rFonts w:hint="default" w:ascii="仿宋_GB2312" w:hAnsi="仿宋_GB2312" w:eastAsia="仿宋_GB2312" w:cs="仿宋_GB2312"/>
          <w:sz w:val="32"/>
          <w:szCs w:val="32"/>
          <w:lang w:val="en-US" w:eastAsia="zh-CN"/>
        </w:rPr>
      </w:pPr>
    </w:p>
    <w:p>
      <w:pPr>
        <w:ind w:firstLine="592" w:firstLineChars="185"/>
        <w:rPr>
          <w:rFonts w:hint="default" w:ascii="仿宋_GB2312" w:hAnsi="仿宋_GB2312" w:eastAsia="仿宋_GB2312" w:cs="仿宋_GB2312"/>
          <w:sz w:val="32"/>
          <w:szCs w:val="32"/>
          <w:lang w:val="en-US" w:eastAsia="zh-CN"/>
        </w:rPr>
      </w:pPr>
    </w:p>
    <w:p>
      <w:pPr>
        <w:numPr>
          <w:ilvl w:val="0"/>
          <w:numId w:val="0"/>
        </w:numPr>
        <w:ind w:firstLine="640" w:firstLineChars="200"/>
        <w:rPr>
          <w:rFonts w:hint="default" w:ascii="仿宋_GB2312" w:hAnsi="仿宋_GB2312" w:eastAsia="仿宋_GB2312" w:cs="仿宋_GB2312"/>
          <w:sz w:val="32"/>
          <w:szCs w:val="32"/>
          <w:lang w:val="en-US" w:eastAsia="zh-CN"/>
        </w:rPr>
      </w:pPr>
    </w:p>
    <w:p>
      <w:pPr>
        <w:numPr>
          <w:ilvl w:val="0"/>
          <w:numId w:val="0"/>
        </w:numPr>
        <w:ind w:firstLine="640" w:firstLineChars="200"/>
        <w:rPr>
          <w:rFonts w:hint="default" w:ascii="仿宋_GB2312" w:hAnsi="仿宋_GB2312" w:eastAsia="仿宋_GB2312" w:cs="仿宋_GB2312"/>
          <w:sz w:val="32"/>
          <w:szCs w:val="32"/>
          <w:lang w:val="en-US" w:eastAsia="zh-CN"/>
        </w:rPr>
      </w:pPr>
    </w:p>
    <w:p>
      <w:pPr>
        <w:numPr>
          <w:ilvl w:val="0"/>
          <w:numId w:val="0"/>
        </w:numPr>
        <w:ind w:firstLine="640" w:firstLineChars="200"/>
        <w:rPr>
          <w:rFonts w:hint="default" w:ascii="仿宋_GB2312" w:hAnsi="仿宋_GB2312" w:eastAsia="仿宋_GB2312" w:cs="仿宋_GB2312"/>
          <w:sz w:val="32"/>
          <w:szCs w:val="32"/>
          <w:lang w:val="en-US" w:eastAsia="zh-CN"/>
        </w:rPr>
      </w:pPr>
    </w:p>
    <w:p>
      <w:pPr>
        <w:numPr>
          <w:ilvl w:val="0"/>
          <w:numId w:val="0"/>
        </w:numPr>
        <w:rPr>
          <w:rFonts w:hint="default" w:ascii="仿宋_GB2312" w:hAnsi="仿宋_GB2312" w:eastAsia="仿宋_GB2312" w:cs="仿宋_GB2312"/>
          <w:sz w:val="32"/>
          <w:szCs w:val="32"/>
          <w:lang w:val="en-US" w:eastAsia="zh-CN"/>
        </w:rPr>
      </w:pPr>
      <w:bookmarkStart w:id="0" w:name="_GoBack"/>
      <w:bookmarkEnd w:id="0"/>
    </w:p>
    <w:sectPr>
      <w:footerReference r:id="rId3" w:type="default"/>
      <w:pgSz w:w="11906" w:h="16838"/>
      <w:pgMar w:top="1440" w:right="1531" w:bottom="1440" w:left="1531"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fldChar w:fldCharType="begin"/>
                    </w:r>
                    <w:r>
                      <w:rPr>
                        <w:rFonts w:hint="eastAsia" w:ascii="仿宋_GB2312" w:hAnsi="仿宋_GB2312" w:eastAsia="仿宋_GB2312" w:cs="仿宋_GB2312"/>
                        <w:sz w:val="32"/>
                        <w:szCs w:val="32"/>
                        <w:lang w:eastAsia="zh-CN"/>
                      </w:rPr>
                      <w:instrText xml:space="preserve"> PAGE  \* MERGEFORMAT </w:instrText>
                    </w:r>
                    <w:r>
                      <w:rPr>
                        <w:rFonts w:hint="eastAsia" w:ascii="仿宋_GB2312" w:hAnsi="仿宋_GB2312" w:eastAsia="仿宋_GB2312" w:cs="仿宋_GB2312"/>
                        <w:sz w:val="32"/>
                        <w:szCs w:val="32"/>
                        <w:lang w:eastAsia="zh-CN"/>
                      </w:rPr>
                      <w:fldChar w:fldCharType="separate"/>
                    </w: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lang w:eastAsia="zh-CN"/>
                      </w:rP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6E9728"/>
    <w:multiLevelType w:val="singleLevel"/>
    <w:tmpl w:val="C06E9728"/>
    <w:lvl w:ilvl="0" w:tentative="0">
      <w:start w:val="5"/>
      <w:numFmt w:val="chineseCounting"/>
      <w:suff w:val="nothing"/>
      <w:lvlText w:val="（%1）"/>
      <w:lvlJc w:val="left"/>
      <w:rPr>
        <w:rFonts w:hint="eastAsia"/>
      </w:rPr>
    </w:lvl>
  </w:abstractNum>
  <w:abstractNum w:abstractNumId="1">
    <w:nsid w:val="002326A3"/>
    <w:multiLevelType w:val="singleLevel"/>
    <w:tmpl w:val="002326A3"/>
    <w:lvl w:ilvl="0" w:tentative="0">
      <w:start w:val="2"/>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4640886"/>
    <w:rsid w:val="05D226DA"/>
    <w:rsid w:val="06D0295D"/>
    <w:rsid w:val="07B059BF"/>
    <w:rsid w:val="0B5A1F26"/>
    <w:rsid w:val="0C487209"/>
    <w:rsid w:val="259A5BDD"/>
    <w:rsid w:val="33214154"/>
    <w:rsid w:val="424E64E8"/>
    <w:rsid w:val="43A30830"/>
    <w:rsid w:val="44B93C66"/>
    <w:rsid w:val="4C646F71"/>
    <w:rsid w:val="554C7D3C"/>
    <w:rsid w:val="580341DE"/>
    <w:rsid w:val="69425544"/>
    <w:rsid w:val="698A19B3"/>
    <w:rsid w:val="6AB836FE"/>
    <w:rsid w:val="725F75F9"/>
    <w:rsid w:val="72D32436"/>
    <w:rsid w:val="74877CE2"/>
    <w:rsid w:val="78AB1A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Office_11.8.2.8411_F1E327BC-269C-435d-A152-05C5408002CA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lenovoljh</dc:creator>
  <cp:lastModifiedBy>Fu</cp:lastModifiedBy>
  <cp:lastPrinted>2020-03-12T06:56:00Z</cp:lastPrinted>
  <dcterms:modified xsi:type="dcterms:W3CDTF">2020-03-19T09:58:07Z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2052-11.8.2.8411</vt:lpwstr>
  </property>
</Properties>
</file>