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center"/>
        <w:rPr>
          <w:rFonts w:hint="default" w:ascii="Times New Roman" w:hAnsi="Times New Roman" w:eastAsia="宋体" w:cs="Times New Roman"/>
          <w:sz w:val="44"/>
          <w:szCs w:val="44"/>
        </w:rPr>
      </w:pPr>
    </w:p>
    <w:p>
      <w:pPr>
        <w:spacing w:line="570" w:lineRule="exact"/>
        <w:jc w:val="center"/>
        <w:rPr>
          <w:rFonts w:hint="default" w:ascii="Times New Roman" w:hAnsi="Times New Roman" w:eastAsia="宋体" w:cs="Times New Roman"/>
          <w:sz w:val="44"/>
          <w:szCs w:val="44"/>
        </w:rPr>
      </w:pPr>
    </w:p>
    <w:p>
      <w:pPr>
        <w:pStyle w:val="2"/>
        <w:keepNext/>
        <w:keepLines/>
        <w:spacing w:before="340" w:after="330" w:line="640" w:lineRule="exact"/>
        <w:ind w:firstLine="0"/>
        <w:jc w:val="center"/>
        <w:rPr>
          <w:rFonts w:hint="default" w:ascii="Times New Roman" w:hAnsi="Times New Roman" w:eastAsia="楷体_GB2312" w:cs="Times New Roman"/>
          <w:kern w:val="44"/>
          <w:sz w:val="52"/>
          <w:szCs w:val="52"/>
        </w:rPr>
      </w:pPr>
      <w:bookmarkStart w:id="0" w:name="_Toc13305"/>
      <w:r>
        <w:rPr>
          <w:rFonts w:hint="default" w:ascii="Times New Roman" w:hAnsi="Times New Roman" w:eastAsia="楷体_GB2312" w:cs="Times New Roman"/>
          <w:kern w:val="44"/>
          <w:sz w:val="52"/>
          <w:szCs w:val="52"/>
        </w:rPr>
        <w:t>三亚市海洋灾害应急预案</w:t>
      </w:r>
      <w:bookmarkEnd w:id="0"/>
    </w:p>
    <w:p>
      <w:pPr>
        <w:spacing w:line="570" w:lineRule="exact"/>
        <w:rPr>
          <w:rFonts w:hint="default" w:ascii="Times New Roman" w:hAnsi="Times New Roman" w:cs="Times New Roman"/>
          <w:sz w:val="52"/>
          <w:szCs w:val="52"/>
        </w:rPr>
      </w:pPr>
    </w:p>
    <w:p>
      <w:pPr>
        <w:spacing w:line="570" w:lineRule="exact"/>
        <w:rPr>
          <w:rFonts w:hint="default" w:ascii="Times New Roman" w:hAnsi="Times New Roman" w:cs="Times New Roman"/>
          <w:szCs w:val="28"/>
        </w:rPr>
      </w:pPr>
    </w:p>
    <w:p>
      <w:pPr>
        <w:spacing w:line="570" w:lineRule="exact"/>
        <w:rPr>
          <w:rFonts w:hint="default" w:ascii="Times New Roman" w:hAnsi="Times New Roman" w:cs="Times New Roman"/>
          <w:szCs w:val="28"/>
        </w:rPr>
      </w:pPr>
    </w:p>
    <w:p>
      <w:pPr>
        <w:spacing w:line="570" w:lineRule="exact"/>
        <w:rPr>
          <w:rFonts w:hint="default" w:ascii="Times New Roman" w:hAnsi="Times New Roman" w:cs="Times New Roman"/>
          <w:szCs w:val="28"/>
        </w:rPr>
      </w:pPr>
    </w:p>
    <w:p>
      <w:pPr>
        <w:spacing w:line="720" w:lineRule="auto"/>
        <w:outlineLvl w:val="0"/>
        <w:rPr>
          <w:rFonts w:hint="default" w:ascii="Times New Roman" w:hAnsi="Times New Roman" w:cs="Times New Roman"/>
          <w:szCs w:val="28"/>
        </w:rPr>
      </w:pPr>
    </w:p>
    <w:p>
      <w:pPr>
        <w:spacing w:line="570" w:lineRule="exact"/>
        <w:rPr>
          <w:rFonts w:hint="default" w:ascii="Times New Roman" w:hAnsi="Times New Roman" w:cs="Times New Roman"/>
          <w:szCs w:val="28"/>
        </w:rPr>
      </w:pPr>
    </w:p>
    <w:p>
      <w:pPr>
        <w:spacing w:line="570" w:lineRule="exact"/>
        <w:rPr>
          <w:rFonts w:hint="default" w:ascii="Times New Roman" w:hAnsi="Times New Roman" w:cs="Times New Roman"/>
          <w:szCs w:val="28"/>
        </w:rPr>
      </w:pPr>
    </w:p>
    <w:p>
      <w:pPr>
        <w:spacing w:line="570" w:lineRule="exact"/>
        <w:rPr>
          <w:rFonts w:hint="default" w:ascii="Times New Roman" w:hAnsi="Times New Roman" w:cs="Times New Roman"/>
          <w:szCs w:val="28"/>
        </w:rPr>
      </w:pPr>
    </w:p>
    <w:p>
      <w:pPr>
        <w:spacing w:line="570" w:lineRule="exact"/>
        <w:rPr>
          <w:rFonts w:hint="default" w:ascii="Times New Roman" w:hAnsi="Times New Roman" w:cs="Times New Roman"/>
          <w:szCs w:val="28"/>
        </w:rPr>
      </w:pPr>
    </w:p>
    <w:p>
      <w:pPr>
        <w:spacing w:line="570" w:lineRule="exact"/>
        <w:rPr>
          <w:rFonts w:hint="default" w:ascii="Times New Roman" w:hAnsi="Times New Roman" w:cs="Times New Roman"/>
          <w:szCs w:val="28"/>
        </w:rPr>
      </w:pPr>
    </w:p>
    <w:p>
      <w:pPr>
        <w:spacing w:line="570" w:lineRule="exact"/>
        <w:rPr>
          <w:rFonts w:hint="default" w:ascii="Times New Roman" w:hAnsi="Times New Roman" w:cs="Times New Roman"/>
          <w:szCs w:val="28"/>
        </w:rPr>
      </w:pPr>
    </w:p>
    <w:p>
      <w:pPr>
        <w:spacing w:line="570" w:lineRule="exact"/>
        <w:rPr>
          <w:rFonts w:hint="default" w:ascii="Times New Roman" w:hAnsi="Times New Roman" w:cs="Times New Roman"/>
          <w:b/>
          <w:bCs w:val="0"/>
          <w:sz w:val="32"/>
          <w:szCs w:val="32"/>
        </w:rPr>
      </w:pPr>
    </w:p>
    <w:p>
      <w:pPr>
        <w:spacing w:line="570" w:lineRule="exact"/>
        <w:rPr>
          <w:rFonts w:hint="default" w:ascii="Times New Roman" w:hAnsi="Times New Roman" w:cs="Times New Roman"/>
          <w:b/>
          <w:bCs w:val="0"/>
          <w:sz w:val="32"/>
          <w:szCs w:val="32"/>
        </w:rPr>
      </w:pPr>
    </w:p>
    <w:p>
      <w:pPr>
        <w:spacing w:line="570" w:lineRule="exact"/>
        <w:jc w:val="center"/>
        <w:rPr>
          <w:rFonts w:hint="default" w:ascii="Times New Roman" w:hAnsi="Times New Roman" w:cs="Times New Roman"/>
          <w:sz w:val="36"/>
          <w:szCs w:val="36"/>
        </w:rPr>
        <w:sectPr>
          <w:headerReference r:id="rId3" w:type="default"/>
          <w:pgSz w:w="11906" w:h="16838"/>
          <w:pgMar w:top="2098" w:right="1417" w:bottom="1984" w:left="1587" w:header="851" w:footer="992" w:gutter="0"/>
          <w:pgNumType w:start="1"/>
          <w:cols w:space="425" w:num="1"/>
          <w:docGrid w:type="lines" w:linePitch="312" w:charSpace="0"/>
        </w:sectPr>
      </w:pPr>
      <w:r>
        <w:rPr>
          <w:rFonts w:hint="default" w:ascii="Times New Roman" w:hAnsi="Times New Roman" w:eastAsia="黑体" w:cs="Times New Roman"/>
          <w:bCs w:val="0"/>
          <w:color w:val="000000"/>
          <w:sz w:val="36"/>
          <w:szCs w:val="36"/>
          <w:lang w:val="en"/>
        </w:rPr>
        <w:t>2025</w:t>
      </w:r>
      <w:r>
        <w:rPr>
          <w:rFonts w:hint="default" w:ascii="Times New Roman" w:hAnsi="Times New Roman" w:eastAsia="黑体" w:cs="Times New Roman"/>
          <w:bCs w:val="0"/>
          <w:color w:val="000000"/>
          <w:sz w:val="36"/>
          <w:szCs w:val="36"/>
        </w:rPr>
        <w:t>年10月</w:t>
      </w:r>
    </w:p>
    <w:sdt>
      <w:sdtPr>
        <w:rPr>
          <w:rFonts w:hint="default" w:ascii="Times New Roman" w:hAnsi="Times New Roman" w:cs="Times New Roman"/>
          <w:sz w:val="32"/>
          <w:szCs w:val="32"/>
        </w:rPr>
        <w:id w:val="147461848"/>
        <w15:color w:val="DBDBDB"/>
      </w:sdtPr>
      <w:sdtEndPr>
        <w:rPr>
          <w:rFonts w:hint="default" w:ascii="Times New Roman" w:hAnsi="Times New Roman" w:cs="Times New Roman"/>
          <w:sz w:val="28"/>
          <w:szCs w:val="28"/>
        </w:rPr>
      </w:sdtEndPr>
      <w:sdtContent>
        <w:p>
          <w:pPr>
            <w:spacing w:line="570" w:lineRule="exact"/>
            <w:jc w:val="center"/>
            <w:rPr>
              <w:rFonts w:hint="default" w:ascii="Times New Roman" w:hAnsi="Times New Roman" w:cs="Times New Roman"/>
              <w:sz w:val="32"/>
              <w:szCs w:val="32"/>
            </w:rPr>
          </w:pPr>
          <w:r>
            <w:rPr>
              <w:rFonts w:hint="default" w:ascii="Times New Roman" w:hAnsi="Times New Roman" w:cs="Times New Roman"/>
              <w:sz w:val="32"/>
              <w:szCs w:val="32"/>
            </w:rPr>
            <w:t>目  录</w:t>
          </w:r>
        </w:p>
        <w:p>
          <w:pPr>
            <w:pStyle w:val="13"/>
            <w:tabs>
              <w:tab w:val="right" w:leader="dot" w:pos="8902"/>
            </w:tabs>
            <w:rPr>
              <w:rFonts w:hint="default" w:ascii="Times New Roman" w:hAnsi="Times New Roman" w:cs="Times New Roman"/>
            </w:rPr>
          </w:pPr>
          <w:r>
            <w:rPr>
              <w:rFonts w:hint="default" w:ascii="Times New Roman" w:hAnsi="Times New Roman" w:cs="Times New Roman"/>
              <w:szCs w:val="28"/>
            </w:rPr>
            <w:fldChar w:fldCharType="begin"/>
          </w:r>
          <w:r>
            <w:rPr>
              <w:rFonts w:hint="default" w:ascii="Times New Roman" w:hAnsi="Times New Roman" w:cs="Times New Roman"/>
              <w:szCs w:val="28"/>
            </w:rPr>
            <w:instrText xml:space="preserve">TOC \o "1-3" \h \u </w:instrText>
          </w:r>
          <w:r>
            <w:rPr>
              <w:rFonts w:hint="default" w:ascii="Times New Roman" w:hAnsi="Times New Roman" w:cs="Times New Roman"/>
              <w:szCs w:val="28"/>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"_Toc19222" </w:instrText>
          </w:r>
          <w:r>
            <w:rPr>
              <w:rFonts w:hint="default" w:ascii="Times New Roman" w:hAnsi="Times New Roman" w:cs="Times New Roman"/>
            </w:rPr>
            <w:fldChar w:fldCharType="separate"/>
          </w:r>
          <w:r>
            <w:rPr>
              <w:rFonts w:hint="default" w:ascii="Times New Roman" w:hAnsi="Times New Roman" w:cs="Times New Roman"/>
              <w:bCs w:val="0"/>
              <w:kern w:val="44"/>
              <w:szCs w:val="32"/>
            </w:rPr>
            <w:t>1  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_Toc19222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"_Toc10838" </w:instrText>
          </w:r>
          <w:r>
            <w:rPr>
              <w:rFonts w:hint="default" w:ascii="Times New Roman" w:hAnsi="Times New Roman" w:cs="Times New Roman"/>
            </w:rPr>
            <w:fldChar w:fldCharType="separate"/>
          </w:r>
          <w:r>
            <w:rPr>
              <w:rFonts w:hint="default" w:ascii="Times New Roman" w:hAnsi="Times New Roman" w:cs="Times New Roman"/>
            </w:rPr>
            <w:t>1.1  编制目的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_Toc10838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"_Toc17085" </w:instrText>
          </w:r>
          <w:r>
            <w:rPr>
              <w:rFonts w:hint="default" w:ascii="Times New Roman" w:hAnsi="Times New Roman" w:cs="Times New Roman"/>
            </w:rPr>
            <w:fldChar w:fldCharType="separate"/>
          </w:r>
          <w:r>
            <w:rPr>
              <w:rFonts w:hint="default" w:ascii="Times New Roman" w:hAnsi="Times New Roman" w:cs="Times New Roman"/>
            </w:rPr>
            <w:t>1.2  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_Toc17085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"_Toc11073" </w:instrText>
          </w:r>
          <w:r>
            <w:rPr>
              <w:rFonts w:hint="default" w:ascii="Times New Roman" w:hAnsi="Times New Roman" w:cs="Times New Roman"/>
            </w:rPr>
            <w:fldChar w:fldCharType="separate"/>
          </w:r>
          <w:r>
            <w:rPr>
              <w:rFonts w:hint="default" w:ascii="Times New Roman" w:hAnsi="Times New Roman" w:cs="Times New Roman"/>
            </w:rPr>
            <w:t>1.3  适用范围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_Toc11073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"_Toc8184" </w:instrText>
          </w:r>
          <w:r>
            <w:rPr>
              <w:rFonts w:hint="default" w:ascii="Times New Roman" w:hAnsi="Times New Roman" w:cs="Times New Roman"/>
            </w:rPr>
            <w:fldChar w:fldCharType="separate"/>
          </w:r>
          <w:r>
            <w:rPr>
              <w:rFonts w:hint="default" w:ascii="Times New Roman" w:hAnsi="Times New Roman" w:cs="Times New Roman"/>
            </w:rPr>
            <w:t>1.4  工作原则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_Toc8184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3"/>
            <w:tabs>
              <w:tab w:val="right" w:leader="dot" w:pos="890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"_Toc11453" </w:instrText>
          </w:r>
          <w:r>
            <w:rPr>
              <w:rFonts w:hint="default" w:ascii="Times New Roman" w:hAnsi="Times New Roman" w:cs="Times New Roman"/>
            </w:rPr>
            <w:fldChar w:fldCharType="separate"/>
          </w:r>
          <w:r>
            <w:rPr>
              <w:rFonts w:hint="default" w:ascii="Times New Roman" w:hAnsi="Times New Roman" w:cs="Times New Roman"/>
              <w:bCs w:val="0"/>
              <w:kern w:val="44"/>
              <w:szCs w:val="32"/>
            </w:rPr>
            <w:t>2  组织体系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_Toc11453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"_Toc9374" </w:instrText>
          </w:r>
          <w:r>
            <w:rPr>
              <w:rFonts w:hint="default" w:ascii="Times New Roman" w:hAnsi="Times New Roman" w:cs="Times New Roman"/>
            </w:rPr>
            <w:fldChar w:fldCharType="separate"/>
          </w:r>
          <w:r>
            <w:rPr>
              <w:rFonts w:hint="default" w:ascii="Times New Roman" w:hAnsi="Times New Roman" w:cs="Times New Roman"/>
            </w:rPr>
            <w:t>2.1  三亚市防灾减灾救灾和安全生产委员会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_Toc9374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"_Toc1439" </w:instrText>
          </w:r>
          <w:r>
            <w:rPr>
              <w:rFonts w:hint="default" w:ascii="Times New Roman" w:hAnsi="Times New Roman" w:cs="Times New Roman"/>
            </w:rPr>
            <w:fldChar w:fldCharType="separate"/>
          </w:r>
          <w:r>
            <w:rPr>
              <w:rFonts w:hint="default" w:ascii="Times New Roman" w:hAnsi="Times New Roman" w:cs="Times New Roman"/>
            </w:rPr>
            <w:t>2.2  市海洋灾害专项工作组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_Toc1439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"_Toc5102" </w:instrText>
          </w:r>
          <w:r>
            <w:rPr>
              <w:rFonts w:hint="default" w:ascii="Times New Roman" w:hAnsi="Times New Roman" w:cs="Times New Roman"/>
            </w:rPr>
            <w:fldChar w:fldCharType="separate"/>
          </w:r>
          <w:r>
            <w:rPr>
              <w:rFonts w:hint="default" w:ascii="Times New Roman" w:hAnsi="Times New Roman" w:cs="Times New Roman"/>
            </w:rPr>
            <w:t>2.3  区级海洋灾害专项工作组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_Toc5102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"_Toc211" </w:instrText>
          </w:r>
          <w:r>
            <w:rPr>
              <w:rFonts w:hint="default" w:ascii="Times New Roman" w:hAnsi="Times New Roman" w:cs="Times New Roman"/>
            </w:rPr>
            <w:fldChar w:fldCharType="separate"/>
          </w:r>
          <w:r>
            <w:rPr>
              <w:rFonts w:hint="default" w:ascii="Times New Roman" w:hAnsi="Times New Roman" w:cs="Times New Roman"/>
            </w:rPr>
            <w:t>2.4  基层应急组织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_Toc211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"_Toc2057" </w:instrText>
          </w:r>
          <w:r>
            <w:rPr>
              <w:rFonts w:hint="default" w:ascii="Times New Roman" w:hAnsi="Times New Roman" w:cs="Times New Roman"/>
            </w:rPr>
            <w:fldChar w:fldCharType="separate"/>
          </w:r>
          <w:r>
            <w:rPr>
              <w:rFonts w:hint="default" w:ascii="Times New Roman" w:hAnsi="Times New Roman" w:cs="Times New Roman"/>
            </w:rPr>
            <w:t>2.5  市海洋灾害抢险救援队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_Toc2057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3"/>
            <w:tabs>
              <w:tab w:val="right" w:leader="dot" w:pos="890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"_Toc11689" </w:instrText>
          </w:r>
          <w:r>
            <w:rPr>
              <w:rFonts w:hint="default" w:ascii="Times New Roman" w:hAnsi="Times New Roman" w:cs="Times New Roman"/>
            </w:rPr>
            <w:fldChar w:fldCharType="separate"/>
          </w:r>
          <w:r>
            <w:rPr>
              <w:rFonts w:hint="default" w:ascii="Times New Roman" w:hAnsi="Times New Roman" w:cs="Times New Roman"/>
              <w:bCs w:val="0"/>
              <w:kern w:val="44"/>
              <w:szCs w:val="32"/>
            </w:rPr>
            <w:t>3  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_Toc11689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"_Toc23600" </w:instrText>
          </w:r>
          <w:r>
            <w:rPr>
              <w:rFonts w:hint="default" w:ascii="Times New Roman" w:hAnsi="Times New Roman" w:cs="Times New Roman"/>
            </w:rPr>
            <w:fldChar w:fldCharType="separate"/>
          </w:r>
          <w:r>
            <w:rPr>
              <w:rFonts w:hint="default" w:ascii="Times New Roman" w:hAnsi="Times New Roman" w:cs="Times New Roman"/>
            </w:rPr>
            <w:t>3.1  预警级别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_Toc23600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"_Toc16084" </w:instrText>
          </w:r>
          <w:r>
            <w:rPr>
              <w:rFonts w:hint="default" w:ascii="Times New Roman" w:hAnsi="Times New Roman" w:cs="Times New Roman"/>
            </w:rPr>
            <w:fldChar w:fldCharType="separate"/>
          </w:r>
          <w:r>
            <w:rPr>
              <w:rFonts w:hint="default" w:ascii="Times New Roman" w:hAnsi="Times New Roman" w:cs="Times New Roman"/>
            </w:rPr>
            <w:t>3.2  预警信息</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_Toc16084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"_Toc9972" </w:instrText>
          </w:r>
          <w:r>
            <w:rPr>
              <w:rFonts w:hint="default" w:ascii="Times New Roman" w:hAnsi="Times New Roman" w:cs="Times New Roman"/>
            </w:rPr>
            <w:fldChar w:fldCharType="separate"/>
          </w:r>
          <w:r>
            <w:rPr>
              <w:rFonts w:hint="default" w:ascii="Times New Roman" w:hAnsi="Times New Roman" w:cs="Times New Roman"/>
            </w:rPr>
            <w:t>3.3  预警信息发布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_Toc9972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"_Toc28258" </w:instrText>
          </w:r>
          <w:r>
            <w:rPr>
              <w:rFonts w:hint="default" w:ascii="Times New Roman" w:hAnsi="Times New Roman" w:cs="Times New Roman"/>
            </w:rPr>
            <w:fldChar w:fldCharType="separate"/>
          </w:r>
          <w:r>
            <w:rPr>
              <w:rFonts w:hint="default" w:ascii="Times New Roman" w:hAnsi="Times New Roman" w:cs="Times New Roman"/>
            </w:rPr>
            <w:t>3.4  预警级别的变更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_Toc28258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3"/>
            <w:tabs>
              <w:tab w:val="right" w:leader="dot" w:pos="890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"_Toc18653" </w:instrText>
          </w:r>
          <w:r>
            <w:rPr>
              <w:rFonts w:hint="default" w:ascii="Times New Roman" w:hAnsi="Times New Roman" w:cs="Times New Roman"/>
            </w:rPr>
            <w:fldChar w:fldCharType="separate"/>
          </w:r>
          <w:r>
            <w:rPr>
              <w:rFonts w:hint="default" w:ascii="Times New Roman" w:hAnsi="Times New Roman" w:cs="Times New Roman"/>
              <w:bCs w:val="0"/>
              <w:kern w:val="44"/>
              <w:szCs w:val="32"/>
            </w:rPr>
            <w:t>4  应急响应</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_Toc18653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"_Toc22155" </w:instrText>
          </w:r>
          <w:r>
            <w:rPr>
              <w:rFonts w:hint="default" w:ascii="Times New Roman" w:hAnsi="Times New Roman" w:cs="Times New Roman"/>
            </w:rPr>
            <w:fldChar w:fldCharType="separate"/>
          </w:r>
          <w:r>
            <w:rPr>
              <w:rFonts w:hint="default" w:ascii="Times New Roman" w:hAnsi="Times New Roman" w:cs="Times New Roman"/>
            </w:rPr>
            <w:t>4.1  响应级别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_Toc22155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"_Toc17515" </w:instrText>
          </w:r>
          <w:r>
            <w:rPr>
              <w:rFonts w:hint="default" w:ascii="Times New Roman" w:hAnsi="Times New Roman" w:cs="Times New Roman"/>
            </w:rPr>
            <w:fldChar w:fldCharType="separate"/>
          </w:r>
          <w:r>
            <w:rPr>
              <w:rFonts w:hint="default" w:ascii="Times New Roman" w:hAnsi="Times New Roman" w:cs="Times New Roman"/>
            </w:rPr>
            <w:t>4.2  响应程序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_Toc17515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sectPr>
              <w:footerReference r:id="rId4" w:type="default"/>
              <w:pgSz w:w="11906" w:h="16838"/>
              <w:pgMar w:top="2098" w:right="1417" w:bottom="1984" w:left="1587" w:header="851" w:footer="992" w:gutter="0"/>
              <w:pgNumType w:start="1"/>
              <w:cols w:space="425" w:num="1"/>
              <w:docGrid w:type="lines" w:linePitch="312" w:charSpace="0"/>
            </w:sectPr>
          </w:pP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"_Toc12674" </w:instrText>
          </w:r>
          <w:r>
            <w:rPr>
              <w:rFonts w:hint="default" w:ascii="Times New Roman" w:hAnsi="Times New Roman" w:cs="Times New Roman"/>
            </w:rPr>
            <w:fldChar w:fldCharType="separate"/>
          </w:r>
          <w:r>
            <w:rPr>
              <w:rFonts w:hint="default" w:ascii="Times New Roman" w:hAnsi="Times New Roman" w:cs="Times New Roman"/>
            </w:rPr>
            <w:t>4.3 应急响应处置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_Toc12674 \h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"_Toc11786" </w:instrText>
          </w:r>
          <w:r>
            <w:rPr>
              <w:rFonts w:hint="default" w:ascii="Times New Roman" w:hAnsi="Times New Roman" w:cs="Times New Roman"/>
            </w:rPr>
            <w:fldChar w:fldCharType="separate"/>
          </w:r>
          <w:r>
            <w:rPr>
              <w:rFonts w:hint="default" w:ascii="Times New Roman" w:hAnsi="Times New Roman" w:cs="Times New Roman"/>
            </w:rPr>
            <w:t>4.4  应急响应终止</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_Toc11786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"_Toc11578" </w:instrText>
          </w:r>
          <w:r>
            <w:rPr>
              <w:rFonts w:hint="default" w:ascii="Times New Roman" w:hAnsi="Times New Roman" w:cs="Times New Roman"/>
            </w:rPr>
            <w:fldChar w:fldCharType="separate"/>
          </w:r>
          <w:r>
            <w:rPr>
              <w:rFonts w:hint="default" w:ascii="Times New Roman" w:hAnsi="Times New Roman" w:cs="Times New Roman"/>
            </w:rPr>
            <w:t>4.5  信息报送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_Toc11578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"_Toc7451" </w:instrText>
          </w:r>
          <w:r>
            <w:rPr>
              <w:rFonts w:hint="default" w:ascii="Times New Roman" w:hAnsi="Times New Roman" w:cs="Times New Roman"/>
            </w:rPr>
            <w:fldChar w:fldCharType="separate"/>
          </w:r>
          <w:r>
            <w:rPr>
              <w:rFonts w:hint="default" w:ascii="Times New Roman" w:hAnsi="Times New Roman" w:cs="Times New Roman"/>
            </w:rPr>
            <w:t>4.6  信息发布和舆情应对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_Toc7451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3"/>
            <w:tabs>
              <w:tab w:val="right" w:leader="dot" w:pos="890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"_Toc15624" </w:instrText>
          </w:r>
          <w:r>
            <w:rPr>
              <w:rFonts w:hint="default" w:ascii="Times New Roman" w:hAnsi="Times New Roman" w:cs="Times New Roman"/>
            </w:rPr>
            <w:fldChar w:fldCharType="separate"/>
          </w:r>
          <w:r>
            <w:rPr>
              <w:rFonts w:hint="default" w:ascii="Times New Roman" w:hAnsi="Times New Roman" w:cs="Times New Roman"/>
              <w:bCs w:val="0"/>
              <w:kern w:val="44"/>
              <w:szCs w:val="32"/>
            </w:rPr>
            <w:t>5  灾后恢复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_Toc15624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"_Toc10753" </w:instrText>
          </w:r>
          <w:r>
            <w:rPr>
              <w:rFonts w:hint="default" w:ascii="Times New Roman" w:hAnsi="Times New Roman" w:cs="Times New Roman"/>
            </w:rPr>
            <w:fldChar w:fldCharType="separate"/>
          </w:r>
          <w:r>
            <w:rPr>
              <w:rFonts w:hint="default" w:ascii="Times New Roman" w:hAnsi="Times New Roman" w:cs="Times New Roman"/>
            </w:rPr>
            <w:t>5.1  善后处置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_Toc10753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"_Toc27272" </w:instrText>
          </w:r>
          <w:r>
            <w:rPr>
              <w:rFonts w:hint="default" w:ascii="Times New Roman" w:hAnsi="Times New Roman" w:cs="Times New Roman"/>
            </w:rPr>
            <w:fldChar w:fldCharType="separate"/>
          </w:r>
          <w:r>
            <w:rPr>
              <w:rFonts w:hint="default" w:ascii="Times New Roman" w:hAnsi="Times New Roman" w:cs="Times New Roman"/>
            </w:rPr>
            <w:t>5.2  调查评估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_Toc27272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"_Toc2449" </w:instrText>
          </w:r>
          <w:r>
            <w:rPr>
              <w:rFonts w:hint="default" w:ascii="Times New Roman" w:hAnsi="Times New Roman" w:cs="Times New Roman"/>
            </w:rPr>
            <w:fldChar w:fldCharType="separate"/>
          </w:r>
          <w:r>
            <w:rPr>
              <w:rFonts w:hint="default" w:ascii="Times New Roman" w:hAnsi="Times New Roman" w:cs="Times New Roman"/>
            </w:rPr>
            <w:t>5.3  灾后重建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_Toc2449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3"/>
            <w:tabs>
              <w:tab w:val="right" w:leader="dot" w:pos="890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"_Toc26062" </w:instrText>
          </w:r>
          <w:r>
            <w:rPr>
              <w:rFonts w:hint="default" w:ascii="Times New Roman" w:hAnsi="Times New Roman" w:cs="Times New Roman"/>
            </w:rPr>
            <w:fldChar w:fldCharType="separate"/>
          </w:r>
          <w:r>
            <w:rPr>
              <w:rFonts w:hint="default" w:ascii="Times New Roman" w:hAnsi="Times New Roman" w:cs="Times New Roman"/>
              <w:bCs w:val="0"/>
              <w:kern w:val="44"/>
              <w:szCs w:val="32"/>
            </w:rPr>
            <w:t>6  应急保障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_Toc26062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"_Toc21373" </w:instrText>
          </w:r>
          <w:r>
            <w:rPr>
              <w:rFonts w:hint="default" w:ascii="Times New Roman" w:hAnsi="Times New Roman" w:cs="Times New Roman"/>
            </w:rPr>
            <w:fldChar w:fldCharType="separate"/>
          </w:r>
          <w:r>
            <w:rPr>
              <w:rFonts w:hint="default" w:ascii="Times New Roman" w:hAnsi="Times New Roman" w:cs="Times New Roman"/>
            </w:rPr>
            <w:t>6.1  技术保障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_Toc21373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"_Toc14318" </w:instrText>
          </w:r>
          <w:r>
            <w:rPr>
              <w:rFonts w:hint="default" w:ascii="Times New Roman" w:hAnsi="Times New Roman" w:cs="Times New Roman"/>
            </w:rPr>
            <w:fldChar w:fldCharType="separate"/>
          </w:r>
          <w:r>
            <w:rPr>
              <w:rFonts w:hint="default" w:ascii="Times New Roman" w:hAnsi="Times New Roman" w:cs="Times New Roman"/>
            </w:rPr>
            <w:t>6.2  物资保障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_Toc14318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"_Toc9228" </w:instrText>
          </w:r>
          <w:r>
            <w:rPr>
              <w:rFonts w:hint="default" w:ascii="Times New Roman" w:hAnsi="Times New Roman" w:cs="Times New Roman"/>
            </w:rPr>
            <w:fldChar w:fldCharType="separate"/>
          </w:r>
          <w:r>
            <w:rPr>
              <w:rFonts w:hint="default" w:ascii="Times New Roman" w:hAnsi="Times New Roman" w:cs="Times New Roman"/>
            </w:rPr>
            <w:t>6.3  经费保障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_Toc9228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"_Toc28049" </w:instrText>
          </w:r>
          <w:r>
            <w:rPr>
              <w:rFonts w:hint="default" w:ascii="Times New Roman" w:hAnsi="Times New Roman" w:cs="Times New Roman"/>
            </w:rPr>
            <w:fldChar w:fldCharType="separate"/>
          </w:r>
          <w:r>
            <w:rPr>
              <w:rFonts w:hint="default" w:ascii="Times New Roman" w:hAnsi="Times New Roman" w:cs="Times New Roman"/>
            </w:rPr>
            <w:t>6.4  隐患排查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_Toc28049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"_Toc6359" </w:instrText>
          </w:r>
          <w:r>
            <w:rPr>
              <w:rFonts w:hint="default" w:ascii="Times New Roman" w:hAnsi="Times New Roman" w:cs="Times New Roman"/>
            </w:rPr>
            <w:fldChar w:fldCharType="separate"/>
          </w:r>
          <w:r>
            <w:rPr>
              <w:rFonts w:hint="default" w:ascii="Times New Roman" w:hAnsi="Times New Roman" w:cs="Times New Roman"/>
            </w:rPr>
            <w:t>6.5  生态保护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_Toc6359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"_Toc11056" </w:instrText>
          </w:r>
          <w:r>
            <w:rPr>
              <w:rFonts w:hint="default" w:ascii="Times New Roman" w:hAnsi="Times New Roman" w:cs="Times New Roman"/>
            </w:rPr>
            <w:fldChar w:fldCharType="separate"/>
          </w:r>
          <w:r>
            <w:rPr>
              <w:rFonts w:hint="default" w:ascii="Times New Roman" w:hAnsi="Times New Roman" w:cs="Times New Roman"/>
            </w:rPr>
            <w:t>6.6  宣传培训</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_Toc11056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"_Toc29845" </w:instrText>
          </w:r>
          <w:r>
            <w:rPr>
              <w:rFonts w:hint="default" w:ascii="Times New Roman" w:hAnsi="Times New Roman" w:cs="Times New Roman"/>
            </w:rPr>
            <w:fldChar w:fldCharType="separate"/>
          </w:r>
          <w:r>
            <w:rPr>
              <w:rFonts w:hint="default" w:ascii="Times New Roman" w:hAnsi="Times New Roman" w:cs="Times New Roman"/>
            </w:rPr>
            <w:t>6.7  其他保障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_Toc29845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3"/>
            <w:tabs>
              <w:tab w:val="right" w:leader="dot" w:pos="890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"_Toc8262" </w:instrText>
          </w:r>
          <w:r>
            <w:rPr>
              <w:rFonts w:hint="default" w:ascii="Times New Roman" w:hAnsi="Times New Roman" w:cs="Times New Roman"/>
            </w:rPr>
            <w:fldChar w:fldCharType="separate"/>
          </w:r>
          <w:r>
            <w:rPr>
              <w:rFonts w:hint="default" w:ascii="Times New Roman" w:hAnsi="Times New Roman" w:cs="Times New Roman"/>
              <w:bCs w:val="0"/>
              <w:kern w:val="44"/>
              <w:szCs w:val="32"/>
            </w:rPr>
            <w:t>7  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_Toc8262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"_Toc10759" </w:instrText>
          </w:r>
          <w:r>
            <w:rPr>
              <w:rFonts w:hint="default" w:ascii="Times New Roman" w:hAnsi="Times New Roman" w:cs="Times New Roman"/>
            </w:rPr>
            <w:fldChar w:fldCharType="separate"/>
          </w:r>
          <w:r>
            <w:rPr>
              <w:rFonts w:hint="default" w:ascii="Times New Roman" w:hAnsi="Times New Roman" w:cs="Times New Roman"/>
            </w:rPr>
            <w:t>7.1  预案管理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_Toc10759 \h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"_Toc14582" </w:instrText>
          </w:r>
          <w:r>
            <w:rPr>
              <w:rFonts w:hint="default" w:ascii="Times New Roman" w:hAnsi="Times New Roman" w:cs="Times New Roman"/>
            </w:rPr>
            <w:fldChar w:fldCharType="separate"/>
          </w:r>
          <w:r>
            <w:rPr>
              <w:rFonts w:hint="default" w:ascii="Times New Roman" w:hAnsi="Times New Roman" w:cs="Times New Roman"/>
            </w:rPr>
            <w:t>7.2  预案演练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_Toc14582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"_Toc20356" </w:instrText>
          </w:r>
          <w:r>
            <w:rPr>
              <w:rFonts w:hint="default" w:ascii="Times New Roman" w:hAnsi="Times New Roman" w:cs="Times New Roman"/>
            </w:rPr>
            <w:fldChar w:fldCharType="separate"/>
          </w:r>
          <w:r>
            <w:rPr>
              <w:rFonts w:hint="default" w:ascii="Times New Roman" w:hAnsi="Times New Roman" w:cs="Times New Roman"/>
            </w:rPr>
            <w:t>7.3  奖惩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_Toc20356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sectPr>
              <w:footerReference r:id="rId5" w:type="default"/>
              <w:pgSz w:w="11906" w:h="16838"/>
              <w:pgMar w:top="2098" w:right="1417" w:bottom="1984" w:left="1587" w:header="851" w:footer="992" w:gutter="0"/>
              <w:pgNumType w:start="1"/>
              <w:cols w:space="425" w:num="1"/>
              <w:docGrid w:type="lines" w:linePitch="312" w:charSpace="0"/>
            </w:sectPr>
          </w:pP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"_Toc10743" </w:instrText>
          </w:r>
          <w:r>
            <w:rPr>
              <w:rFonts w:hint="default" w:ascii="Times New Roman" w:hAnsi="Times New Roman" w:cs="Times New Roman"/>
            </w:rPr>
            <w:fldChar w:fldCharType="separate"/>
          </w:r>
          <w:r>
            <w:rPr>
              <w:rFonts w:hint="default" w:ascii="Times New Roman" w:hAnsi="Times New Roman" w:cs="Times New Roman"/>
            </w:rPr>
            <w:t>7.4  主管机构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_Toc10743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"_Toc18363" </w:instrText>
          </w:r>
          <w:r>
            <w:rPr>
              <w:rFonts w:hint="default" w:ascii="Times New Roman" w:hAnsi="Times New Roman" w:cs="Times New Roman"/>
            </w:rPr>
            <w:fldChar w:fldCharType="separate"/>
          </w:r>
          <w:r>
            <w:rPr>
              <w:rFonts w:hint="default" w:ascii="Times New Roman" w:hAnsi="Times New Roman" w:cs="Times New Roman"/>
            </w:rPr>
            <w:t>7.5  实施时间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_Toc18363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3"/>
            <w:tabs>
              <w:tab w:val="right" w:leader="dot" w:pos="890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"_Toc4291" </w:instrText>
          </w:r>
          <w:r>
            <w:rPr>
              <w:rFonts w:hint="default" w:ascii="Times New Roman" w:hAnsi="Times New Roman" w:cs="Times New Roman"/>
            </w:rPr>
            <w:fldChar w:fldCharType="separate"/>
          </w:r>
          <w:r>
            <w:rPr>
              <w:rFonts w:hint="default" w:ascii="Times New Roman" w:hAnsi="Times New Roman" w:cs="Times New Roman"/>
              <w:bCs w:val="0"/>
              <w:kern w:val="44"/>
              <w:szCs w:val="32"/>
            </w:rPr>
            <w:t>8  附录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_Toc4291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"_Toc4512" </w:instrText>
          </w:r>
          <w:r>
            <w:rPr>
              <w:rFonts w:hint="default" w:ascii="Times New Roman" w:hAnsi="Times New Roman" w:cs="Times New Roman"/>
            </w:rPr>
            <w:fldChar w:fldCharType="separate"/>
          </w:r>
          <w:r>
            <w:rPr>
              <w:rFonts w:hint="default" w:ascii="Times New Roman" w:hAnsi="Times New Roman" w:cs="Times New Roman"/>
            </w:rPr>
            <w:t xml:space="preserve">附录1 </w:t>
          </w:r>
          <w:r>
            <w:rPr>
              <w:rFonts w:hint="default" w:ascii="Times New Roman" w:hAnsi="Times New Roman" w:cs="Times New Roman"/>
            </w:rPr>
            <w:fldChar w:fldCharType="end"/>
          </w:r>
          <w:r>
            <w:rPr>
              <w:rFonts w:hint="default" w:ascii="Times New Roman" w:hAnsi="Times New Roman" w:cs="Times New Roman"/>
              <w:szCs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"_Toc29275" </w:instrText>
          </w:r>
          <w:r>
            <w:rPr>
              <w:rFonts w:hint="default" w:ascii="Times New Roman" w:hAnsi="Times New Roman" w:cs="Times New Roman"/>
            </w:rPr>
            <w:fldChar w:fldCharType="separate"/>
          </w:r>
          <w:r>
            <w:rPr>
              <w:rFonts w:hint="default" w:ascii="Times New Roman" w:hAnsi="Times New Roman" w:cs="Times New Roman"/>
            </w:rPr>
            <w:t>海洋灾害及相关名词解释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_Toc29275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"_Toc159" </w:instrText>
          </w:r>
          <w:r>
            <w:rPr>
              <w:rFonts w:hint="default" w:ascii="Times New Roman" w:hAnsi="Times New Roman" w:cs="Times New Roman"/>
            </w:rPr>
            <w:fldChar w:fldCharType="separate"/>
          </w:r>
          <w:r>
            <w:rPr>
              <w:rFonts w:hint="default" w:ascii="Times New Roman" w:hAnsi="Times New Roman" w:cs="Times New Roman"/>
            </w:rPr>
            <w:t>附录2</w:t>
          </w:r>
          <w:r>
            <w:rPr>
              <w:rFonts w:hint="default" w:ascii="Times New Roman" w:hAnsi="Times New Roman" w:cs="Times New Roman"/>
            </w:rPr>
            <w:fldChar w:fldCharType="end"/>
          </w:r>
          <w:r>
            <w:rPr>
              <w:rFonts w:hint="default" w:ascii="Times New Roman" w:hAnsi="Times New Roman" w:cs="Times New Roman"/>
              <w:szCs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"_Toc29990" </w:instrText>
          </w:r>
          <w:r>
            <w:rPr>
              <w:rFonts w:hint="default" w:ascii="Times New Roman" w:hAnsi="Times New Roman" w:cs="Times New Roman"/>
            </w:rPr>
            <w:fldChar w:fldCharType="separate"/>
          </w:r>
          <w:r>
            <w:rPr>
              <w:rFonts w:hint="default" w:ascii="Times New Roman" w:hAnsi="Times New Roman" w:cs="Times New Roman"/>
            </w:rPr>
            <w:t>风暴潮、海浪和海啸灾害预警发布标准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_Toc29990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"_Toc26505" </w:instrText>
          </w:r>
          <w:r>
            <w:rPr>
              <w:rFonts w:hint="default" w:ascii="Times New Roman" w:hAnsi="Times New Roman" w:cs="Times New Roman"/>
            </w:rPr>
            <w:fldChar w:fldCharType="separate"/>
          </w:r>
          <w:r>
            <w:rPr>
              <w:rFonts w:hint="default" w:ascii="Times New Roman" w:hAnsi="Times New Roman" w:cs="Times New Roman"/>
            </w:rPr>
            <w:t>附录3</w:t>
          </w:r>
          <w:r>
            <w:rPr>
              <w:rFonts w:hint="default" w:ascii="Times New Roman" w:hAnsi="Times New Roman" w:cs="Times New Roman"/>
            </w:rPr>
            <w:fldChar w:fldCharType="end"/>
          </w:r>
          <w:r>
            <w:rPr>
              <w:rFonts w:hint="default" w:ascii="Times New Roman" w:hAnsi="Times New Roman" w:cs="Times New Roman"/>
              <w:szCs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"_Toc22186" </w:instrText>
          </w:r>
          <w:r>
            <w:rPr>
              <w:rFonts w:hint="default" w:ascii="Times New Roman" w:hAnsi="Times New Roman" w:cs="Times New Roman"/>
            </w:rPr>
            <w:fldChar w:fldCharType="separate"/>
          </w:r>
          <w:r>
            <w:rPr>
              <w:rFonts w:hint="default" w:ascii="Times New Roman" w:hAnsi="Times New Roman" w:cs="Times New Roman"/>
            </w:rPr>
            <w:t>赤潮灾害事件标准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_Toc22186 \h </w:instrText>
          </w:r>
          <w:r>
            <w:rPr>
              <w:rFonts w:hint="default" w:ascii="Times New Roman" w:hAnsi="Times New Roman" w:cs="Times New Roman"/>
            </w:rPr>
            <w:fldChar w:fldCharType="separate"/>
          </w:r>
          <w:r>
            <w:rPr>
              <w:rFonts w:hint="default" w:ascii="Times New Roman" w:hAnsi="Times New Roman" w:cs="Times New Roman"/>
            </w:rPr>
            <w:t>43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"_Toc21468" </w:instrText>
          </w:r>
          <w:r>
            <w:rPr>
              <w:rFonts w:hint="default" w:ascii="Times New Roman" w:hAnsi="Times New Roman" w:cs="Times New Roman"/>
            </w:rPr>
            <w:fldChar w:fldCharType="separate"/>
          </w:r>
          <w:r>
            <w:rPr>
              <w:rFonts w:hint="default" w:ascii="Times New Roman" w:hAnsi="Times New Roman" w:cs="Times New Roman"/>
            </w:rPr>
            <w:t>附录4</w:t>
          </w:r>
          <w:r>
            <w:rPr>
              <w:rFonts w:hint="default" w:ascii="Times New Roman" w:hAnsi="Times New Roman" w:cs="Times New Roman"/>
            </w:rPr>
            <w:fldChar w:fldCharType="end"/>
          </w:r>
          <w:r>
            <w:rPr>
              <w:rFonts w:hint="default" w:ascii="Times New Roman" w:hAnsi="Times New Roman" w:cs="Times New Roman"/>
              <w:szCs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"_Toc25652" </w:instrText>
          </w:r>
          <w:r>
            <w:rPr>
              <w:rFonts w:hint="default" w:ascii="Times New Roman" w:hAnsi="Times New Roman" w:cs="Times New Roman"/>
            </w:rPr>
            <w:fldChar w:fldCharType="separate"/>
          </w:r>
          <w:r>
            <w:rPr>
              <w:rFonts w:hint="default" w:ascii="Times New Roman" w:hAnsi="Times New Roman" w:cs="Times New Roman"/>
            </w:rPr>
            <w:t>三亚市5个岸段警戒潮位值表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_Toc25652 \h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"_Toc9299" </w:instrText>
          </w:r>
          <w:r>
            <w:rPr>
              <w:rFonts w:hint="default" w:ascii="Times New Roman" w:hAnsi="Times New Roman" w:cs="Times New Roman"/>
            </w:rPr>
            <w:fldChar w:fldCharType="separate"/>
          </w:r>
          <w:r>
            <w:rPr>
              <w:rFonts w:hint="default" w:ascii="Times New Roman" w:hAnsi="Times New Roman" w:cs="Times New Roman"/>
            </w:rPr>
            <w:t>附录5</w:t>
          </w:r>
          <w:r>
            <w:rPr>
              <w:rFonts w:hint="default" w:ascii="Times New Roman" w:hAnsi="Times New Roman" w:cs="Times New Roman"/>
            </w:rPr>
            <w:fldChar w:fldCharType="end"/>
          </w:r>
          <w:r>
            <w:rPr>
              <w:rFonts w:hint="default" w:ascii="Times New Roman" w:hAnsi="Times New Roman" w:cs="Times New Roman"/>
              <w:szCs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"_Toc13743" </w:instrText>
          </w:r>
          <w:r>
            <w:rPr>
              <w:rFonts w:hint="default" w:ascii="Times New Roman" w:hAnsi="Times New Roman" w:cs="Times New Roman"/>
            </w:rPr>
            <w:fldChar w:fldCharType="separate"/>
          </w:r>
          <w:r>
            <w:rPr>
              <w:rFonts w:hint="default" w:ascii="Times New Roman" w:hAnsi="Times New Roman" w:cs="Times New Roman"/>
            </w:rPr>
            <w:t>三亚市海洋灾害防治区（重点防御区）一览表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_Toc13743 \h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"_Toc23774" </w:instrText>
          </w:r>
          <w:r>
            <w:rPr>
              <w:rFonts w:hint="default" w:ascii="Times New Roman" w:hAnsi="Times New Roman" w:cs="Times New Roman"/>
            </w:rPr>
            <w:fldChar w:fldCharType="separate"/>
          </w:r>
          <w:r>
            <w:rPr>
              <w:rFonts w:hint="default" w:ascii="Times New Roman" w:hAnsi="Times New Roman" w:cs="Times New Roman"/>
            </w:rPr>
            <w:t>附录6</w:t>
          </w:r>
          <w:r>
            <w:rPr>
              <w:rFonts w:hint="default" w:ascii="Times New Roman" w:hAnsi="Times New Roman" w:cs="Times New Roman"/>
            </w:rPr>
            <w:fldChar w:fldCharType="end"/>
          </w:r>
          <w:r>
            <w:rPr>
              <w:rFonts w:hint="default" w:ascii="Times New Roman" w:hAnsi="Times New Roman" w:cs="Times New Roman"/>
              <w:szCs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"_Toc9269" </w:instrText>
          </w:r>
          <w:r>
            <w:rPr>
              <w:rFonts w:hint="default" w:ascii="Times New Roman" w:hAnsi="Times New Roman" w:cs="Times New Roman"/>
            </w:rPr>
            <w:fldChar w:fldCharType="separate"/>
          </w:r>
          <w:r>
            <w:rPr>
              <w:rFonts w:hint="default" w:ascii="Times New Roman" w:hAnsi="Times New Roman" w:cs="Times New Roman"/>
            </w:rPr>
            <w:t>三亚市沿海低洼地区分布一览表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_Toc9269 \h </w:instrText>
          </w:r>
          <w:r>
            <w:rPr>
              <w:rFonts w:hint="default" w:ascii="Times New Roman" w:hAnsi="Times New Roman" w:cs="Times New Roman"/>
            </w:rPr>
            <w:fldChar w:fldCharType="separate"/>
          </w:r>
          <w:r>
            <w:rPr>
              <w:rFonts w:hint="default" w:ascii="Times New Roman" w:hAnsi="Times New Roman" w:cs="Times New Roman"/>
            </w:rPr>
            <w:t>48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"_Toc27508" </w:instrText>
          </w:r>
          <w:r>
            <w:rPr>
              <w:rFonts w:hint="default" w:ascii="Times New Roman" w:hAnsi="Times New Roman" w:cs="Times New Roman"/>
            </w:rPr>
            <w:fldChar w:fldCharType="separate"/>
          </w:r>
          <w:r>
            <w:rPr>
              <w:rFonts w:hint="default" w:ascii="Times New Roman" w:hAnsi="Times New Roman" w:cs="Times New Roman"/>
            </w:rPr>
            <w:t>附录7</w:t>
          </w:r>
          <w:r>
            <w:rPr>
              <w:rFonts w:hint="default" w:ascii="Times New Roman" w:hAnsi="Times New Roman" w:cs="Times New Roman"/>
            </w:rPr>
            <w:fldChar w:fldCharType="end"/>
          </w:r>
          <w:r>
            <w:rPr>
              <w:rFonts w:hint="default" w:ascii="Times New Roman" w:hAnsi="Times New Roman" w:cs="Times New Roman"/>
              <w:szCs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"_Toc543" </w:instrText>
          </w:r>
          <w:r>
            <w:rPr>
              <w:rFonts w:hint="default" w:ascii="Times New Roman" w:hAnsi="Times New Roman" w:cs="Times New Roman"/>
            </w:rPr>
            <w:fldChar w:fldCharType="separate"/>
          </w:r>
          <w:r>
            <w:rPr>
              <w:rFonts w:hint="default" w:ascii="Times New Roman" w:hAnsi="Times New Roman" w:cs="Times New Roman"/>
            </w:rPr>
            <w:t>三亚市应急疏散点位置信息及</w:t>
          </w:r>
          <w:r>
            <w:rPr>
              <w:rFonts w:hint="default" w:ascii="Times New Roman" w:hAnsi="Times New Roman" w:cs="Times New Roman"/>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\l "_Toc27739" </w:instrText>
          </w:r>
          <w:r>
            <w:rPr>
              <w:rFonts w:hint="default" w:ascii="Times New Roman" w:hAnsi="Times New Roman" w:cs="Times New Roman"/>
            </w:rPr>
            <w:fldChar w:fldCharType="separate"/>
          </w:r>
          <w:r>
            <w:rPr>
              <w:rFonts w:hint="default" w:ascii="Times New Roman" w:hAnsi="Times New Roman" w:cs="Times New Roman"/>
            </w:rPr>
            <w:t>三亚市应急疏散路线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_Toc27739 \h </w:instrText>
          </w:r>
          <w:r>
            <w:rPr>
              <w:rFonts w:hint="default" w:ascii="Times New Roman" w:hAnsi="Times New Roman" w:cs="Times New Roman"/>
            </w:rPr>
            <w:fldChar w:fldCharType="separate"/>
          </w:r>
          <w:r>
            <w:rPr>
              <w:rFonts w:hint="default" w:ascii="Times New Roman" w:hAnsi="Times New Roman" w:cs="Times New Roman"/>
            </w:rPr>
            <w:t>51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902"/>
            </w:tabs>
            <w:ind w:left="56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"_Toc2206" </w:instrText>
          </w:r>
          <w:r>
            <w:rPr>
              <w:rFonts w:hint="default" w:ascii="Times New Roman" w:hAnsi="Times New Roman" w:cs="Times New Roman"/>
            </w:rPr>
            <w:fldChar w:fldCharType="separate"/>
          </w:r>
          <w:r>
            <w:rPr>
              <w:rFonts w:hint="default" w:ascii="Times New Roman" w:hAnsi="Times New Roman" w:cs="Times New Roman"/>
            </w:rPr>
            <w:t>附录8</w:t>
          </w:r>
          <w:r>
            <w:rPr>
              <w:rFonts w:hint="default" w:ascii="Times New Roman" w:hAnsi="Times New Roman" w:cs="Times New Roman"/>
            </w:rPr>
            <w:fldChar w:fldCharType="end"/>
          </w:r>
          <w:r>
            <w:rPr>
              <w:rFonts w:hint="default" w:ascii="Times New Roman" w:hAnsi="Times New Roman" w:cs="Times New Roman"/>
              <w:szCs w:val="2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"_Toc12768" </w:instrText>
          </w:r>
          <w:r>
            <w:rPr>
              <w:rFonts w:hint="default" w:ascii="Times New Roman" w:hAnsi="Times New Roman" w:cs="Times New Roman"/>
            </w:rPr>
            <w:fldChar w:fldCharType="separate"/>
          </w:r>
          <w:r>
            <w:rPr>
              <w:rFonts w:hint="default" w:ascii="Times New Roman" w:hAnsi="Times New Roman" w:cs="Times New Roman"/>
            </w:rPr>
            <w:t>各相关单位值班电话</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_Toc12768 \h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cs="Times New Roman"/>
            </w:rPr>
            <w:fldChar w:fldCharType="end"/>
          </w:r>
        </w:p>
        <w:p>
          <w:pPr>
            <w:spacing w:line="570" w:lineRule="exact"/>
            <w:ind w:firstLine="560" w:firstLineChars="200"/>
            <w:rPr>
              <w:rFonts w:hint="default" w:ascii="Times New Roman" w:hAnsi="Times New Roman" w:cs="Times New Roman"/>
              <w:szCs w:val="28"/>
            </w:rPr>
          </w:pPr>
          <w:r>
            <w:rPr>
              <w:rFonts w:hint="default" w:ascii="Times New Roman" w:hAnsi="Times New Roman" w:cs="Times New Roman"/>
              <w:szCs w:val="28"/>
            </w:rPr>
            <w:fldChar w:fldCharType="end"/>
          </w:r>
        </w:p>
      </w:sdtContent>
    </w:sdt>
    <w:p>
      <w:pPr>
        <w:spacing w:line="570" w:lineRule="exact"/>
        <w:outlineLvl w:val="0"/>
        <w:rPr>
          <w:rFonts w:hint="default" w:ascii="Times New Roman" w:hAnsi="Times New Roman" w:cs="Times New Roman"/>
          <w:sz w:val="32"/>
          <w:szCs w:val="32"/>
        </w:rPr>
        <w:sectPr>
          <w:footerReference r:id="rId6" w:type="default"/>
          <w:pgSz w:w="11906" w:h="16838"/>
          <w:pgMar w:top="2098" w:right="1417" w:bottom="1984" w:left="1587" w:header="851" w:footer="992" w:gutter="0"/>
          <w:pgNumType w:start="1"/>
          <w:cols w:space="425" w:num="1"/>
          <w:docGrid w:type="lines" w:linePitch="312" w:charSpace="0"/>
        </w:sectPr>
      </w:pPr>
    </w:p>
    <w:p>
      <w:pPr>
        <w:pStyle w:val="2"/>
        <w:keepNext/>
        <w:keepLines/>
        <w:spacing w:line="600" w:lineRule="exact"/>
        <w:ind w:firstLine="0"/>
        <w:jc w:val="left"/>
        <w:rPr>
          <w:rFonts w:hint="default" w:ascii="Times New Roman" w:hAnsi="Times New Roman" w:eastAsia="仿宋_GB2312" w:cs="Times New Roman"/>
          <w:b/>
          <w:bCs w:val="0"/>
          <w:color w:val="000000"/>
          <w:kern w:val="44"/>
        </w:rPr>
      </w:pPr>
      <w:bookmarkStart w:id="1" w:name="_Toc19222"/>
      <w:r>
        <w:rPr>
          <w:rFonts w:hint="default" w:ascii="Times New Roman" w:hAnsi="Times New Roman" w:eastAsia="仿宋_GB2312" w:cs="Times New Roman"/>
          <w:b/>
          <w:bCs w:val="0"/>
          <w:color w:val="000000"/>
          <w:kern w:val="44"/>
        </w:rPr>
        <w:t>1  总则</w:t>
      </w:r>
      <w:bookmarkEnd w:id="1"/>
    </w:p>
    <w:p>
      <w:pPr>
        <w:pStyle w:val="3"/>
        <w:keepNext/>
        <w:keepLines/>
        <w:spacing w:line="600" w:lineRule="exact"/>
        <w:ind w:firstLine="0"/>
        <w:rPr>
          <w:rFonts w:hint="default" w:ascii="Times New Roman" w:hAnsi="Times New Roman" w:eastAsia="仿宋_GB2312" w:cs="Times New Roman"/>
          <w:b/>
          <w:bCs/>
          <w:color w:val="000000"/>
        </w:rPr>
      </w:pPr>
      <w:bookmarkStart w:id="2" w:name="_Toc10838"/>
      <w:r>
        <w:rPr>
          <w:rFonts w:hint="default" w:ascii="Times New Roman" w:hAnsi="Times New Roman" w:eastAsia="仿宋_GB2312" w:cs="Times New Roman"/>
          <w:b/>
          <w:bCs/>
          <w:color w:val="000000"/>
        </w:rPr>
        <w:t>1.1  编制目的</w:t>
      </w:r>
      <w:bookmarkEnd w:id="2"/>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bCs w:val="0"/>
          <w:color w:val="000000"/>
          <w:sz w:val="32"/>
          <w:szCs w:val="32"/>
        </w:rPr>
        <w:t>坚持以习近平新时代中国特色社会主义思想为指导，贯彻落实习近平总书记关于防灾减灾救灾和加强应急管理系列重要论述，提高全市海洋灾害</w:t>
      </w:r>
      <w:r>
        <w:rPr>
          <w:rFonts w:hint="default" w:ascii="Times New Roman" w:hAnsi="Times New Roman" w:cs="Times New Roman"/>
          <w:sz w:val="32"/>
          <w:szCs w:val="32"/>
        </w:rPr>
        <w:t>预防</w:t>
      </w:r>
      <w:r>
        <w:rPr>
          <w:rFonts w:hint="default" w:ascii="Times New Roman" w:hAnsi="Times New Roman" w:cs="Times New Roman"/>
          <w:bCs w:val="0"/>
          <w:color w:val="000000"/>
          <w:sz w:val="32"/>
          <w:szCs w:val="32"/>
        </w:rPr>
        <w:t>和应对能力，建立健全规范有序的海洋灾害应急响应机制，</w:t>
      </w:r>
      <w:r>
        <w:rPr>
          <w:rFonts w:hint="default" w:ascii="Times New Roman" w:hAnsi="Times New Roman" w:cs="Times New Roman"/>
          <w:sz w:val="32"/>
          <w:szCs w:val="32"/>
        </w:rPr>
        <w:t>高效有序开展海洋灾害防范和应急处置工作，</w:t>
      </w:r>
      <w:r>
        <w:rPr>
          <w:rFonts w:hint="default" w:ascii="Times New Roman" w:hAnsi="Times New Roman" w:cs="Times New Roman"/>
          <w:bCs w:val="0"/>
          <w:color w:val="000000"/>
          <w:sz w:val="32"/>
          <w:szCs w:val="32"/>
        </w:rPr>
        <w:t>最大程度减少海洋灾害造成的人员伤亡和财产损失，保障人民群众生命财产安全，保障全市经济社会高质量发展，维护社会稳定。</w:t>
      </w:r>
    </w:p>
    <w:p>
      <w:pPr>
        <w:pStyle w:val="3"/>
        <w:keepNext/>
        <w:keepLines/>
        <w:spacing w:line="600" w:lineRule="exact"/>
        <w:ind w:firstLine="0"/>
        <w:rPr>
          <w:rFonts w:hint="default" w:ascii="Times New Roman" w:hAnsi="Times New Roman" w:eastAsia="仿宋_GB2312" w:cs="Times New Roman"/>
          <w:b/>
          <w:bCs/>
          <w:color w:val="000000"/>
        </w:rPr>
      </w:pPr>
      <w:bookmarkStart w:id="3" w:name="_Toc17085"/>
      <w:r>
        <w:rPr>
          <w:rFonts w:hint="default" w:ascii="Times New Roman" w:hAnsi="Times New Roman" w:eastAsia="仿宋_GB2312" w:cs="Times New Roman"/>
          <w:b/>
          <w:bCs/>
          <w:color w:val="000000"/>
        </w:rPr>
        <w:t>1.2  编制依据</w:t>
      </w:r>
      <w:bookmarkEnd w:id="3"/>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依据《中华人民共和国突发事件应对法》《中华人民共和国海洋环境保护法》《海洋观测预报管理条例》《国家突发事件总体应急预案》《海洋灾害应急预案》《赤潮灾害应急预案》《海南省人民政府突发公共事件总体应急预案》《海南省海洋灾害应急预案》《三亚市突发事件预警信息发布管理办法》和《三亚市防汛防风防旱应急预案》等法律法规和专项预案，</w:t>
      </w:r>
      <w:r>
        <w:rPr>
          <w:rFonts w:hint="default" w:ascii="Times New Roman" w:hAnsi="Times New Roman" w:cs="Times New Roman"/>
          <w:bCs w:val="0"/>
          <w:color w:val="000000"/>
          <w:sz w:val="32"/>
          <w:szCs w:val="32"/>
        </w:rPr>
        <w:t>并结合我市实际，制定本预案。</w:t>
      </w:r>
    </w:p>
    <w:p>
      <w:pPr>
        <w:pStyle w:val="3"/>
        <w:keepNext/>
        <w:keepLines/>
        <w:spacing w:line="600" w:lineRule="exact"/>
        <w:ind w:firstLine="0"/>
        <w:rPr>
          <w:rFonts w:hint="default" w:ascii="Times New Roman" w:hAnsi="Times New Roman" w:eastAsia="仿宋_GB2312" w:cs="Times New Roman"/>
          <w:b/>
          <w:bCs/>
        </w:rPr>
      </w:pPr>
      <w:bookmarkStart w:id="4" w:name="_Toc11073"/>
      <w:r>
        <w:rPr>
          <w:rFonts w:hint="default" w:ascii="Times New Roman" w:hAnsi="Times New Roman" w:eastAsia="仿宋_GB2312" w:cs="Times New Roman"/>
          <w:b/>
          <w:bCs/>
        </w:rPr>
        <w:t>1.3  适用范围</w:t>
      </w:r>
      <w:bookmarkEnd w:id="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本预案是应对海洋灾害的专项应急预案，适用于本市行政区域及管辖海域内发生的风暴潮、海浪、海啸、赤潮等海洋灾害的预防及应急处置。</w:t>
      </w:r>
      <w:bookmarkStart w:id="5" w:name="_Toc8184"/>
    </w:p>
    <w:p>
      <w:pPr>
        <w:spacing w:line="570" w:lineRule="exact"/>
        <w:rPr>
          <w:rFonts w:hint="default" w:ascii="Times New Roman" w:hAnsi="Times New Roman" w:cs="Times New Roman"/>
          <w:b/>
          <w:sz w:val="32"/>
          <w:szCs w:val="32"/>
        </w:rPr>
      </w:pPr>
      <w:r>
        <w:rPr>
          <w:rFonts w:hint="default" w:ascii="Times New Roman" w:hAnsi="Times New Roman" w:cs="Times New Roman"/>
          <w:b/>
          <w:sz w:val="32"/>
          <w:szCs w:val="32"/>
        </w:rPr>
        <w:t>1.4  工作原则</w:t>
      </w:r>
      <w:bookmarkEnd w:id="5"/>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统一领导，分级负责。坚持党委领导、政府负责。在市委、市政府的领导下，各区政府依法履行本行政区域海洋灾害预防和应急处置主体责任，行政首长是第一责任人。市级各有关部门和驻市相关单位依法履行职责，形成工作合力，并指导、督促和支持各区政府做好海洋灾害预防和应对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以人为本，保障安全。坚持人民至上、生命至上，坚持以防为主、防抗救相结合，坚持常态减灾与非常态救灾相统一。统筹发展和安全，最大程度地减轻海洋灾害风险，最大限度地减轻海洋灾害损失和影响，保护好人民群众生命财产安全。</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快速反应，科学处置。加强海洋灾害监测预警、灾情速报和风险防治与应急指挥技术系统建设，提高海洋灾害应急指挥能力。海洋灾害预警信息发布后及发生海洋灾害时，各区政府迅速响应，各有关部门按照职责分工密切配合、信息共享、军地协同、联合处置，有力有序高效地做好防范和应对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专群结合，联防共治。建立健全海洋灾害专群结合、群防群治工作机制，充分发挥专业抢险救援队伍和社会应急救援力量协同作用。加强海洋防灾减灾救灾知识宣传教育和技能培训，提高公众自我防范、自救互救能力，筑牢应对海洋灾害的人民防线。</w:t>
      </w:r>
      <w:bookmarkStart w:id="6" w:name="_Toc11453"/>
    </w:p>
    <w:p>
      <w:pPr>
        <w:spacing w:line="570" w:lineRule="exact"/>
        <w:rPr>
          <w:rFonts w:hint="default" w:ascii="Times New Roman" w:hAnsi="Times New Roman" w:cs="Times New Roman"/>
          <w:b/>
          <w:bCs w:val="0"/>
          <w:color w:val="000000"/>
          <w:kern w:val="44"/>
          <w:sz w:val="32"/>
          <w:szCs w:val="32"/>
        </w:rPr>
      </w:pPr>
      <w:r>
        <w:rPr>
          <w:rFonts w:hint="default" w:ascii="Times New Roman" w:hAnsi="Times New Roman" w:cs="Times New Roman"/>
          <w:b/>
          <w:bCs w:val="0"/>
          <w:color w:val="000000"/>
          <w:kern w:val="44"/>
          <w:sz w:val="32"/>
          <w:szCs w:val="32"/>
        </w:rPr>
        <w:t>2  组织体系</w:t>
      </w:r>
      <w:bookmarkEnd w:id="6"/>
      <w:bookmarkStart w:id="7" w:name="_Toc9374"/>
    </w:p>
    <w:p>
      <w:pPr>
        <w:spacing w:line="570" w:lineRule="exact"/>
        <w:rPr>
          <w:rFonts w:hint="default" w:ascii="Times New Roman" w:hAnsi="Times New Roman" w:cs="Times New Roman"/>
          <w:b/>
          <w:sz w:val="32"/>
          <w:szCs w:val="32"/>
        </w:rPr>
      </w:pPr>
      <w:r>
        <w:rPr>
          <w:rFonts w:hint="default" w:ascii="Times New Roman" w:hAnsi="Times New Roman" w:cs="Times New Roman"/>
          <w:b/>
          <w:color w:val="000000"/>
          <w:sz w:val="32"/>
          <w:szCs w:val="32"/>
        </w:rPr>
        <w:t>2.1</w:t>
      </w:r>
      <w:r>
        <w:rPr>
          <w:rFonts w:hint="default" w:ascii="Times New Roman" w:hAnsi="Times New Roman" w:cs="Times New Roman"/>
          <w:b/>
          <w:sz w:val="32"/>
          <w:szCs w:val="32"/>
        </w:rPr>
        <w:t xml:space="preserve">  三亚市防灾减灾救灾和安全生产委员会</w:t>
      </w:r>
      <w:bookmarkEnd w:id="7"/>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三亚市防灾减灾救灾和安全生产委员会（以下简称“市防减救安委”）作为三亚市议事协调机构，研究部署、指导协调和督促检查全市防灾减灾救灾和安全生产工作、消防工作。市防减救安委下设办公室、专项工作组、行业安全专业委员会。海洋灾害专项工作组是专项工作组内设组，在市防减救安委的领导下，根据需要以海洋灾害工作组办公室的名义开展工作。</w:t>
      </w:r>
    </w:p>
    <w:p>
      <w:pPr>
        <w:pStyle w:val="3"/>
        <w:keepNext/>
        <w:keepLines/>
        <w:spacing w:line="600" w:lineRule="exact"/>
        <w:ind w:firstLine="0"/>
        <w:rPr>
          <w:rFonts w:hint="default" w:ascii="Times New Roman" w:hAnsi="Times New Roman" w:eastAsia="仿宋_GB2312" w:cs="Times New Roman"/>
          <w:b/>
          <w:bCs/>
        </w:rPr>
      </w:pPr>
      <w:bookmarkStart w:id="8" w:name="_Toc1439"/>
      <w:r>
        <w:rPr>
          <w:rFonts w:hint="default" w:ascii="Times New Roman" w:hAnsi="Times New Roman" w:eastAsia="仿宋_GB2312" w:cs="Times New Roman"/>
          <w:b/>
          <w:bCs/>
        </w:rPr>
        <w:t>2.2  市海洋灾害专项工作组</w:t>
      </w:r>
      <w:bookmarkEnd w:id="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海洋灾害专项工作组组长由分管副市长担任，副组长由市政府分管副秘书长、市自然资源和规划局及市应急管理局局长担任，成员由市自然资源和规划局、市应急管理局、市委宣传部、市发展和改革委员会、市旅游和文化广电体育局、市生态环境局、市农业农村局、市卫生健康委员会、市公安局、市住房和城乡建设局、市交通运输局、市水务局、市财政局、市商务局、市市场监管局、三亚海关、市科技工业信息化局、市国有资产监督管理委员会、市民政局、市气象局、三亚海事局、三亚海上搜救分中心、市综合行政执法局、三亚警备区、市消防救援支队、市红十字会、自然资源部三亚海洋站等组成，相应单位责任人为成员。</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自然资源和规划局：负责接收上级部门发布的涉及本市的海洋灾害预报和预警信息，及时向海洋灾害专项工作组转发相关预警信息；组织实施全市海洋灾害预防、风险评估和隐患排查治理，指导各区政府做好海洋灾害防治工作；参与重大海洋灾害应急处置；指导海洋灾害防御基础设施规划和建设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市应急管理局：负责指导海洋灾害应急救援工作；统一协调指挥全市各类应急专业队伍和驻市部队参与海洋灾害应急处置和抢险救援工作；负责救灾款物的管理、分配和监督使用；协调指导自然灾害调查评估工作。</w:t>
      </w:r>
    </w:p>
    <w:p>
      <w:pPr>
        <w:pStyle w:val="7"/>
        <w:spacing w:line="570" w:lineRule="exact"/>
        <w:ind w:firstLine="640" w:firstLineChars="200"/>
        <w:rPr>
          <w:rFonts w:hint="default" w:ascii="Times New Roman" w:hAnsi="Times New Roman" w:cs="Times New Roman"/>
        </w:rPr>
      </w:pPr>
      <w:r>
        <w:rPr>
          <w:rFonts w:hint="default" w:ascii="Times New Roman" w:hAnsi="Times New Roman" w:cs="Times New Roman"/>
          <w:sz w:val="32"/>
          <w:szCs w:val="32"/>
        </w:rPr>
        <w:t>（3）市委宣传部：负责统筹指导市级应急响应为Ⅰ级、Ⅱ级的新闻发布工作，以及组织协调新闻媒体做好宣传报道，积极引导舆论。</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市发展和改革委员会：指导海洋灾害防御市级重点工程的项目推进及管理工作，配合开展海洋灾害防御基础设施规划和灾后重建工作，负责组织应急成品粮油和冻猪肉储备和供应，参与保障受灾群众基本生活需要。</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（5）市旅游和文化广电体育局：利用广播、电视等媒体，及时向公众转发海洋灾害信息，开展防御海洋灾害宣传报道；督促、指导沿海旅游景区关停，协助相关部门做好游客安全撤离或转移等安全工作。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市生态环境局：对海洋环境保护工作进行指导、协调和监督，负责防治陆源污染物、海岸和海洋工程建设项目对海洋污染损害的环境保护工作；参与海洋灾害引发的海洋环境污染事件应急处置；组织由海洋灾害引发的近岸海域环境污染监测工作，协调海洋灾害引发的重、特大环境污染事故和生态破坏事故的调查处理，指导沿海受灾区域的生态环境质量检测，及时向市海洋灾害专项工作组提供环境信息和监测结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7）市农业农村局：指导各区政府做好渔船、渔港、水产养殖海洋自然灾害防御工作。按照职责，会同市综合行政执法局监督查处违法采捕受赤潮毒素污染水产品的行为；参与全市海洋灾害应急处置和抢险救援工作，指导农业生产救灾和灾后恢复生产及灾情调查工作，组织监测初级水产品生产过程中的海洋赤潮毒素污染，及时提供海水养殖和渔船损失等灾害损失情况。</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（8）市卫生健康委员会：负责海洋灾害期间全市应急救援医疗保障和卫生防疫工作；牵头组织赤潮灾害期间海产品的食品安全风险监测。</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（9）市公安局：负责海洋灾害期社会治安和交通秩序管理，协助开展危险区、灾区群众的安全转移工作。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（10）市住房和城乡建设局：</w:t>
      </w:r>
      <w:bookmarkStart w:id="9" w:name="_Hlk194396072"/>
      <w:r>
        <w:rPr>
          <w:rFonts w:hint="default" w:ascii="Times New Roman" w:hAnsi="Times New Roman" w:cs="Times New Roman"/>
          <w:sz w:val="32"/>
          <w:szCs w:val="32"/>
        </w:rPr>
        <w:t>参与海洋灾害应急期间建筑房屋突发事件的抢险救援工作，负责指导全市危房和在建房屋市政工程等安全防范工作。指导灾后修复和恢复重建房屋设施的设计、施工管理工作</w:t>
      </w:r>
      <w:bookmarkEnd w:id="9"/>
      <w:r>
        <w:rPr>
          <w:rFonts w:hint="default" w:ascii="Times New Roman" w:hAnsi="Times New Roman" w:cs="Times New Roman"/>
          <w:sz w:val="32"/>
          <w:szCs w:val="32"/>
        </w:rPr>
        <w:t>。指导三亚环农集团做好排水防涝工作。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（11）市交通运输局：负责组织、协调海洋灾害应急期间所管辖的受灾损坏道路的抢修工作，负责交通路况的监测和信息报送工作，为抢险救灾提供运输保障。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12）市水务局：负责江河、水库水雨情的监测预报预警和重要水工程调度。负责水库、河道、水电站、拦河堤坝、供水设施等安全检查。负责组织市管水利工程一般险情的应急抢险处置和水毁修复，为区管水利工程一般险情处置提供技术支撑，为水利工程重大险情应急抢险救援提供技术支撑。</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（13）市财政局：</w:t>
      </w:r>
      <w:bookmarkStart w:id="10" w:name="_Hlk194398123"/>
      <w:r>
        <w:rPr>
          <w:rFonts w:hint="default" w:ascii="Times New Roman" w:hAnsi="Times New Roman" w:cs="Times New Roman"/>
          <w:sz w:val="32"/>
          <w:szCs w:val="32"/>
        </w:rPr>
        <w:t>负责市级救灾救助资金的预算安排、资金拨付，对救灾救助资金的使用情况进行监督、检查，保证救灾救助资金及时足额到位。</w:t>
      </w:r>
      <w:bookmarkEnd w:id="10"/>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（14）市商务局：负责做好海洋灾害应急期间生活必需品等物资的市场调控、流通管理等工作，保障海洋灾害应急期间生活必需品市场供应，参与应对处置海洋灾害应急期间物资保障工作。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（15）市市场监管局：赤潮灾害期间，加强对赤潮发生地深加工、流通、消费领域海产品的食品安全监管，对涉嫌毒素超标的海产品依法依规处置。</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（16）三亚海关：赤潮灾害期间，负责对进出口的海洋水产品实施监督管理。</w:t>
      </w:r>
    </w:p>
    <w:p>
      <w:pPr>
        <w:pStyle w:val="7"/>
        <w:spacing w:after="0" w:line="570" w:lineRule="exact"/>
        <w:ind w:firstLine="640" w:firstLineChars="200"/>
        <w:rPr>
          <w:rFonts w:hint="default" w:ascii="Times New Roman" w:hAnsi="Times New Roman" w:cs="Times New Roman"/>
        </w:rPr>
      </w:pPr>
      <w:r>
        <w:rPr>
          <w:rFonts w:hint="default" w:ascii="Times New Roman" w:hAnsi="Times New Roman" w:cs="Times New Roman"/>
          <w:sz w:val="32"/>
          <w:szCs w:val="32"/>
        </w:rPr>
        <w:t>（17）市科学技术和工业信息化局：负责灾害期间通信保障，组织协调各通信企业及时抢修或调度通信设施、设备，做好应急通信保障工作；协助发布灾情预警、防灾避灾信息。</w:t>
      </w:r>
    </w:p>
    <w:p>
      <w:pPr>
        <w:pStyle w:val="7"/>
        <w:spacing w:after="0"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（18）市国有资产监督管理委员会：指导各受灾市属国有企业做好应急救助和善后处置工作；指导市属国有企业开展受灾情况调查工作。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（19）市民政局：负责衔接做好受灾群众基本生活救助和社会力量帮扶等其他社会救助工作，组织开展慈善捐赠活动，并按有关规定做好捐赠款物的接收、管理、分配、发放工作，保障受灾群众基本生活。</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（20）市气象局：负责全市暴雨、台风等灾害性天气的监测、预警、预报工作，及时提供海洋灾害防灾减灾救灾有关气象灾害资料；参与海洋灾害应对处置工作会商。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（21）三亚海事局：负责督导管辖范围内游艇、客船、工程船等海事管理机构依法实施监督管理的船舶做好海洋灾害防御及突发事件的应急处置工作。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（22）三亚海上搜救分中心：组织协调管辖区域内海洋灾害发生后船舶应急避险和突发事件应急处置。负责协调市政府按照相应职责组织岸基力量和沿岸船舶参与搜寻救助，并进行业务指导。</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（23）市综合行政执法局：会同各区政府做好渔船、渔港、水产养殖海洋自然灾害防御工作；会同市农业农村局监督查处违法采捕受赤潮毒素污染水产品的行为；参与全市海洋灾害应急处置和抢险救援工作。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（24）三亚警备区：负责组织协调驻市现役部队、预备役部队和民兵开展本市海洋灾害应急处置工作，协助地方政府转移安置受灾群众。</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（25）市消防救援支队：组织消防救援指战员开展抢险救灾等工作。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26）市红十字会：依法开展救灾工作和社会募捐，通过省红十字会，向外界发出救助呼吁；根据捐赠者意愿，接收、管理、分发救灾款物并监督使用。组织、指导三亚市红十字应急救援中心开展海洋灾害应急处置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（27）自然资源部三亚海洋站（以下简称三亚海洋站）：负责三亚海域风暴潮和海浪等监测信息报送工作。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其他未列入本预案的部门和单位，根据需要，按照职责做好相应工作。</w:t>
      </w:r>
    </w:p>
    <w:p>
      <w:pPr>
        <w:pStyle w:val="4"/>
        <w:keepNext/>
        <w:keepLines/>
        <w:spacing w:line="600" w:lineRule="exact"/>
        <w:ind w:firstLine="0"/>
        <w:rPr>
          <w:rFonts w:hint="default" w:ascii="Times New Roman" w:hAnsi="Times New Roman" w:cs="Times New Roman"/>
          <w:b/>
          <w:color w:val="000000"/>
        </w:rPr>
      </w:pPr>
      <w:bookmarkStart w:id="11" w:name="_Toc2724"/>
      <w:bookmarkStart w:id="12" w:name="_Toc24356"/>
      <w:bookmarkStart w:id="13" w:name="_Toc6960"/>
      <w:bookmarkStart w:id="14" w:name="_Toc2177"/>
      <w:r>
        <w:rPr>
          <w:rFonts w:hint="default" w:ascii="Times New Roman" w:hAnsi="Times New Roman" w:cs="Times New Roman"/>
          <w:b/>
          <w:color w:val="000000"/>
        </w:rPr>
        <w:t>2.2.1  市海洋灾害专项工作组办公室</w:t>
      </w:r>
      <w:bookmarkEnd w:id="11"/>
      <w:bookmarkEnd w:id="12"/>
      <w:bookmarkEnd w:id="13"/>
      <w:bookmarkEnd w:id="1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市海洋灾害专项工作组下设办公室，设在市自然资源和规划局，办公室主任由市自然资源和规划局局长担任。</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海洋灾害专项工作组办公室贯彻落实海洋灾害防御的相关法律法规，执行市海洋灾害专项工作组的指示和应急工作部署，承担全市日常海洋灾害应急工作，综合协调全市海洋灾害应急处置工作；组织专家组和相关部门研判海洋灾害的等级和响应级别，按规定程序提请市海洋灾害专项工作组启动和终止海洋灾害市级应急响应。督促、检查海洋灾害防御工作；收集、汇总和统计全市海洋灾害损失情况；负责组织海洋灾害灾情调查和评估；组织专项预案编制和修订；组织海洋灾害应急演练和宣传；承办市海洋灾害专项工作组交办的其他工作。</w:t>
      </w:r>
    </w:p>
    <w:p>
      <w:pPr>
        <w:pStyle w:val="4"/>
        <w:keepNext/>
        <w:keepLines/>
        <w:spacing w:line="600" w:lineRule="exact"/>
        <w:ind w:firstLine="0"/>
        <w:rPr>
          <w:rFonts w:hint="default" w:ascii="Times New Roman" w:hAnsi="Times New Roman" w:cs="Times New Roman"/>
          <w:b/>
          <w:color w:val="000000"/>
        </w:rPr>
      </w:pPr>
      <w:bookmarkStart w:id="15" w:name="_Toc13317"/>
      <w:bookmarkStart w:id="16" w:name="_Toc9"/>
      <w:bookmarkStart w:id="17" w:name="_Toc11458"/>
      <w:bookmarkStart w:id="18" w:name="_Toc6574"/>
      <w:r>
        <w:rPr>
          <w:rFonts w:hint="default" w:ascii="Times New Roman" w:hAnsi="Times New Roman" w:cs="Times New Roman"/>
          <w:b/>
          <w:color w:val="000000"/>
        </w:rPr>
        <w:t>2.2.2  现场工作小组</w:t>
      </w:r>
      <w:bookmarkEnd w:id="15"/>
      <w:bookmarkEnd w:id="16"/>
      <w:bookmarkEnd w:id="17"/>
      <w:bookmarkEnd w:id="1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海洋灾害专项工作组根据海洋灾害防御和应急处置工作需要，视情况派出现场工作分小组，对受海洋灾害破坏和影响的各区政府的应急处置工作进行指导、协调与支持，可根据具体工作需要，设立综合协调分小组、抢险救援分小组、疏散警戒分小组、医疗救护分小组、后勤保障分小组、信息发布分小组、调查评估分小组等应急工作分小组，协同开展海洋灾害应急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综合协调分小组：市自然资源和规划局牵头，市应急管理局、市水务局、市旅游和文化广电体育局、市国有资产监督管理委员会、市农业农村局、市生态环境局、三亚警备区、三亚海事局等单位参加。主要负责协调处理抢险救灾相关事宜，协助市海洋灾害专项工作组领导协调其他工作分小组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抢险救援分小组：市消防救援支队牵头，市应急管理局、市自然资源和规划局、三亚警备区、三亚海事局、市交通运输局、市科学技术和工业信息化局、市水务局、市住房和城乡建设局、市生态环境局、市卫生健康委员会、市旅游和文化广电体育局、市农业农村局、市综合行政执法局、三亚海上搜救分中心、三亚供电局、市红十字会等单位参加。主要负责协调、组织抢险救援队伍开展人员抢救、设施抢修、道路抢通等，保障应急供电和公用网通信、沿海道路畅通。并根据需要协调、调遣后续处置和增援力量。</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（3）疏散警戒分小组：市公安局牵头，武警支队、市综合行政执法局配合。负责组织人员对现场及周边地区进行警戒、控制；协助组织人员疏散撤离；实施交通管制，保护现场。</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（4）医疗救护分小组：市卫生健康委员会牵头，有关医疗机构配合。负责组织市内有关医疗机构对伤员实施救治；开展受伤人员、灾区群众和救援人员心理疏导；实施现场卫生防疫工作。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后勤保障分小组：受灾辖区政府、财政、应急、发改、商务、交通运输、工信、电网、水务、住建、通信管理等部门单位依职责，根据应急处置工作需要，及时提供资金、物资、装备、食品、交通、供电、供水、供气和通信等方面的后勤服务和资源保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信息发布分小组：市委宣传部牵头，市自然资源和规划局、市应急管理局、市生态环境局、市旅游和文化广电体育局、市农业农村局、市水务局等单位参加。负责组织、协调、指导新闻单位及时报道海洋灾害和抢险救灾工作情况。</w:t>
      </w:r>
      <w:bookmarkStart w:id="19" w:name="_Hlk194395970"/>
      <w:r>
        <w:rPr>
          <w:rFonts w:hint="default" w:ascii="Times New Roman" w:hAnsi="Times New Roman" w:cs="Times New Roman"/>
          <w:sz w:val="32"/>
          <w:szCs w:val="32"/>
        </w:rPr>
        <w:t>Ⅲ级、Ⅳ级新闻发布应急处置由突发事件处置牵头部门或涉事辖区参照Ⅰ级、Ⅱ级新闻发布应急响应做法执行。</w:t>
      </w:r>
    </w:p>
    <w:bookmarkEnd w:id="19"/>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7）调查评估分小组：市自然资源和规划局牵头，市应急管理局、市发展和改革委员会、市生态环境局、市农业农村局、市旅游和文化广电体育局、市科学技术和工业信息化局、市水务局等参加。负责开展海洋灾害调查和评估工作，提出灾后恢复重建意见。</w:t>
      </w:r>
    </w:p>
    <w:p>
      <w:pPr>
        <w:pStyle w:val="4"/>
        <w:keepNext/>
        <w:keepLines/>
        <w:spacing w:line="600" w:lineRule="exact"/>
        <w:ind w:firstLine="0"/>
        <w:rPr>
          <w:rFonts w:hint="default" w:ascii="Times New Roman" w:hAnsi="Times New Roman" w:cs="Times New Roman"/>
          <w:b/>
          <w:color w:val="000000"/>
        </w:rPr>
      </w:pPr>
      <w:bookmarkStart w:id="20" w:name="_Toc19863"/>
      <w:bookmarkStart w:id="21" w:name="_Toc7858"/>
      <w:bookmarkStart w:id="22" w:name="_Toc8520"/>
      <w:bookmarkStart w:id="23" w:name="_Toc23588"/>
      <w:r>
        <w:rPr>
          <w:rFonts w:hint="default" w:ascii="Times New Roman" w:hAnsi="Times New Roman" w:cs="Times New Roman"/>
          <w:b/>
          <w:color w:val="000000"/>
        </w:rPr>
        <w:t>2.2.3  市海洋灾害专项工作组专家库</w:t>
      </w:r>
      <w:bookmarkEnd w:id="20"/>
      <w:bookmarkEnd w:id="21"/>
      <w:bookmarkEnd w:id="22"/>
      <w:bookmarkEnd w:id="23"/>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海洋灾害专项工作组办公室负责组建处置海洋灾害咨询专家库。咨询专家库由海洋、水务、气象、生态环境、地震、渔业等相关领域专家或者具有高级技术职称的专业技术人员组成，为海洋灾害风险防治与应急救援提供决策咨询和处置建议，为应急观测、分析预测等提供技术指导与科学评估。</w:t>
      </w:r>
      <w:bookmarkStart w:id="24" w:name="_Toc5102"/>
    </w:p>
    <w:p>
      <w:pPr>
        <w:spacing w:line="570" w:lineRule="exact"/>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2.3  区级海洋灾害专项工作组</w:t>
      </w:r>
      <w:bookmarkEnd w:id="2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各区政府设立本级海洋灾害专项工作组，在市海洋灾害专项工作组及本级党委、市政府的领导下，负责本辖区的海洋灾害风险防治和应急处置工作。</w:t>
      </w:r>
    </w:p>
    <w:p>
      <w:pPr>
        <w:pStyle w:val="3"/>
        <w:keepNext/>
        <w:keepLines/>
        <w:spacing w:line="600" w:lineRule="exact"/>
        <w:ind w:firstLine="0"/>
        <w:rPr>
          <w:rFonts w:hint="default" w:ascii="Times New Roman" w:hAnsi="Times New Roman" w:eastAsia="仿宋_GB2312" w:cs="Times New Roman"/>
          <w:b/>
          <w:bCs/>
          <w:color w:val="000000"/>
        </w:rPr>
      </w:pPr>
      <w:bookmarkStart w:id="25" w:name="_Toc211"/>
      <w:r>
        <w:rPr>
          <w:rFonts w:hint="default" w:ascii="Times New Roman" w:hAnsi="Times New Roman" w:eastAsia="仿宋_GB2312" w:cs="Times New Roman"/>
          <w:b/>
          <w:bCs/>
          <w:color w:val="000000"/>
        </w:rPr>
        <w:t>2.4  基层应急组织</w:t>
      </w:r>
      <w:bookmarkEnd w:id="25"/>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本市沿海村（居）民委员会和企事业单位原则上依托基层“三防”组织体系，在区级海洋灾害应急工作组的领导下，组建海洋灾害信息队伍，明确沿海各区低洼地区分布情况和沿海海堤等防护设施情况，做好本辖区和本单位的海洋灾害应急处置工作，在接到预警信息后，应当进行宣传动员，组织群众做好防范应对工作，提高公众自救、互救能力。</w:t>
      </w:r>
    </w:p>
    <w:p>
      <w:pPr>
        <w:pStyle w:val="3"/>
        <w:keepNext/>
        <w:keepLines/>
        <w:spacing w:line="600" w:lineRule="exact"/>
        <w:ind w:firstLine="0"/>
        <w:rPr>
          <w:rFonts w:hint="default" w:ascii="Times New Roman" w:hAnsi="Times New Roman" w:eastAsia="仿宋_GB2312" w:cs="Times New Roman"/>
          <w:b/>
          <w:bCs/>
          <w:color w:val="000000"/>
        </w:rPr>
      </w:pPr>
      <w:bookmarkStart w:id="26" w:name="_Toc2057"/>
      <w:r>
        <w:rPr>
          <w:rFonts w:hint="default" w:ascii="Times New Roman" w:hAnsi="Times New Roman" w:eastAsia="仿宋_GB2312" w:cs="Times New Roman"/>
          <w:b/>
          <w:bCs/>
          <w:color w:val="000000"/>
        </w:rPr>
        <w:t>2.5  市海洋灾害抢险救援队</w:t>
      </w:r>
      <w:bookmarkEnd w:id="26"/>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由市各专业抢险救援队伍、医疗卫生防疫队伍、驻市部队和综合性消防救援力量、志愿者等社会应急救援力量及成员单位抽调的人员组建，负责灾害期间的抢险救援工作。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建立同驻市军警的联防联控机制，发挥驻市军警在抢险救援中的重要作用。</w:t>
      </w:r>
    </w:p>
    <w:p>
      <w:pPr>
        <w:pStyle w:val="2"/>
        <w:keepNext/>
        <w:keepLines/>
        <w:spacing w:line="600" w:lineRule="exact"/>
        <w:ind w:firstLine="0"/>
        <w:jc w:val="left"/>
        <w:rPr>
          <w:rFonts w:hint="default" w:ascii="Times New Roman" w:hAnsi="Times New Roman" w:eastAsia="仿宋_GB2312" w:cs="Times New Roman"/>
          <w:b/>
          <w:bCs w:val="0"/>
          <w:color w:val="000000"/>
          <w:kern w:val="44"/>
        </w:rPr>
      </w:pPr>
      <w:bookmarkStart w:id="27" w:name="_Toc11689"/>
      <w:r>
        <w:rPr>
          <w:rFonts w:hint="default" w:ascii="Times New Roman" w:hAnsi="Times New Roman" w:eastAsia="仿宋_GB2312" w:cs="Times New Roman"/>
          <w:b/>
          <w:bCs w:val="0"/>
          <w:color w:val="000000"/>
          <w:kern w:val="44"/>
        </w:rPr>
        <w:t>3  预警</w:t>
      </w:r>
      <w:bookmarkEnd w:id="27"/>
    </w:p>
    <w:p>
      <w:pPr>
        <w:pStyle w:val="3"/>
        <w:keepNext/>
        <w:keepLines/>
        <w:spacing w:line="600" w:lineRule="exact"/>
        <w:ind w:firstLine="0"/>
        <w:rPr>
          <w:rFonts w:hint="default" w:ascii="Times New Roman" w:hAnsi="Times New Roman" w:eastAsia="仿宋_GB2312" w:cs="Times New Roman"/>
          <w:b/>
          <w:bCs/>
          <w:color w:val="000000"/>
        </w:rPr>
      </w:pPr>
      <w:bookmarkStart w:id="28" w:name="_Toc23600"/>
      <w:r>
        <w:rPr>
          <w:rFonts w:hint="default" w:ascii="Times New Roman" w:hAnsi="Times New Roman" w:eastAsia="仿宋_GB2312" w:cs="Times New Roman"/>
          <w:b/>
          <w:bCs/>
          <w:color w:val="000000"/>
        </w:rPr>
        <w:t>3.1  预警级别</w:t>
      </w:r>
      <w:bookmarkEnd w:id="2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根据海洋灾害的紧急程度、危害程度和影响范围，将风暴潮、海浪灾害预警级别分为蓝色、黄色、橙色和红色；海啸灾害预警级别分为黄色、橙色和红色；赤潮灾害无预警级别。</w:t>
      </w:r>
      <w:bookmarkStart w:id="29" w:name="_Toc16084"/>
    </w:p>
    <w:p>
      <w:pPr>
        <w:spacing w:line="570" w:lineRule="exact"/>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3.2  预警信息</w:t>
      </w:r>
      <w:bookmarkEnd w:id="29"/>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预警信息包括风暴潮、海浪、海啸、暴雨、台风、洪水、潮汐及赤潮等信息。</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自然资源和规划局负责动态接收、报送省海洋监测预报中心（海南省海洋预报台）发布的影响本市辖区的海浪、风暴潮、赤潮预报预警信息，以及国家海洋环境预报中心（自然资源部海啸预警中心）发布的海啸预警信息；市气象局负责本市的暴雨、台风等预报预警工作；市水务局负责本市江河、水库水雨情的监测预报预警，提供洪水信息；市生态环境局负责提供海洋环境污染信息；市农业农村局负责提供渔业信息；市住房和城乡建设局负责城市内涝预报预警工作，提供三亚市内涝积水信息；三亚海洋站负责提供三亚海域风暴潮和海浪等监测信息。市海洋灾害专项工作组各成员单位将海洋灾害监测信息及时通报市海洋灾害专项工作组。</w:t>
      </w:r>
    </w:p>
    <w:p>
      <w:pPr>
        <w:pStyle w:val="3"/>
        <w:keepNext/>
        <w:keepLines/>
        <w:spacing w:line="600" w:lineRule="exact"/>
        <w:ind w:firstLine="0"/>
        <w:rPr>
          <w:rFonts w:hint="default" w:ascii="Times New Roman" w:hAnsi="Times New Roman" w:eastAsia="仿宋_GB2312" w:cs="Times New Roman"/>
          <w:b/>
          <w:bCs/>
          <w:color w:val="000000"/>
        </w:rPr>
      </w:pPr>
      <w:bookmarkStart w:id="30" w:name="_Toc9972"/>
      <w:r>
        <w:rPr>
          <w:rFonts w:hint="default" w:ascii="Times New Roman" w:hAnsi="Times New Roman" w:eastAsia="仿宋_GB2312" w:cs="Times New Roman"/>
          <w:b/>
          <w:bCs/>
          <w:color w:val="000000"/>
        </w:rPr>
        <w:t>3.3  预警信息发布</w:t>
      </w:r>
      <w:bookmarkEnd w:id="30"/>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省海洋监测预报中心（海南省海洋预报台）发布影响本市辖区的海浪、风暴潮、赤潮预报预警信息，国家海洋环境预报中心（自然资源部海啸预警中心）发布影响本市辖区的海啸预警信息后，市自然资源和规划局应及时对接转发有关预警信息至市海洋灾害专项工作组办公室及市海洋灾害专项工作组各成员单位，各成员单位根据工作职责配合做好相关工作。根据《三亚市突发事件预警信息发布管理办法》等有关要求，将预警信息通过三亚市突发事件预警信息发布中心（设在市气象局，以下简称预警发布中心）对外发布</w:t>
      </w:r>
      <w:r>
        <w:rPr>
          <w:rFonts w:hint="default" w:ascii="Times New Roman" w:hAnsi="Times New Roman" w:cs="Times New Roman"/>
          <w:szCs w:val="28"/>
        </w:rPr>
        <w:t>，</w:t>
      </w:r>
      <w:r>
        <w:rPr>
          <w:rFonts w:hint="default" w:ascii="Times New Roman" w:hAnsi="Times New Roman" w:cs="Times New Roman"/>
          <w:sz w:val="32"/>
          <w:szCs w:val="32"/>
        </w:rPr>
        <w:t>同时利用市自然资源和规划局的信息渠道和对接媒体向公众发送、播报预警信息和防御指引。要充分利用广播、电视、报刊、互联网、手机短信、电子显示屏、宣传车、大喇叭或组织人员逐户通知等方式，及时、准确地将预警信息传播给社会各界和公众，扩大信息覆盖面，对老、幼、病、残、孕等特殊人群以及学校等特殊场所和警报盲区应当采取有针对性的方式通知。</w:t>
      </w:r>
    </w:p>
    <w:p>
      <w:pPr>
        <w:pStyle w:val="3"/>
        <w:keepNext/>
        <w:keepLines/>
        <w:spacing w:line="600" w:lineRule="exact"/>
        <w:ind w:firstLine="0"/>
        <w:rPr>
          <w:rFonts w:hint="default" w:ascii="Times New Roman" w:hAnsi="Times New Roman" w:eastAsia="仿宋_GB2312" w:cs="Times New Roman"/>
          <w:b/>
          <w:bCs/>
          <w:color w:val="000000"/>
        </w:rPr>
      </w:pPr>
      <w:bookmarkStart w:id="31" w:name="_Toc28258"/>
      <w:r>
        <w:rPr>
          <w:rFonts w:hint="default" w:ascii="Times New Roman" w:hAnsi="Times New Roman" w:eastAsia="仿宋_GB2312" w:cs="Times New Roman"/>
          <w:b/>
          <w:bCs/>
          <w:color w:val="000000"/>
        </w:rPr>
        <w:t>3.4  预警级别的变更</w:t>
      </w:r>
      <w:bookmarkEnd w:id="31"/>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海洋灾害专项工作组办公室收到省海洋监测预报中心（海南省海洋预报台）、国家海洋环境预报中心（自然资源部海啸预警中心）发布的提高或降低预警级别信息后，提出预警级别变更建议，按程序报批后将预警信息通过预警发布中心对外发布，同时利用市自然资源和规划局的信息渠道和对接媒体对外发布。视海洋灾害发展态势及处置情况，及时按程序调整和解除预警。</w:t>
      </w:r>
    </w:p>
    <w:p>
      <w:pPr>
        <w:pStyle w:val="2"/>
        <w:keepNext/>
        <w:keepLines/>
        <w:spacing w:line="600" w:lineRule="exact"/>
        <w:ind w:firstLine="0"/>
        <w:jc w:val="left"/>
        <w:rPr>
          <w:rFonts w:hint="default" w:ascii="Times New Roman" w:hAnsi="Times New Roman" w:eastAsia="仿宋_GB2312" w:cs="Times New Roman"/>
          <w:b/>
          <w:bCs w:val="0"/>
          <w:color w:val="000000"/>
          <w:kern w:val="44"/>
        </w:rPr>
      </w:pPr>
      <w:bookmarkStart w:id="32" w:name="_Toc18653"/>
      <w:r>
        <w:rPr>
          <w:rFonts w:hint="default" w:ascii="Times New Roman" w:hAnsi="Times New Roman" w:eastAsia="仿宋_GB2312" w:cs="Times New Roman"/>
          <w:b/>
          <w:bCs w:val="0"/>
          <w:color w:val="000000"/>
          <w:kern w:val="44"/>
        </w:rPr>
        <w:t>4  应急响应</w:t>
      </w:r>
      <w:bookmarkEnd w:id="32"/>
    </w:p>
    <w:p>
      <w:pPr>
        <w:pStyle w:val="3"/>
        <w:keepNext/>
        <w:keepLines/>
        <w:spacing w:line="600" w:lineRule="exact"/>
        <w:ind w:firstLine="0"/>
        <w:rPr>
          <w:rFonts w:hint="default" w:ascii="Times New Roman" w:hAnsi="Times New Roman" w:eastAsia="仿宋_GB2312" w:cs="Times New Roman"/>
          <w:b/>
          <w:bCs/>
          <w:color w:val="000000"/>
        </w:rPr>
      </w:pPr>
      <w:bookmarkStart w:id="33" w:name="_Toc751717455"/>
      <w:bookmarkStart w:id="34" w:name="_Toc1484243783"/>
      <w:bookmarkStart w:id="35" w:name="_Toc1874343760"/>
      <w:bookmarkStart w:id="36" w:name="_Toc1975960378_WPSOffice_Level2"/>
      <w:bookmarkStart w:id="37" w:name="_Toc1592685362"/>
      <w:bookmarkStart w:id="38" w:name="_Toc209353018"/>
      <w:bookmarkStart w:id="39" w:name="_Toc1876362608"/>
      <w:bookmarkStart w:id="40" w:name="_Toc1752990621"/>
      <w:bookmarkStart w:id="41" w:name="_Toc149292542"/>
      <w:bookmarkStart w:id="42" w:name="_Toc22155"/>
      <w:bookmarkStart w:id="43" w:name="_Toc772248121"/>
      <w:bookmarkStart w:id="44" w:name="_Toc2116793356"/>
      <w:r>
        <w:rPr>
          <w:rFonts w:hint="default" w:ascii="Times New Roman" w:hAnsi="Times New Roman" w:eastAsia="仿宋_GB2312" w:cs="Times New Roman"/>
          <w:b/>
          <w:bCs/>
          <w:color w:val="000000"/>
        </w:rPr>
        <w:t>4.1  响应级别</w:t>
      </w:r>
      <w:bookmarkEnd w:id="33"/>
      <w:bookmarkEnd w:id="34"/>
      <w:bookmarkEnd w:id="35"/>
      <w:bookmarkEnd w:id="36"/>
      <w:bookmarkEnd w:id="37"/>
      <w:bookmarkEnd w:id="38"/>
      <w:bookmarkEnd w:id="39"/>
      <w:bookmarkEnd w:id="40"/>
      <w:bookmarkEnd w:id="41"/>
      <w:bookmarkEnd w:id="42"/>
      <w:bookmarkEnd w:id="43"/>
      <w:bookmarkEnd w:id="4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海洋灾害应急响应分为Ⅳ级（一般）、Ⅲ级（较大）、Ⅱ级（重大）、Ⅰ级（特别重大）四个级别，分别对应最低至最高响应级别。海洋灾害应急响应级别主要依据海洋灾害预警级别确定，如同时发生2种或2种以上海洋灾害且分别发布不同预警级别，则按照最高预警级别确定海洋灾害应急响应等级。</w:t>
      </w:r>
    </w:p>
    <w:p>
      <w:pPr>
        <w:spacing w:line="570" w:lineRule="exact"/>
        <w:ind w:firstLine="562" w:firstLineChars="200"/>
        <w:jc w:val="center"/>
        <w:rPr>
          <w:rFonts w:hint="default" w:ascii="Times New Roman" w:hAnsi="Times New Roman" w:cs="Times New Roman"/>
          <w:b/>
          <w:kern w:val="0"/>
          <w:szCs w:val="21"/>
        </w:rPr>
      </w:pPr>
    </w:p>
    <w:p>
      <w:pPr>
        <w:spacing w:line="570" w:lineRule="exact"/>
        <w:ind w:firstLine="562" w:firstLineChars="200"/>
        <w:jc w:val="center"/>
        <w:rPr>
          <w:rFonts w:hint="default" w:ascii="Times New Roman" w:hAnsi="Times New Roman" w:cs="Times New Roman"/>
          <w:b/>
          <w:snapToGrid w:val="0"/>
          <w:szCs w:val="21"/>
        </w:rPr>
      </w:pPr>
      <w:r>
        <w:rPr>
          <w:rFonts w:hint="default" w:ascii="Times New Roman" w:hAnsi="Times New Roman" w:cs="Times New Roman"/>
          <w:b/>
          <w:kern w:val="0"/>
          <w:szCs w:val="21"/>
        </w:rPr>
        <w:t>应急响应级别启动标准简表</w:t>
      </w:r>
    </w:p>
    <w:tbl>
      <w:tblPr>
        <w:tblStyle w:val="19"/>
        <w:tblW w:w="93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9"/>
        <w:gridCol w:w="1757"/>
        <w:gridCol w:w="1757"/>
        <w:gridCol w:w="1757"/>
        <w:gridCol w:w="1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19" w:type="dxa"/>
            <w:vAlign w:val="center"/>
          </w:tcPr>
          <w:p>
            <w:pPr>
              <w:tabs>
                <w:tab w:val="left" w:pos="373"/>
              </w:tabs>
              <w:spacing w:line="570" w:lineRule="exact"/>
              <w:jc w:val="center"/>
              <w:rPr>
                <w:rFonts w:hint="default" w:ascii="Times New Roman" w:hAnsi="Times New Roman" w:cs="Times New Roman"/>
                <w:szCs w:val="21"/>
              </w:rPr>
            </w:pPr>
            <w:r>
              <w:rPr>
                <w:rFonts w:hint="default" w:ascii="Times New Roman" w:hAnsi="Times New Roman" w:cs="Times New Roman"/>
                <w:b/>
                <w:szCs w:val="21"/>
              </w:rPr>
              <w:t>响应级别</w:t>
            </w:r>
          </w:p>
        </w:tc>
        <w:tc>
          <w:tcPr>
            <w:tcW w:w="1757" w:type="dxa"/>
            <w:vAlign w:val="center"/>
          </w:tcPr>
          <w:p>
            <w:pPr>
              <w:spacing w:line="570" w:lineRule="exact"/>
              <w:jc w:val="center"/>
              <w:rPr>
                <w:rFonts w:hint="default" w:ascii="Times New Roman" w:hAnsi="Times New Roman" w:cs="Times New Roman"/>
                <w:b/>
                <w:szCs w:val="21"/>
              </w:rPr>
            </w:pPr>
            <w:r>
              <w:rPr>
                <w:rFonts w:hint="default" w:ascii="Times New Roman" w:hAnsi="Times New Roman" w:cs="Times New Roman"/>
                <w:b/>
                <w:szCs w:val="21"/>
              </w:rPr>
              <w:t>风暴潮灾害</w:t>
            </w:r>
          </w:p>
        </w:tc>
        <w:tc>
          <w:tcPr>
            <w:tcW w:w="1757" w:type="dxa"/>
            <w:vAlign w:val="center"/>
          </w:tcPr>
          <w:p>
            <w:pPr>
              <w:spacing w:line="570" w:lineRule="exact"/>
              <w:jc w:val="center"/>
              <w:rPr>
                <w:rFonts w:hint="default" w:ascii="Times New Roman" w:hAnsi="Times New Roman" w:cs="Times New Roman"/>
                <w:b/>
                <w:szCs w:val="21"/>
              </w:rPr>
            </w:pPr>
            <w:r>
              <w:rPr>
                <w:rFonts w:hint="default" w:ascii="Times New Roman" w:hAnsi="Times New Roman" w:cs="Times New Roman"/>
                <w:b/>
                <w:szCs w:val="21"/>
              </w:rPr>
              <w:t>海浪灾害</w:t>
            </w:r>
          </w:p>
        </w:tc>
        <w:tc>
          <w:tcPr>
            <w:tcW w:w="1757" w:type="dxa"/>
            <w:vAlign w:val="center"/>
          </w:tcPr>
          <w:p>
            <w:pPr>
              <w:spacing w:line="570" w:lineRule="exact"/>
              <w:jc w:val="center"/>
              <w:rPr>
                <w:rFonts w:hint="default" w:ascii="Times New Roman" w:hAnsi="Times New Roman" w:cs="Times New Roman"/>
                <w:b/>
                <w:szCs w:val="21"/>
              </w:rPr>
            </w:pPr>
            <w:r>
              <w:rPr>
                <w:rFonts w:hint="default" w:ascii="Times New Roman" w:hAnsi="Times New Roman" w:cs="Times New Roman"/>
                <w:b/>
                <w:szCs w:val="21"/>
              </w:rPr>
              <w:t>海啸灾害</w:t>
            </w:r>
          </w:p>
        </w:tc>
        <w:tc>
          <w:tcPr>
            <w:tcW w:w="1999" w:type="dxa"/>
            <w:vAlign w:val="center"/>
          </w:tcPr>
          <w:p>
            <w:pPr>
              <w:spacing w:line="570" w:lineRule="exact"/>
              <w:jc w:val="center"/>
              <w:rPr>
                <w:rFonts w:hint="default" w:ascii="Times New Roman" w:hAnsi="Times New Roman" w:cs="Times New Roman"/>
                <w:b/>
                <w:szCs w:val="21"/>
              </w:rPr>
            </w:pPr>
            <w:r>
              <w:rPr>
                <w:rFonts w:hint="default" w:ascii="Times New Roman" w:hAnsi="Times New Roman" w:cs="Times New Roman"/>
                <w:b/>
                <w:szCs w:val="21"/>
              </w:rPr>
              <w:t>赤潮灾害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19" w:type="dxa"/>
            <w:vAlign w:val="center"/>
          </w:tcPr>
          <w:p>
            <w:pPr>
              <w:spacing w:line="570" w:lineRule="exact"/>
              <w:jc w:val="center"/>
              <w:rPr>
                <w:rFonts w:hint="default" w:ascii="Times New Roman" w:hAnsi="Times New Roman" w:cs="Times New Roman"/>
                <w:b/>
                <w:szCs w:val="21"/>
              </w:rPr>
            </w:pPr>
            <w:r>
              <w:rPr>
                <w:rFonts w:hint="default" w:ascii="Times New Roman" w:hAnsi="Times New Roman" w:cs="Times New Roman"/>
                <w:b/>
                <w:szCs w:val="21"/>
              </w:rPr>
              <w:t>Ⅰ级应急响应</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红色警报</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无</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红色警报</w:t>
            </w:r>
          </w:p>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橙色警报</w:t>
            </w:r>
          </w:p>
        </w:tc>
        <w:tc>
          <w:tcPr>
            <w:tcW w:w="1999"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Ⅰ级赤潮灾害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19" w:type="dxa"/>
            <w:vAlign w:val="center"/>
          </w:tcPr>
          <w:p>
            <w:pPr>
              <w:spacing w:line="570" w:lineRule="exact"/>
              <w:jc w:val="center"/>
              <w:rPr>
                <w:rFonts w:hint="default" w:ascii="Times New Roman" w:hAnsi="Times New Roman" w:cs="Times New Roman"/>
                <w:b/>
                <w:szCs w:val="21"/>
              </w:rPr>
            </w:pPr>
            <w:r>
              <w:rPr>
                <w:rFonts w:hint="default" w:ascii="Times New Roman" w:hAnsi="Times New Roman" w:cs="Times New Roman"/>
                <w:b/>
                <w:szCs w:val="21"/>
              </w:rPr>
              <w:t>Ⅱ级应急响应</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橙色警报</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红色警报</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黄色警报</w:t>
            </w:r>
          </w:p>
        </w:tc>
        <w:tc>
          <w:tcPr>
            <w:tcW w:w="1999"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Ⅱ级赤潮灾害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19" w:type="dxa"/>
            <w:vAlign w:val="center"/>
          </w:tcPr>
          <w:p>
            <w:pPr>
              <w:spacing w:line="570" w:lineRule="exact"/>
              <w:jc w:val="center"/>
              <w:rPr>
                <w:rFonts w:hint="default" w:ascii="Times New Roman" w:hAnsi="Times New Roman" w:cs="Times New Roman"/>
                <w:b/>
                <w:szCs w:val="21"/>
              </w:rPr>
            </w:pPr>
            <w:r>
              <w:rPr>
                <w:rFonts w:hint="default" w:ascii="Times New Roman" w:hAnsi="Times New Roman" w:cs="Times New Roman"/>
                <w:b/>
                <w:szCs w:val="21"/>
              </w:rPr>
              <w:t>Ⅲ级应急响应</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黄色警报</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橙色警报</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无</w:t>
            </w:r>
          </w:p>
        </w:tc>
        <w:tc>
          <w:tcPr>
            <w:tcW w:w="1999"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Ⅲ级赤潮灾害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19" w:type="dxa"/>
            <w:vAlign w:val="center"/>
          </w:tcPr>
          <w:p>
            <w:pPr>
              <w:spacing w:line="570" w:lineRule="exact"/>
              <w:jc w:val="center"/>
              <w:rPr>
                <w:rFonts w:hint="default" w:ascii="Times New Roman" w:hAnsi="Times New Roman" w:cs="Times New Roman"/>
                <w:b/>
                <w:szCs w:val="21"/>
              </w:rPr>
            </w:pPr>
            <w:r>
              <w:rPr>
                <w:rFonts w:hint="default" w:ascii="Times New Roman" w:hAnsi="Times New Roman" w:cs="Times New Roman"/>
                <w:b/>
                <w:szCs w:val="21"/>
              </w:rPr>
              <w:t>Ⅳ级应急响应</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蓝色警报</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黄色警报</w:t>
            </w:r>
          </w:p>
        </w:tc>
        <w:tc>
          <w:tcPr>
            <w:tcW w:w="1757"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无</w:t>
            </w:r>
          </w:p>
        </w:tc>
        <w:tc>
          <w:tcPr>
            <w:tcW w:w="1999" w:type="dxa"/>
            <w:vAlign w:val="center"/>
          </w:tcPr>
          <w:p>
            <w:pPr>
              <w:spacing w:line="570" w:lineRule="exact"/>
              <w:jc w:val="center"/>
              <w:rPr>
                <w:rFonts w:hint="default" w:ascii="Times New Roman" w:hAnsi="Times New Roman" w:cs="Times New Roman"/>
                <w:szCs w:val="21"/>
              </w:rPr>
            </w:pPr>
            <w:r>
              <w:rPr>
                <w:rFonts w:hint="default" w:ascii="Times New Roman" w:hAnsi="Times New Roman" w:cs="Times New Roman"/>
                <w:szCs w:val="21"/>
              </w:rPr>
              <w:t>无</w:t>
            </w:r>
          </w:p>
        </w:tc>
      </w:tr>
    </w:tbl>
    <w:p>
      <w:pPr>
        <w:pStyle w:val="4"/>
        <w:keepNext/>
        <w:keepLines/>
        <w:spacing w:line="560" w:lineRule="exact"/>
        <w:ind w:firstLine="0"/>
        <w:rPr>
          <w:rFonts w:hint="default" w:ascii="Times New Roman" w:hAnsi="Times New Roman" w:cs="Times New Roman"/>
          <w:b/>
          <w:color w:val="000000"/>
        </w:rPr>
      </w:pPr>
      <w:bookmarkStart w:id="45" w:name="_Toc22680"/>
      <w:bookmarkStart w:id="46" w:name="_Toc317097467_WPSOffice_Level3"/>
      <w:bookmarkStart w:id="47" w:name="_Toc1999"/>
      <w:bookmarkStart w:id="48" w:name="_Toc27517"/>
      <w:r>
        <w:rPr>
          <w:rFonts w:hint="default" w:ascii="Times New Roman" w:hAnsi="Times New Roman" w:cs="Times New Roman"/>
          <w:b/>
          <w:color w:val="000000"/>
        </w:rPr>
        <w:t>4.1.1  Ⅳ级应急响应</w:t>
      </w:r>
      <w:bookmarkEnd w:id="45"/>
      <w:bookmarkEnd w:id="46"/>
      <w:bookmarkEnd w:id="47"/>
      <w:bookmarkEnd w:id="4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当出现以下情况之一时，经会商研判，启动Ⅳ级应急响应：</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（1）沿海岸段风暴潮灾害达到蓝色警报级别；</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（2）近岸及附近海域海浪灾害达到黄色警报级别。</w:t>
      </w:r>
      <w:bookmarkStart w:id="49" w:name="_Toc1892066601_WPSOffice_Level3"/>
    </w:p>
    <w:p>
      <w:pPr>
        <w:pStyle w:val="4"/>
        <w:keepNext/>
        <w:keepLines/>
        <w:spacing w:line="560" w:lineRule="exact"/>
        <w:ind w:firstLine="0"/>
        <w:rPr>
          <w:rFonts w:hint="default" w:ascii="Times New Roman" w:hAnsi="Times New Roman" w:cs="Times New Roman"/>
          <w:b/>
          <w:color w:val="000000"/>
        </w:rPr>
      </w:pPr>
      <w:bookmarkStart w:id="50" w:name="_Toc4104"/>
      <w:bookmarkStart w:id="51" w:name="_Toc31683"/>
      <w:r>
        <w:rPr>
          <w:rFonts w:hint="default" w:ascii="Times New Roman" w:hAnsi="Times New Roman" w:cs="Times New Roman"/>
          <w:b/>
          <w:color w:val="000000"/>
        </w:rPr>
        <w:t>4.1.2  Ⅲ级应急响应</w:t>
      </w:r>
      <w:bookmarkEnd w:id="49"/>
      <w:bookmarkEnd w:id="50"/>
      <w:bookmarkEnd w:id="51"/>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当出现以下情况之一时，经会商研判，启动Ⅲ级应急响应：</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（1）沿海岸段风暴潮灾害达到黄色警报级别；</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（2）近岸及附近海域海浪灾害达到橙色警报级别；</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（3）发生Ⅲ级赤潮灾害。</w:t>
      </w:r>
      <w:bookmarkStart w:id="52" w:name="_Toc1376710097_WPSOffice_Level3"/>
    </w:p>
    <w:p>
      <w:pPr>
        <w:pStyle w:val="4"/>
        <w:keepNext/>
        <w:keepLines/>
        <w:spacing w:line="560" w:lineRule="exact"/>
        <w:ind w:firstLine="0"/>
        <w:rPr>
          <w:rFonts w:hint="default" w:ascii="Times New Roman" w:hAnsi="Times New Roman" w:cs="Times New Roman"/>
          <w:b/>
          <w:color w:val="000000"/>
        </w:rPr>
      </w:pPr>
      <w:bookmarkStart w:id="53" w:name="_Toc24035"/>
      <w:bookmarkStart w:id="54" w:name="_Toc25211"/>
      <w:r>
        <w:rPr>
          <w:rFonts w:hint="default" w:ascii="Times New Roman" w:hAnsi="Times New Roman" w:cs="Times New Roman"/>
          <w:b/>
          <w:color w:val="000000"/>
        </w:rPr>
        <w:t>4.1.3  Ⅱ级应急响应</w:t>
      </w:r>
      <w:bookmarkEnd w:id="52"/>
      <w:bookmarkEnd w:id="53"/>
      <w:bookmarkEnd w:id="5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当出现以下情况之一时，经会商研判，启动Ⅱ级应急响应：</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（1）沿海岸段风暴潮灾害达到橙色警报级别；</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（2）近岸及附近海域海浪灾害达到红色警报级别；</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（3）海啸灾害达到黄色警报级别；</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（4）发生Ⅱ级赤潮灾害。</w:t>
      </w:r>
    </w:p>
    <w:p>
      <w:pPr>
        <w:pStyle w:val="4"/>
        <w:keepNext/>
        <w:keepLines/>
        <w:spacing w:line="560" w:lineRule="exact"/>
        <w:ind w:firstLine="0"/>
        <w:rPr>
          <w:rFonts w:hint="default" w:ascii="Times New Roman" w:hAnsi="Times New Roman" w:cs="Times New Roman"/>
          <w:b/>
          <w:color w:val="000000"/>
        </w:rPr>
      </w:pPr>
      <w:bookmarkStart w:id="55" w:name="_Toc11322"/>
      <w:bookmarkStart w:id="56" w:name="_Toc30112"/>
      <w:bookmarkStart w:id="57" w:name="_Toc927612902_WPSOffice_Level3"/>
      <w:bookmarkStart w:id="58" w:name="_Toc28421"/>
      <w:r>
        <w:rPr>
          <w:rFonts w:hint="default" w:ascii="Times New Roman" w:hAnsi="Times New Roman" w:cs="Times New Roman"/>
          <w:b/>
          <w:color w:val="000000"/>
        </w:rPr>
        <w:t>4.1.4  Ⅰ级应急响应</w:t>
      </w:r>
      <w:bookmarkEnd w:id="55"/>
      <w:bookmarkEnd w:id="56"/>
      <w:bookmarkEnd w:id="57"/>
      <w:bookmarkEnd w:id="5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当出现以下情况时，经会商研判，启动Ⅰ级应急响应：</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（1）沿海岸段风暴潮灾害达到红色警报级别；</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（2）海啸灾害达到橙色或红色警报级别；</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（3）发生Ⅰ级赤潮灾害。</w:t>
      </w:r>
    </w:p>
    <w:p>
      <w:pPr>
        <w:pStyle w:val="3"/>
        <w:keepNext/>
        <w:keepLines/>
        <w:spacing w:line="600" w:lineRule="exact"/>
        <w:ind w:firstLine="0"/>
        <w:rPr>
          <w:rFonts w:hint="default" w:ascii="Times New Roman" w:hAnsi="Times New Roman" w:eastAsia="仿宋_GB2312" w:cs="Times New Roman"/>
          <w:b/>
          <w:bCs/>
          <w:color w:val="000000"/>
        </w:rPr>
      </w:pPr>
      <w:bookmarkStart w:id="59" w:name="_Toc17515"/>
      <w:r>
        <w:rPr>
          <w:rFonts w:hint="default" w:ascii="Times New Roman" w:hAnsi="Times New Roman" w:eastAsia="仿宋_GB2312" w:cs="Times New Roman"/>
          <w:b/>
          <w:bCs/>
          <w:color w:val="000000"/>
        </w:rPr>
        <w:t>4.2  响应程序</w:t>
      </w:r>
      <w:bookmarkEnd w:id="59"/>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海洋灾害专项工作组办公室根据接收到的海洋灾害预警级别，在研判后及时启动、提高或降低、解除本市相应级别的应急响应，并上报市防减救安委和省海洋灾害应急专项办公室，通知成员单位、有关企事业单位和本次受影响各区政府，按程序报批后将预警信息通过预警发布中心对外发布。当海洋灾害事件发生在重要海域、重大节假日、重大活动、重大会议期间，以及发生涉外、敏感、可能恶化的事件时，市海洋灾害专项工作组研判后，报市防减救安委视情提高应急响应等级。</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Ⅳ级应急响应等级启动或调整的命令由海洋灾害专项工作办公室主任（市自然资源和规划局局长）签发，由海洋灾害专项工作组办公室发送给有关成员单位和各区海洋灾害应急专项工作组织机构。</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kern w:val="0"/>
          <w:sz w:val="32"/>
          <w:szCs w:val="32"/>
        </w:rPr>
        <w:t>Ⅲ级</w:t>
      </w:r>
      <w:r>
        <w:rPr>
          <w:rFonts w:hint="default" w:ascii="Times New Roman" w:hAnsi="Times New Roman" w:cs="Times New Roman"/>
          <w:sz w:val="32"/>
          <w:szCs w:val="32"/>
        </w:rPr>
        <w:t>应急响应等级启动或调整的命令由海洋灾害专项工作组副组长（市政府分管副秘书长、市自然资源和规划局及市应急管理局局长）签发，由海洋灾害专项工作组办公室发送给有关成员单位和各区海洋灾害应急专项工作组织机构。</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Ⅱ级应急响应等级启动或调整的命令由市防减救安委主任（市政府市长）签发或授权海洋灾害专项工作组组长（分管副市长）签发，由</w:t>
      </w:r>
      <w:r>
        <w:rPr>
          <w:rFonts w:hint="default" w:ascii="Times New Roman" w:hAnsi="Times New Roman" w:cs="Times New Roman"/>
          <w:kern w:val="0"/>
          <w:sz w:val="32"/>
          <w:szCs w:val="32"/>
        </w:rPr>
        <w:t>市海洋灾害专项工作组办公室</w:t>
      </w:r>
      <w:r>
        <w:rPr>
          <w:rFonts w:hint="default" w:ascii="Times New Roman" w:hAnsi="Times New Roman" w:cs="Times New Roman"/>
          <w:sz w:val="32"/>
          <w:szCs w:val="32"/>
        </w:rPr>
        <w:t>发送给有关成员单位和各区海洋灾害应急专项工作组织机构。</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Ⅰ级应急响应等级启动或调整的命令由市防减救安委主任（市政府市长）签发，由市防减救安委办发送给有关成员单位和各区海洋灾害应急专项工作组织机构。</w:t>
      </w:r>
    </w:p>
    <w:p>
      <w:pPr>
        <w:pStyle w:val="3"/>
        <w:keepNext/>
        <w:keepLines/>
        <w:spacing w:line="600" w:lineRule="exact"/>
        <w:ind w:firstLine="0"/>
        <w:rPr>
          <w:rFonts w:hint="default" w:ascii="Times New Roman" w:hAnsi="Times New Roman" w:eastAsia="仿宋_GB2312" w:cs="Times New Roman"/>
          <w:b/>
          <w:bCs/>
          <w:color w:val="000000"/>
        </w:rPr>
      </w:pPr>
      <w:bookmarkStart w:id="60" w:name="_Toc12674"/>
      <w:r>
        <w:rPr>
          <w:rFonts w:hint="default" w:ascii="Times New Roman" w:hAnsi="Times New Roman" w:eastAsia="仿宋_GB2312" w:cs="Times New Roman"/>
          <w:b/>
          <w:bCs/>
          <w:color w:val="000000"/>
        </w:rPr>
        <w:t>4.3 应急响应处置</w:t>
      </w:r>
      <w:bookmarkEnd w:id="60"/>
    </w:p>
    <w:p>
      <w:pPr>
        <w:pStyle w:val="4"/>
        <w:keepNext/>
        <w:keepLines/>
        <w:spacing w:line="560" w:lineRule="exact"/>
        <w:ind w:firstLine="0"/>
        <w:rPr>
          <w:rFonts w:hint="default" w:ascii="Times New Roman" w:hAnsi="Times New Roman" w:cs="Times New Roman"/>
          <w:b/>
          <w:color w:val="000000"/>
        </w:rPr>
      </w:pPr>
      <w:bookmarkStart w:id="61" w:name="_Toc12684"/>
      <w:bookmarkStart w:id="62" w:name="_Toc1687926652_WPSOffice_Level3"/>
      <w:bookmarkStart w:id="63" w:name="_Toc18287"/>
      <w:bookmarkStart w:id="64" w:name="_Toc13525"/>
      <w:bookmarkStart w:id="65" w:name="_Toc8764"/>
      <w:r>
        <w:rPr>
          <w:rFonts w:hint="default" w:ascii="Times New Roman" w:hAnsi="Times New Roman" w:cs="Times New Roman"/>
          <w:b/>
          <w:color w:val="000000"/>
        </w:rPr>
        <w:t>4.3.1  风暴潮、海浪灾害处置</w:t>
      </w:r>
      <w:bookmarkEnd w:id="61"/>
      <w:bookmarkEnd w:id="62"/>
      <w:bookmarkEnd w:id="63"/>
      <w:bookmarkEnd w:id="64"/>
      <w:bookmarkEnd w:id="65"/>
    </w:p>
    <w:p>
      <w:pPr>
        <w:pStyle w:val="5"/>
        <w:rPr>
          <w:rFonts w:hint="default" w:ascii="Times New Roman" w:hAnsi="Times New Roman" w:cs="Times New Roman"/>
          <w:bCs/>
          <w:color w:val="000000"/>
        </w:rPr>
      </w:pPr>
      <w:bookmarkStart w:id="66" w:name="_Toc5443"/>
      <w:bookmarkStart w:id="67" w:name="_Toc14737"/>
      <w:r>
        <w:rPr>
          <w:rFonts w:hint="default" w:ascii="Times New Roman" w:hAnsi="Times New Roman" w:cs="Times New Roman"/>
          <w:bCs/>
          <w:color w:val="000000"/>
        </w:rPr>
        <w:t>4.3.1.1  Ⅳ级应急响应行动</w:t>
      </w:r>
      <w:bookmarkEnd w:id="66"/>
      <w:bookmarkEnd w:id="67"/>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海洋灾害专项工作组办公室主任负责指挥、协调各区、各部门开展应急处置工作。成员单位及各区工作组落实应急值班制度，确定带班领导和应急值班人员参与应急值班，保持全天24小时通讯畅通，密切关注风暴潮、海浪灾害发生发展动态，及时启动或调整本部门应急预案。应急工作小组做好应急行动准备。</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w:t>
      </w:r>
      <w:r>
        <w:rPr>
          <w:rFonts w:hint="default" w:ascii="Times New Roman" w:hAnsi="Times New Roman" w:cs="Times New Roman"/>
          <w:kern w:val="0"/>
          <w:sz w:val="32"/>
          <w:szCs w:val="32"/>
        </w:rPr>
        <w:t>市海洋灾害专项工作组办公室主任</w:t>
      </w:r>
      <w:r>
        <w:rPr>
          <w:rFonts w:hint="default" w:ascii="Times New Roman" w:hAnsi="Times New Roman" w:cs="Times New Roman"/>
          <w:sz w:val="32"/>
          <w:szCs w:val="32"/>
        </w:rPr>
        <w:t>应组织应急会商（每日不少于1次）。</w:t>
      </w:r>
      <w:r>
        <w:rPr>
          <w:rFonts w:hint="default" w:ascii="Times New Roman" w:hAnsi="Times New Roman" w:cs="Times New Roman"/>
          <w:kern w:val="0"/>
          <w:sz w:val="32"/>
          <w:szCs w:val="32"/>
        </w:rPr>
        <w:t>市海洋灾害专项工作组发布海洋灾害防御和应急工作通知。</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（3）市海洋灾害专项工作组办公室督促检查成员单位和各区值班值守情况，密切监视海洋灾害发生发展变化，汇总本市海洋灾害防灾救灾情况。</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（4）市气象局每日至少1次报告天气预报信息。市自然资源</w:t>
      </w:r>
      <w:r>
        <w:rPr>
          <w:rFonts w:hint="eastAsia" w:ascii="Times New Roman" w:cs="Times New Roman"/>
          <w:sz w:val="32"/>
          <w:szCs w:val="32"/>
          <w:lang w:val="en-US" w:eastAsia="zh-CN"/>
        </w:rPr>
        <w:t>和</w:t>
      </w:r>
      <w:r>
        <w:rPr>
          <w:rFonts w:hint="default" w:ascii="Times New Roman" w:hAnsi="Times New Roman" w:cs="Times New Roman"/>
          <w:sz w:val="32"/>
          <w:szCs w:val="32"/>
        </w:rPr>
        <w:t>规划局应实时接收省海洋监测预报中心（海南省海洋预报台）发布的风暴潮、海浪警报信息，海洋灾害专项工作组负责通报相关成员单位，并上报海洋灾害专项工作组。</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（5）其他成员单位按照职责分工，做好应对工作。</w:t>
      </w:r>
    </w:p>
    <w:p>
      <w:pPr>
        <w:pStyle w:val="5"/>
        <w:rPr>
          <w:rFonts w:hint="default" w:ascii="Times New Roman" w:hAnsi="Times New Roman" w:cs="Times New Roman"/>
          <w:bCs/>
          <w:color w:val="000000"/>
        </w:rPr>
      </w:pPr>
      <w:bookmarkStart w:id="68" w:name="_Toc2443"/>
      <w:r>
        <w:rPr>
          <w:rFonts w:hint="default" w:ascii="Times New Roman" w:hAnsi="Times New Roman" w:cs="Times New Roman"/>
          <w:bCs/>
          <w:color w:val="000000"/>
        </w:rPr>
        <w:t>4.3.1.2  Ⅲ级应急响应行动</w:t>
      </w:r>
      <w:bookmarkEnd w:id="6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海洋灾害专项工作组办公室主任负责指挥、协调有关地区、各部门开展应急处置工作。成员单位及各区工作组落实应急值班制度，确定带班领导和应急值班人员参与应急值班，保持全天24小时通讯畅通，密切关注风暴潮、海浪灾害发生发展动态，及时启动或调整本部门应急预案。</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市海洋灾害专项工作组办公室主任组织有关部门会商，必要时组织各区工作组参加会商，海洋、应急管理、农业农村、水务、旅文、海事、气象、三亚海洋站等部门及有关人员参加。如三亚市已启动防汛防风防旱应急响应，可合并开展会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市海洋灾害专项工作组发布海洋灾害防御和应急工作通知。必要时，市海洋灾害专项工作组派出专家组或现场工作组，开展海洋灾害现场研判和调查评估，指导、协调各区开展应急处置，并为现场处置提供决策咨询和技术支持。</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（4）市海洋灾害专项工作组办公室督促检查成员单位和各区值班值守情况，密切监视海洋灾害发生发展变化，汇总本市海洋灾害防灾救灾情况。</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（5）市气象局每日至少2次报告天气预报信息。市自然资源</w:t>
      </w:r>
      <w:r>
        <w:rPr>
          <w:rFonts w:hint="eastAsia" w:ascii="Times New Roman" w:cs="Times New Roman"/>
          <w:sz w:val="32"/>
          <w:szCs w:val="32"/>
          <w:lang w:val="en-US" w:eastAsia="zh-CN"/>
        </w:rPr>
        <w:t>和</w:t>
      </w:r>
      <w:r>
        <w:rPr>
          <w:rFonts w:hint="default" w:ascii="Times New Roman" w:hAnsi="Times New Roman" w:cs="Times New Roman"/>
          <w:sz w:val="32"/>
          <w:szCs w:val="32"/>
        </w:rPr>
        <w:t>规划局实时接收省海洋监测预报中心（海南省海洋预报台）每日发布的风暴潮、海浪警报信息，海洋灾害专项工作组负责通报相关成员单位，并上报海洋灾害专项工作组。</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（6）其他成员单位按照职责分工，做好应对工作。</w:t>
      </w:r>
    </w:p>
    <w:p>
      <w:pPr>
        <w:pStyle w:val="5"/>
        <w:rPr>
          <w:rFonts w:hint="default" w:ascii="Times New Roman" w:hAnsi="Times New Roman" w:cs="Times New Roman"/>
          <w:bCs/>
          <w:color w:val="000000"/>
        </w:rPr>
      </w:pPr>
      <w:bookmarkStart w:id="69" w:name="_Toc30218"/>
      <w:r>
        <w:rPr>
          <w:rFonts w:hint="default" w:ascii="Times New Roman" w:hAnsi="Times New Roman" w:cs="Times New Roman"/>
          <w:bCs/>
          <w:color w:val="000000"/>
        </w:rPr>
        <w:t>4.3.1.3  Ⅱ级应急响应行动</w:t>
      </w:r>
      <w:bookmarkEnd w:id="69"/>
      <w:bookmarkStart w:id="326" w:name="_GoBack"/>
      <w:bookmarkEnd w:id="326"/>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海洋灾害专项工作组组长负责并坐镇指挥，市海洋灾害专项工作组副组长、市海洋灾害专项工作组办公室主任协助指挥、协调各区、各部门开展应急处置工作。成员单位及各区工作组落实应急值班制度，确定带班领导和应急值班人员参与应急值班，保持全天24小时通讯畅通，密切关注风暴潮、海浪灾害发生发展动态，及时启动或调整本部门应急预案。</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w:t>
      </w:r>
      <w:r>
        <w:rPr>
          <w:rFonts w:hint="default" w:ascii="Times New Roman" w:hAnsi="Times New Roman" w:cs="Times New Roman"/>
          <w:kern w:val="0"/>
          <w:sz w:val="32"/>
          <w:szCs w:val="32"/>
        </w:rPr>
        <w:t>市海洋灾害专项工作组</w:t>
      </w:r>
      <w:r>
        <w:rPr>
          <w:rFonts w:hint="default" w:ascii="Times New Roman" w:hAnsi="Times New Roman" w:cs="Times New Roman"/>
          <w:sz w:val="32"/>
          <w:szCs w:val="32"/>
        </w:rPr>
        <w:t>组长</w:t>
      </w:r>
      <w:r>
        <w:rPr>
          <w:rFonts w:hint="default" w:ascii="Times New Roman" w:hAnsi="Times New Roman" w:cs="Times New Roman"/>
          <w:kern w:val="0"/>
          <w:sz w:val="32"/>
          <w:szCs w:val="32"/>
        </w:rPr>
        <w:t>组织有关部门会商，各区</w:t>
      </w:r>
      <w:r>
        <w:rPr>
          <w:rFonts w:hint="default" w:ascii="Times New Roman" w:hAnsi="Times New Roman" w:cs="Times New Roman"/>
          <w:sz w:val="32"/>
          <w:szCs w:val="32"/>
        </w:rPr>
        <w:t>工作组</w:t>
      </w:r>
      <w:r>
        <w:rPr>
          <w:rFonts w:hint="default" w:ascii="Times New Roman" w:hAnsi="Times New Roman" w:cs="Times New Roman"/>
          <w:kern w:val="0"/>
          <w:sz w:val="32"/>
          <w:szCs w:val="32"/>
        </w:rPr>
        <w:t>及其相关人员参加会商。</w:t>
      </w:r>
      <w:r>
        <w:rPr>
          <w:rFonts w:hint="default" w:ascii="Times New Roman" w:hAnsi="Times New Roman" w:cs="Times New Roman"/>
          <w:sz w:val="32"/>
          <w:szCs w:val="32"/>
        </w:rPr>
        <w:t>海洋、应急管理、农业农村、水务、旅文、海事、气象、三亚海洋站等部门及有关人员参加。如灾害趋势发生重大变化，则应加密会商。如三亚市已启动防汛防风防旱应急响应，可合并开展会商。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市海洋灾害专项工作组发布海洋灾害防御和应急工作通知，必要时，市海洋灾害专项工作组派出专家组或现场工作组，开展海洋灾害现场研判和调查评估，指导、协调各区开展应急处置，并为现场处置提供决策咨询和技术支持。</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（4）市海洋灾害专项工作组组长值班。市海洋灾害专项工作组办公室督促检查成员单位和各区值班值守情况，密切监视海洋灾害发生发展变化，汇总本市海洋灾害防灾救灾情况。</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（5）市气象局每日至少3次报告天气预报信息。市自然资源</w:t>
      </w:r>
      <w:r>
        <w:rPr>
          <w:rFonts w:hint="eastAsia" w:ascii="Times New Roman" w:cs="Times New Roman"/>
          <w:sz w:val="32"/>
          <w:szCs w:val="32"/>
          <w:lang w:val="en-US" w:eastAsia="zh-CN"/>
        </w:rPr>
        <w:t>和</w:t>
      </w:r>
      <w:r>
        <w:rPr>
          <w:rFonts w:hint="default" w:ascii="Times New Roman" w:hAnsi="Times New Roman" w:cs="Times New Roman"/>
          <w:sz w:val="32"/>
          <w:szCs w:val="32"/>
        </w:rPr>
        <w:t>规划局实时接收省海洋监测预报中心（海南省海洋预报台）每日发布的风暴潮、海浪警报信息，海洋灾害专项工作组负责通报相关成员单位，并上报海洋灾害专项工作组。</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（6）成员单位和各区按照职责分工协同做好应对工作，同时每日至少1次向市海洋灾害专项工作组上报防御和应急工作开展情况。</w:t>
      </w:r>
    </w:p>
    <w:p>
      <w:pPr>
        <w:pStyle w:val="5"/>
        <w:rPr>
          <w:rFonts w:hint="default" w:ascii="Times New Roman" w:hAnsi="Times New Roman" w:cs="Times New Roman"/>
          <w:bCs/>
          <w:color w:val="000000"/>
        </w:rPr>
      </w:pPr>
      <w:bookmarkStart w:id="70" w:name="_Toc57"/>
      <w:r>
        <w:rPr>
          <w:rFonts w:hint="default" w:ascii="Times New Roman" w:hAnsi="Times New Roman" w:cs="Times New Roman"/>
          <w:bCs/>
          <w:color w:val="000000"/>
        </w:rPr>
        <w:t>4.3.1.4  Ⅰ级应急响应行动</w:t>
      </w:r>
      <w:bookmarkEnd w:id="70"/>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防减救安委主任负责并坐镇指挥，市海洋灾害专项工作组组长协助指挥、协调有关地区、部门开展应急处置工作。成员单位及各区工作组落实应急值班制度，确定带班领导和应急值班人员参与应急值班，保持全天24小时通讯畅通，密切关注风暴潮、海浪灾害发生发展动态，及时启动或调整本部门应急预案。</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（2）市防减救安委主任</w:t>
      </w:r>
      <w:r>
        <w:rPr>
          <w:rFonts w:hint="default" w:ascii="Times New Roman" w:hAnsi="Times New Roman" w:cs="Times New Roman"/>
          <w:kern w:val="0"/>
          <w:sz w:val="32"/>
          <w:szCs w:val="32"/>
        </w:rPr>
        <w:t>组织有关部门会商，各区</w:t>
      </w:r>
      <w:r>
        <w:rPr>
          <w:rFonts w:hint="default" w:ascii="Times New Roman" w:hAnsi="Times New Roman" w:cs="Times New Roman"/>
          <w:sz w:val="32"/>
          <w:szCs w:val="32"/>
        </w:rPr>
        <w:t>工作组</w:t>
      </w:r>
      <w:r>
        <w:rPr>
          <w:rFonts w:hint="default" w:ascii="Times New Roman" w:hAnsi="Times New Roman" w:cs="Times New Roman"/>
          <w:kern w:val="0"/>
          <w:sz w:val="32"/>
          <w:szCs w:val="32"/>
        </w:rPr>
        <w:t>及其相关人员参加会商，</w:t>
      </w:r>
      <w:r>
        <w:rPr>
          <w:rFonts w:hint="default" w:ascii="Times New Roman" w:hAnsi="Times New Roman" w:cs="Times New Roman"/>
          <w:sz w:val="32"/>
          <w:szCs w:val="32"/>
        </w:rPr>
        <w:t>市海洋灾害专项工作组组长主持</w:t>
      </w:r>
      <w:r>
        <w:rPr>
          <w:rFonts w:hint="default" w:ascii="Times New Roman" w:hAnsi="Times New Roman" w:cs="Times New Roman"/>
          <w:kern w:val="0"/>
          <w:sz w:val="32"/>
          <w:szCs w:val="32"/>
        </w:rPr>
        <w:t>。</w:t>
      </w:r>
      <w:r>
        <w:rPr>
          <w:rFonts w:hint="default" w:ascii="Times New Roman" w:hAnsi="Times New Roman" w:cs="Times New Roman"/>
          <w:sz w:val="32"/>
          <w:szCs w:val="32"/>
        </w:rPr>
        <w:t>海洋、应急管理、农业农村、水务、旅文、海事、气象、三亚海洋站等部门及有关人员参加。如灾害趋势发生重大变化，则应加密会商。如三亚市已启动防汛防风防旱应急响应，可合并开展会商。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（3）市海洋灾害专项工作组发布海洋灾害防御和应急工作通知，派出专家组或现场工作组，开展海洋灾害现场研判和调查评估，指导、协调各区开展应急处置，并为现场处置提供决策咨询和技术支持。</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（4）市海洋灾害专项工作组组长值班。市海洋灾害专项工作组办公室督促检查成员单位和各区值班值守情况，密切监视海洋灾害发生发展变化，汇总本市海洋灾害防灾救灾情况。</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（5）市气象局每日至少4次报告天气预报信息。市自然资源</w:t>
      </w:r>
      <w:r>
        <w:rPr>
          <w:rFonts w:hint="eastAsia" w:ascii="Times New Roman" w:cs="Times New Roman"/>
          <w:sz w:val="32"/>
          <w:szCs w:val="32"/>
          <w:lang w:val="en-US" w:eastAsia="zh-CN"/>
        </w:rPr>
        <w:t>和</w:t>
      </w:r>
      <w:r>
        <w:rPr>
          <w:rFonts w:hint="default" w:ascii="Times New Roman" w:hAnsi="Times New Roman" w:cs="Times New Roman"/>
          <w:sz w:val="32"/>
          <w:szCs w:val="32"/>
        </w:rPr>
        <w:t>规划局实时接收省海洋监测预报中心（海南省海洋预报台）每日发布的风暴潮、海浪警报信息，海洋灾害专项工作组负责通报相关成员单位，并上报海洋灾害专项工作组。</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（6）成员单位和各区按照职责分工协同做好应对工作，同时每日至少2次向市海洋灾害专项工作组上报防御和应急工作开展情况。</w:t>
      </w:r>
    </w:p>
    <w:p>
      <w:pPr>
        <w:pStyle w:val="4"/>
        <w:keepNext/>
        <w:keepLines/>
        <w:spacing w:line="560" w:lineRule="exact"/>
        <w:ind w:firstLine="0"/>
        <w:rPr>
          <w:rFonts w:hint="default" w:ascii="Times New Roman" w:hAnsi="Times New Roman" w:cs="Times New Roman"/>
          <w:b/>
          <w:color w:val="000000"/>
        </w:rPr>
      </w:pPr>
      <w:bookmarkStart w:id="71" w:name="_Toc660260756_WPSOffice_Level3"/>
      <w:bookmarkStart w:id="72" w:name="_Toc13183"/>
      <w:bookmarkStart w:id="73" w:name="_Toc24004"/>
      <w:bookmarkStart w:id="74" w:name="_Toc28099"/>
      <w:bookmarkStart w:id="75" w:name="_Toc12189"/>
      <w:r>
        <w:rPr>
          <w:rFonts w:hint="default" w:ascii="Times New Roman" w:hAnsi="Times New Roman" w:cs="Times New Roman"/>
          <w:b/>
          <w:color w:val="000000"/>
        </w:rPr>
        <w:t>4.3.2  海啸灾害处置</w:t>
      </w:r>
      <w:bookmarkEnd w:id="71"/>
      <w:bookmarkEnd w:id="72"/>
      <w:bookmarkEnd w:id="73"/>
      <w:bookmarkEnd w:id="74"/>
      <w:bookmarkEnd w:id="75"/>
    </w:p>
    <w:p>
      <w:pPr>
        <w:pStyle w:val="5"/>
        <w:rPr>
          <w:rFonts w:hint="default" w:ascii="Times New Roman" w:hAnsi="Times New Roman" w:cs="Times New Roman"/>
          <w:bCs/>
          <w:color w:val="000000"/>
        </w:rPr>
      </w:pPr>
      <w:bookmarkStart w:id="76" w:name="_Toc16591"/>
      <w:r>
        <w:rPr>
          <w:rFonts w:hint="default" w:ascii="Times New Roman" w:hAnsi="Times New Roman" w:cs="Times New Roman"/>
          <w:bCs/>
          <w:color w:val="000000"/>
        </w:rPr>
        <w:t>4.3.2.1  Ⅱ级应急响应行动</w:t>
      </w:r>
      <w:bookmarkEnd w:id="76"/>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海洋灾害专项工作组组长负责并坐镇指挥，市海洋灾害专项工作组副组长、市海洋灾害专项工作组办公室主任协助指挥、协调各区、各部门开展应急处置工作。成员单位及各区工作组落实应急值班制度，确定带班领导和应急值班人员参与应急值班，保持全天24小时通讯畅通，密切关注海啸灾害发生发展动态，及时启动或调整本部门应急预案。</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接到国家海洋环境预报中心（自然资源部海啸预警中心）发布的海啸警报，市海洋灾害专项工作组办公室按照有关程序，开展海啸影响分析，同时迅速将海啸警报信息向社会公众发布，通报成员单位和各区海洋灾害应急组织机构，并随时滚动更新。</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有关海洋灾害应急组织机构要以户外高音广播、拉响海啸警报器等方式警示海边活动人员迅速撤离到离岸较远的安全区域。市科学技术和工业信息化局负责保障网络通讯畅通。市旅游和文化广电体育局要指导、协调、监督电视台、广播台制作海啸专题报道节目，滚动发布最新海啸警报信息和海啸避险方法，指导公众采取有效避险措施。市农业农村局要协调渔业船舶抢险救助，向海上及在港渔船发送海啸警报短信，指导渔船避险。</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接到海啸警报后，各区海洋灾害应急工作组要立即对所辖行政区域内危险区域（海滩、沿海低洼地区、河口等）群众进行疏散，并同时通告沿海大型工程、核电、化工、港口码头等重点防灾企业，做好防御海啸工作。交通运输部门和公安部门要保障人员撤离和抢险救灾应急交通路线的畅通。三亚海事局要按照市海洋灾害专项工作组部署，组织海上船舶进行避险。其他成员单位要根据职责结合实际情况开展应急处置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各区海洋应急工作组要及时向市海洋灾害专项组汇报应急处置工作情况，包括人员、物资财产、渔船、重点工程企业等的防护措施。市海洋灾害专项工作组办公室要实时收集应急工作情报和反馈意见，向省海洋灾害专项工作办公室和市防减救安委汇报海啸灾害应急工作进展。</w:t>
      </w:r>
    </w:p>
    <w:p>
      <w:pPr>
        <w:pStyle w:val="5"/>
        <w:rPr>
          <w:rFonts w:hint="default" w:ascii="Times New Roman" w:hAnsi="Times New Roman" w:cs="Times New Roman"/>
          <w:bCs/>
        </w:rPr>
      </w:pPr>
      <w:bookmarkStart w:id="77" w:name="_Toc21390"/>
      <w:r>
        <w:rPr>
          <w:rFonts w:hint="default" w:ascii="Times New Roman" w:hAnsi="Times New Roman" w:cs="Times New Roman"/>
          <w:bCs/>
        </w:rPr>
        <w:t>4.3.2.2  Ⅰ级应急响应行动</w:t>
      </w:r>
      <w:bookmarkEnd w:id="77"/>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防减救安委主任负责并坐镇指挥，市海洋灾害专项工作组组长协助指挥、协调有关地区、部门开展应急处置工作。成员单位及各区工作组落实应急值班制度，确定带班领导和应急值班人员参与应急值班，保持全天24小时通讯畅通，密切关注海啸灾害发生发展动态，及时启动或调整本部门应急预案。应急工作小组做好应急行动准备。</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接到国家海洋环境预报中心（自然资源部海啸预警中心）发布的海啸警报，市海洋灾害专项工作组办公室要按照有关程序，开展海啸影响分析，同时迅速将海啸警报信息向社会公众发布，通报成员单位和各区海洋灾害应急组织机构，并随时滚动更新。</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有关海洋灾害应急组织机构要以户外高音广播、拉响海啸警报器等方式警示海边活动人员迅速撤离到离岸较远的安全区域。市科学技术和工业信息化局负责保障网络通讯畅通。市旅游和文化广电体育局要指导、协调、监督电视台、广播台制作海啸专题报道节目，滚动发布最新海啸警报信息和海啸避险方法，指导公众采取有效避险措施。市农业农村局负责协调渔业船舶抢险救助工作，向海上及在港渔船发送海啸警报短信，指导渔船避险，通知外海渔船避免驶向近海，近岸船只若时间充足建议驶往深水海区，否则应靠岸固定船只后人员迅速撤离海岸；同时向渔民和涉海渔业企业转发海洋观测预警部门发布的海啸警报信息，督促渔民和涉海渔业企业按照海洋管理部门和海洋观测预警部门的要求落实海啸避险措施。</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接到海啸警报后，市海洋灾害专项工作组根据省防灾减灾救灾委员会的统一部署和应急指令，迅速组织人力（公安、消防等）对危险区域（海滩、沿海低洼地区、河口等）群众进行疏散。疏散工作从市、县（区）、乡镇到村，按照上级政府对下级政府负责、下级政府对上级政府汇报制度执行。同时通告沿海大型工程、核电、化工、港口码头等重点防灾企业，启动相应级别的海啸应急预案，做好防御海啸工作，包括停止大型设备运行，加强化工材料的防护，加固危险地段、易淹地段、港口码头和海上各类设施，落实沿海危险区域货场堆场的安全防护和转移等，并组织人员撤离到安全区域。市交通和公安部门要保障人员撤离和抢险救灾应急交通路线的畅通。三亚海事局要按市海洋灾害专项工作组部署，组织海上船舶进行避险。其他成员单位要根据职责结合实际情况开展救援处置工作。</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各区海洋应急工作组要及时向市海洋灾害专项组汇报应急处置工作情况，包括人员、物资财产、渔船、重点工程企业等的防护措施。市海洋灾害专项工作组办公室要实时收集应急工作情报和反馈意见，向省海洋灾害专项工作办公室和市防减救安委汇报海啸灾害应急工作进展。</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市防减救安委要视情派出应急工作组，赴海啸灾害影响重点地区，指导、督促当地海啸灾害应急工作。应急工作组要与市海洋灾害专项工作组保持密切联系，及时反馈应急工作进展，并落实市防减救安委救灾工作指示。</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（7）市海洋灾害专项工作组要根据海啸灾害影响程度应及时向市防减救安委报告。</w:t>
      </w:r>
    </w:p>
    <w:p>
      <w:pPr>
        <w:pStyle w:val="4"/>
        <w:keepNext/>
        <w:keepLines/>
        <w:spacing w:line="560" w:lineRule="exact"/>
        <w:ind w:firstLine="0"/>
        <w:rPr>
          <w:rFonts w:hint="default" w:ascii="Times New Roman" w:hAnsi="Times New Roman" w:cs="Times New Roman"/>
          <w:b/>
          <w:color w:val="000000"/>
        </w:rPr>
      </w:pPr>
      <w:bookmarkStart w:id="78" w:name="_Toc959997301_WPSOffice_Level3"/>
      <w:bookmarkStart w:id="79" w:name="_Toc21878"/>
      <w:bookmarkStart w:id="80" w:name="_Toc3954"/>
      <w:bookmarkStart w:id="81" w:name="_Toc6913"/>
      <w:bookmarkStart w:id="82" w:name="_Toc26035"/>
      <w:r>
        <w:rPr>
          <w:rFonts w:hint="default" w:ascii="Times New Roman" w:hAnsi="Times New Roman" w:cs="Times New Roman"/>
          <w:b/>
          <w:color w:val="000000"/>
        </w:rPr>
        <w:t>4.3.3  赤潮灾害处置</w:t>
      </w:r>
      <w:bookmarkEnd w:id="78"/>
      <w:bookmarkEnd w:id="79"/>
      <w:bookmarkEnd w:id="80"/>
      <w:bookmarkEnd w:id="81"/>
      <w:bookmarkEnd w:id="82"/>
    </w:p>
    <w:p>
      <w:pPr>
        <w:pStyle w:val="5"/>
        <w:rPr>
          <w:rFonts w:hint="default" w:ascii="Times New Roman" w:hAnsi="Times New Roman" w:cs="Times New Roman"/>
          <w:bCs/>
          <w:color w:val="000000"/>
        </w:rPr>
      </w:pPr>
      <w:bookmarkStart w:id="83" w:name="_Toc3460"/>
      <w:r>
        <w:rPr>
          <w:rFonts w:hint="default" w:ascii="Times New Roman" w:hAnsi="Times New Roman" w:cs="Times New Roman"/>
          <w:bCs/>
          <w:color w:val="000000"/>
        </w:rPr>
        <w:t>4.3.3.1  Ⅲ级应急响应行动</w:t>
      </w:r>
      <w:bookmarkEnd w:id="83"/>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海洋灾害专项工作组办公室主任负责指挥、协调有关地区、各部门开展应急处置工作。成员单位及各区落实应急值班制度，确定带班领导和应急值班人员参与应急值班，保持全天24小时通讯畅通，密切关注赤潮灾害发生发展动态，及时启动或调整本部门应急预案。</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市自然资源和规划局要组织做好赤潮应急监测工作，会商省海洋监测预报中心（海南省海洋预报台），协助省海洋厅做好赤潮应急监测预警和信息发布工作，及时将信息上报市海洋灾害专项工作组、市防减救安委办，并通报给市旅游和文化广电体育局、市生态环境局、市农业农村局、市卫生健康委、市市场监管局、三亚海关等有关成员单位。响应期间，赤潮灾害预警信息每3日报送1次。</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（3）市农业农村局要指导各区开展渔业生产自救，指导三亚市综合行政执法局海洋和渔业行政执法支队督促各行政区渔业执法部门强制关闭相应的采捕区域或限制采捕品种，并加强执法巡航监督。</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赤潮灾害期间，市卫生健康委、市市场监管局要根据职责分工组织风险监测，如确认海产品受到赤潮毒素污染，则由市市场监管局指导加强对赤潮发生地深加工、流通、消费领域海产品的食品安全监管，对毒素超标的海产品依法依规处置。</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（5）三亚海关要加强对进出口海洋水产品的监督管理。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（6）市旅游和文化广电体育局要指导、协调、督促关闭受赤潮影响的滨海旅游区、海水浴场等，并要求其在适当位置公告有毒赤潮情况，及时劝阻相关旅游活动。</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7）如市卫生健康委接到人员因赤潮毒素中毒或死亡情况报告，要立即汇总相关监测结果和情况报告，协调、指导地方卫生健康部门及时开通绿色救援通道，尽快救治健康受损人员；必要时组织医务人员和专家赶赴现场开展救治。</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（8）必要时，市海洋灾害专项工作组应派出应急工作小组到赤潮灾害现场组织开展灾害调查评估，监督指导赤潮灾害事件应急处置，提供决策咨询和技术支持。</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9）对于造成人员伤亡或较大经济损失的赤潮灾害，市自然资源和规划局会商省海洋监测预报中心（海南省海洋预报台），应将赤潮监测预警信息、灾害损失和应急响应情况等综合信息要及时报市防减救安委和省海洋厅。信息报送频次不低于每周1次。</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（10）其他有关成员单位和各区海洋灾害应急组织机构要根据职责结合实际情况开展应急处置工作。</w:t>
      </w:r>
    </w:p>
    <w:p>
      <w:pPr>
        <w:pStyle w:val="5"/>
        <w:rPr>
          <w:rFonts w:hint="default" w:ascii="Times New Roman" w:hAnsi="Times New Roman" w:cs="Times New Roman"/>
          <w:bCs/>
          <w:color w:val="000000"/>
        </w:rPr>
      </w:pPr>
      <w:bookmarkStart w:id="84" w:name="_Toc17302"/>
      <w:r>
        <w:rPr>
          <w:rFonts w:hint="default" w:ascii="Times New Roman" w:hAnsi="Times New Roman" w:cs="Times New Roman"/>
          <w:bCs/>
          <w:color w:val="000000"/>
        </w:rPr>
        <w:t>4.3.3.2  Ⅱ级应急响应行动</w:t>
      </w:r>
      <w:bookmarkEnd w:id="8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海洋灾害专项工作组组长负责并坐镇指挥，市海洋灾害专项工作组副组长、市海洋灾害专项工作组办公室主任协助指挥、协调各区、各部门开展应急处置工作。成员单位及各区工作组落实应急值班制度，确定带班领导和应急值班人员参与应急值班，保持全天24小时通讯畅通，密切关注赤潮灾害发生发展动态，及时启动或调整本部门应急预案。</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市自然资源和规划局要组织做好赤潮应急监测工作，会商省海洋监测预报中心（海南省海洋预报台），协助省海洋厅做好赤潮应急监测预警和信息发布工作，及时将信息上报市海洋灾害专项工作组、市防减救安委办，并通报给市旅游和文化广电体育局、市生态环境局、市农业农村局、市卫生健康委、市市场监管局、三亚海关等有关成员单位。响应期间，赤潮灾害预警信息每2日报送1次。</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（3）市农业农村局要指导各地开展渔业生产自救，指导三亚市综合行政执法局海洋和渔业行政执法支队督促各行政区渔业执法部门强制关闭相应的采捕区域或限制采捕品种，并加强执法巡航监督。</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赤潮灾害期间，市卫生健康委、市市场监管局要根据职责分工组织风险监测，如确认海产品受到赤潮毒素污染，则由市市场监管局指导加强对赤潮发生地深加工、流通、消费领域海产品的食品安全监管，对毒素超标的海产品依法依规处置。</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（5）三亚海关要加强对进出口海洋水产品的监督管理。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（6）市旅游和文化广电体育局要指导、协调、督促关闭受赤潮影响的滨海旅游区、海水浴场等，并要求其在适当位置公告有毒赤潮情况，及时劝阻相关旅游活动。</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7）如市卫生健康委接到人员因赤潮毒素中毒或死亡情况报告，要立即汇总相关监测结果和情况报告，协调、指导地方卫生健康部门及时开通绿色救援通道，尽快救治健康受损人员；必要时组织医务人员和专家赶赴现场开展救治。</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（8）必要时，市防减救安委应派出应急工作小组到赤潮灾害现场组织开展灾害调查评估，监督指导赤潮灾害事件应急处置，提供决策咨询和技术支持。</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9）对于造成人员伤亡或较大经济损失的赤潮灾害，市自然资源和规划局会商省海洋监测预报中心（海南省海洋预报台），应将赤潮监测预警信息、灾害损失和应急响应情况等综合信息要及时报市防减救安委、省海洋厅。信息报送频次不低于每周2次。</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（10）其他有关成员单位和各区海洋灾害应急组织机构要根据职责结合实际情况开展应急处置工作。</w:t>
      </w:r>
    </w:p>
    <w:p>
      <w:pPr>
        <w:pStyle w:val="5"/>
        <w:rPr>
          <w:rFonts w:hint="default" w:ascii="Times New Roman" w:hAnsi="Times New Roman" w:cs="Times New Roman"/>
          <w:bCs/>
        </w:rPr>
      </w:pPr>
      <w:bookmarkStart w:id="85" w:name="_Toc32767"/>
      <w:r>
        <w:rPr>
          <w:rFonts w:hint="default" w:ascii="Times New Roman" w:hAnsi="Times New Roman" w:cs="Times New Roman"/>
          <w:bCs/>
        </w:rPr>
        <w:t>4.3.3.3  Ⅰ级应急响应行动</w:t>
      </w:r>
      <w:bookmarkEnd w:id="85"/>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市防减救安委主任负责并坐镇指挥，市海洋灾害专项工作组组长协助指挥、协调有关地区、部门开展应急处置工作。成员单位及各区工作组落实应急值班制度，确定带班领导和应急值班人员参与应急值班，保持全天24小时通讯畅通，密切关注赤潮灾害发生发展动态，及时启动或调整本部门应急预案。</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市自然资源和规划局要组织做好赤潮应急监测工作，会商省海洋监测预报中心（海南省海洋预报台），协助省海洋厅做好赤潮应急监测预警和信息发布工作，及时将信息上报市海洋灾害专项工作组、市防减救安委办，并通报给市旅游和文化广电体育局、市生态环境局、市农业农村局、市卫生健康委、市市场监管局、三亚海关等有关成员单位响应期间，赤潮灾害预警信息每日报送1次。</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（3）市农业农村局要指导各地开展渔业生产自救，指导三亚市综合行政执法局海洋和渔业行政执法支队督促各行政区渔业执法部门强制关闭相应的采捕区域或限制采捕品种，并加强执法巡航监督。</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赤潮灾害期间，市卫生健康委、市市场监管局要根据职责分工组织风险监测，如确认海产品受到赤潮毒素污染，则由市市场监管局指导加强对赤潮发生地深加工、流通、消费领域海产品的食品安全监管，对毒素超标的海产品依法依规处置。</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（5）三亚海关要加强对进出口海洋水产品的监督管理。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（6）市旅游和文化广电体育局要指导、协调、督促关闭受赤潮影响的滨海旅游区、海水浴场等，并要求其在适当位置公告有毒赤潮情况，及时劝阻相关旅游活动。</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7）如市卫生健康委接到人员因赤潮毒素中毒或死亡情况报告，要立即汇总相关监测结果和情况报告，协调、指导地方卫生健康部门及时开通绿色救援通道，尽快救治健康受损人员；及时组织医务人员和专家赶赴现场开展救治。</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（8）市防减救安委要视情派出应急工作小组到赤潮灾害现场组织开展灾害调查评估，监督指导赤潮灾害事件应急处置，提供决策咨询和技术支持。</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9）对于造成人员伤亡或较大经济损失的赤潮灾害，市自然资源和规划局会商省海洋监测预报中心（海南省海洋预报台），应将赤潮监测预警信息、灾害损失和应急响应情况等综合信息要及时报市防减救安委、省海洋厅。信息报送频次为每日1次。</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（10）其他有关成员单位和各区海洋灾害应急组织机构要根据职责结合实际情况开展应急处置工作。</w:t>
      </w:r>
    </w:p>
    <w:p>
      <w:pPr>
        <w:pStyle w:val="3"/>
        <w:keepNext/>
        <w:keepLines/>
        <w:spacing w:line="600" w:lineRule="exact"/>
        <w:ind w:firstLine="0"/>
        <w:rPr>
          <w:rFonts w:hint="default" w:ascii="Times New Roman" w:hAnsi="Times New Roman" w:eastAsia="仿宋_GB2312" w:cs="Times New Roman"/>
          <w:b/>
          <w:bCs/>
        </w:rPr>
      </w:pPr>
      <w:bookmarkStart w:id="86" w:name="_Toc11786"/>
      <w:r>
        <w:rPr>
          <w:rFonts w:hint="default" w:ascii="Times New Roman" w:hAnsi="Times New Roman" w:eastAsia="仿宋_GB2312" w:cs="Times New Roman"/>
          <w:b/>
          <w:bCs/>
        </w:rPr>
        <w:t>4.4  应急响应终止</w:t>
      </w:r>
      <w:bookmarkEnd w:id="86"/>
    </w:p>
    <w:p>
      <w:pPr>
        <w:pStyle w:val="4"/>
        <w:keepNext/>
        <w:keepLines/>
        <w:spacing w:line="560" w:lineRule="exact"/>
        <w:ind w:firstLine="0"/>
        <w:rPr>
          <w:rFonts w:hint="default" w:ascii="Times New Roman" w:hAnsi="Times New Roman" w:cs="Times New Roman"/>
          <w:b/>
        </w:rPr>
      </w:pPr>
      <w:bookmarkStart w:id="87" w:name="_Toc22035"/>
      <w:bookmarkStart w:id="88" w:name="_Toc16821"/>
      <w:bookmarkStart w:id="89" w:name="_Toc25625"/>
      <w:r>
        <w:rPr>
          <w:rFonts w:hint="default" w:ascii="Times New Roman" w:hAnsi="Times New Roman" w:cs="Times New Roman"/>
          <w:b/>
        </w:rPr>
        <w:t>4.4.1  应急响应终止的条件</w:t>
      </w:r>
      <w:bookmarkEnd w:id="87"/>
      <w:bookmarkEnd w:id="88"/>
      <w:bookmarkEnd w:id="89"/>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符合以下情形之一的，经市防减救安委办或市海洋灾害专项工作组办公室评估后可以终止应急响应行动：</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（1）海洋灾害事件得到有效控制，引发灾害的条件已经消除；</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（2）海洋灾害现场各种应急处置行动已无必要继续；</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（3）海洋灾害的危害已经得到控制，不再有扩展或复发可能。</w:t>
      </w:r>
    </w:p>
    <w:p>
      <w:pPr>
        <w:pStyle w:val="4"/>
        <w:keepNext/>
        <w:keepLines/>
        <w:spacing w:line="560" w:lineRule="exact"/>
        <w:ind w:firstLine="0"/>
        <w:rPr>
          <w:rFonts w:hint="default" w:ascii="Times New Roman" w:hAnsi="Times New Roman" w:cs="Times New Roman"/>
          <w:b/>
          <w:color w:val="000000"/>
        </w:rPr>
      </w:pPr>
      <w:bookmarkStart w:id="90" w:name="_Toc16670"/>
      <w:bookmarkStart w:id="91" w:name="_Toc19079"/>
      <w:bookmarkStart w:id="92" w:name="_Toc6002"/>
      <w:r>
        <w:rPr>
          <w:rFonts w:hint="default" w:ascii="Times New Roman" w:hAnsi="Times New Roman" w:cs="Times New Roman"/>
          <w:b/>
          <w:color w:val="000000"/>
        </w:rPr>
        <w:t>4.4.2  应急响应终止的流程</w:t>
      </w:r>
      <w:bookmarkEnd w:id="90"/>
      <w:bookmarkEnd w:id="91"/>
      <w:bookmarkEnd w:id="92"/>
    </w:p>
    <w:p>
      <w:pPr>
        <w:spacing w:line="570" w:lineRule="exact"/>
        <w:ind w:firstLine="640" w:firstLineChars="200"/>
        <w:rPr>
          <w:rFonts w:hint="default" w:ascii="Times New Roman" w:hAnsi="Times New Roman" w:cs="Times New Roman"/>
          <w:sz w:val="32"/>
          <w:szCs w:val="32"/>
        </w:rPr>
      </w:pPr>
      <w:bookmarkStart w:id="93" w:name="_Toc468152340"/>
      <w:bookmarkStart w:id="94" w:name="_Toc1194953865_WPSOffice_Level2"/>
      <w:bookmarkStart w:id="95" w:name="_Toc169839743"/>
      <w:bookmarkStart w:id="96" w:name="_Toc755653587"/>
      <w:bookmarkStart w:id="97" w:name="_Toc482458986"/>
      <w:bookmarkStart w:id="98" w:name="_Toc84172534"/>
      <w:bookmarkStart w:id="99" w:name="_Toc990976520"/>
      <w:bookmarkStart w:id="100" w:name="_Toc149292546"/>
      <w:bookmarkStart w:id="101" w:name="_Toc1450896512"/>
      <w:bookmarkStart w:id="102" w:name="_Toc1920129003"/>
      <w:bookmarkStart w:id="103" w:name="_Toc155404504"/>
      <w:r>
        <w:rPr>
          <w:rFonts w:hint="default" w:ascii="Times New Roman" w:hAnsi="Times New Roman" w:cs="Times New Roman"/>
          <w:sz w:val="32"/>
          <w:szCs w:val="32"/>
        </w:rPr>
        <w:t>根据灾害响应程序，Ⅳ级、Ⅲ级应急响应行动，</w:t>
      </w:r>
      <w:r>
        <w:rPr>
          <w:rFonts w:hint="default" w:ascii="Times New Roman" w:hAnsi="Times New Roman" w:cs="Times New Roman"/>
          <w:kern w:val="0"/>
          <w:sz w:val="32"/>
          <w:szCs w:val="32"/>
        </w:rPr>
        <w:t>市海洋灾害专项工作组副组长适时</w:t>
      </w:r>
      <w:r>
        <w:rPr>
          <w:rFonts w:hint="default" w:ascii="Times New Roman" w:hAnsi="Times New Roman" w:cs="Times New Roman"/>
          <w:sz w:val="32"/>
          <w:szCs w:val="32"/>
        </w:rPr>
        <w:t>签发应急响应终止命令，</w:t>
      </w:r>
      <w:r>
        <w:rPr>
          <w:rFonts w:hint="default" w:ascii="Times New Roman" w:hAnsi="Times New Roman" w:cs="Times New Roman"/>
          <w:kern w:val="0"/>
          <w:sz w:val="32"/>
          <w:szCs w:val="32"/>
        </w:rPr>
        <w:t>市海洋灾害专项工作组办公室</w:t>
      </w:r>
      <w:r>
        <w:rPr>
          <w:rFonts w:hint="default" w:ascii="Times New Roman" w:hAnsi="Times New Roman" w:cs="Times New Roman"/>
          <w:sz w:val="32"/>
          <w:szCs w:val="32"/>
        </w:rPr>
        <w:t>发送给有关成员单位和各区海洋灾害应急组织机构。Ⅱ级应急响应行动由市海洋灾害专项工作组组长签发应急响应终止命令，</w:t>
      </w:r>
      <w:r>
        <w:rPr>
          <w:rFonts w:hint="default" w:ascii="Times New Roman" w:hAnsi="Times New Roman" w:cs="Times New Roman"/>
          <w:kern w:val="0"/>
          <w:sz w:val="32"/>
          <w:szCs w:val="32"/>
        </w:rPr>
        <w:t>市海洋灾害专项工作组办公室</w:t>
      </w:r>
      <w:r>
        <w:rPr>
          <w:rFonts w:hint="default" w:ascii="Times New Roman" w:hAnsi="Times New Roman" w:cs="Times New Roman"/>
          <w:sz w:val="32"/>
          <w:szCs w:val="32"/>
        </w:rPr>
        <w:t>发送给有关成员单位和各区海洋灾害应急组织机构。Ⅰ级应急响应行动由市防减救安委主任签发或委托海洋灾害专项工作组组长签发应急响应终止命令，由市防减救安委办发送给有关成员单位和各区海洋灾害应急组织机构。</w:t>
      </w:r>
    </w:p>
    <w:p>
      <w:pPr>
        <w:pStyle w:val="3"/>
        <w:keepNext/>
        <w:keepLines/>
        <w:spacing w:line="600" w:lineRule="exact"/>
        <w:ind w:firstLine="0"/>
        <w:rPr>
          <w:rFonts w:hint="default" w:ascii="Times New Roman" w:hAnsi="Times New Roman" w:eastAsia="仿宋_GB2312" w:cs="Times New Roman"/>
          <w:b/>
          <w:bCs/>
          <w:color w:val="000000"/>
        </w:rPr>
      </w:pPr>
      <w:bookmarkStart w:id="104" w:name="_Toc11578"/>
      <w:r>
        <w:rPr>
          <w:rFonts w:hint="default" w:ascii="Times New Roman" w:hAnsi="Times New Roman" w:eastAsia="仿宋_GB2312" w:cs="Times New Roman"/>
          <w:b/>
          <w:bCs/>
          <w:color w:val="000000"/>
        </w:rPr>
        <w:t>4.5  信息报送</w:t>
      </w:r>
      <w:bookmarkEnd w:id="93"/>
      <w:bookmarkEnd w:id="94"/>
      <w:bookmarkEnd w:id="95"/>
      <w:bookmarkEnd w:id="96"/>
      <w:bookmarkEnd w:id="97"/>
      <w:bookmarkEnd w:id="98"/>
      <w:bookmarkEnd w:id="99"/>
      <w:bookmarkEnd w:id="100"/>
      <w:bookmarkEnd w:id="101"/>
      <w:bookmarkEnd w:id="102"/>
      <w:bookmarkEnd w:id="103"/>
      <w:bookmarkEnd w:id="10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应急响应处置期间，有关成员单位及各区海洋灾害应急组织机构要每日向市海洋灾害专项工作组办公室报送应急值班信息，报告本单位领导带班和海洋应急工作情况，监测预报和灾情等关键信息，三亚海洋站要将三亚海域风暴潮和海浪等监测信息及时报送市海洋灾害专项工作组办公室，要在每日上午9时前报送，其他情况下午3时前报送，如遇突发情况要随时报送。市海洋灾害专项工作组办公室汇总编报三亚市海洋灾害应急工作值班信息，并报市防减救安委办和省海洋灾害专项工作办公室。</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（2）市防减救安委办或市海洋灾害专项工作组办公室接到Ⅱ级和Ⅰ级海洋灾害信息后，要立即报告省海洋厅和市委、市政府，并及时续报。</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有关成员单位要逐级做好海洋灾害损失数据的统计与报送工作。各区海洋灾害应急组织机构要及时协调应急管理、农业农村、水务、交通运输、文化和旅游等部门统计本地区相关海洋灾害损失数据，并按照有关规定审核后填写海洋灾情信息表，于应急响应终止后及时报送市海洋灾害专项工作组办公室。市海洋灾害专项工作组办公室及时汇总后报市防灾减灾救灾和安全委员会办公室和海洋灾害应急专项工作办公室。</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（4）应急响应终止后，市防减救安委办和市海洋灾害专项工作组办公室要做好工作总结。Ⅱ级和Ⅰ级应急响应终止后5个工作日内，要将工作总结报省海洋厅、市委市政府和市防减救安委。</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成员单位每年4月底前要向市海洋灾害专项工作组办公室报送海洋灾害应急工作准备情况，每年12月中旬前向市海洋灾害专项工作组办公室报送海洋灾害应急工作年度总结报告。市海洋灾害专项工作组办公室收集汇总后及时报告市海洋灾害专项工作组。</w:t>
      </w:r>
    </w:p>
    <w:p>
      <w:pPr>
        <w:pStyle w:val="3"/>
        <w:keepNext/>
        <w:keepLines/>
        <w:spacing w:line="600" w:lineRule="exact"/>
        <w:ind w:firstLine="0"/>
        <w:rPr>
          <w:rFonts w:hint="default" w:ascii="Times New Roman" w:hAnsi="Times New Roman" w:eastAsia="仿宋_GB2312" w:cs="Times New Roman"/>
          <w:b/>
          <w:bCs/>
          <w:color w:val="000000"/>
        </w:rPr>
      </w:pPr>
      <w:bookmarkStart w:id="105" w:name="_Toc7451"/>
      <w:bookmarkStart w:id="106" w:name="_Toc894429689_WPSOffice_Level2"/>
      <w:bookmarkStart w:id="107" w:name="_Toc556644062"/>
      <w:bookmarkStart w:id="108" w:name="_Toc248434153"/>
      <w:bookmarkStart w:id="109" w:name="_Toc1168429388"/>
      <w:bookmarkStart w:id="110" w:name="_Toc1271169369"/>
      <w:bookmarkStart w:id="111" w:name="_Toc722268467"/>
      <w:bookmarkStart w:id="112" w:name="_Toc1585927630"/>
      <w:bookmarkStart w:id="113" w:name="_Toc149292547"/>
      <w:bookmarkStart w:id="114" w:name="_Toc1268033540"/>
      <w:bookmarkStart w:id="115" w:name="_Toc1027669061"/>
      <w:bookmarkStart w:id="116" w:name="_Toc336222827"/>
      <w:r>
        <w:rPr>
          <w:rFonts w:hint="default" w:ascii="Times New Roman" w:hAnsi="Times New Roman" w:eastAsia="仿宋_GB2312" w:cs="Times New Roman"/>
          <w:b/>
          <w:bCs/>
          <w:color w:val="000000"/>
        </w:rPr>
        <w:t>4.6  信息发布和舆情应对</w:t>
      </w:r>
      <w:bookmarkEnd w:id="105"/>
      <w:bookmarkEnd w:id="106"/>
      <w:bookmarkEnd w:id="107"/>
      <w:bookmarkEnd w:id="108"/>
      <w:bookmarkEnd w:id="109"/>
      <w:bookmarkEnd w:id="110"/>
      <w:bookmarkEnd w:id="111"/>
      <w:bookmarkEnd w:id="112"/>
      <w:bookmarkEnd w:id="113"/>
      <w:bookmarkEnd w:id="114"/>
      <w:bookmarkEnd w:id="115"/>
      <w:bookmarkEnd w:id="116"/>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（1）Ⅳ级、Ⅲ级、Ⅱ级应急响应信息发布工作，由市海洋灾害专项工作组办公室负责。</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（2）Ⅰ级应急响应信息发布工作，按照国家和我市信息发布工作有关规定执行，按照市防减救安委办提供发布口径。</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Ⅰ级、Ⅱ级海洋灾害事件发生后，市海洋灾害专项工作组办公室要第一时间按照信息发布有关规定，通过主流媒体向社会发布简要信息，最迟要在5小时内发布权威信息，随后发布初步核实情况、政府应对措施和公众防范措施等，最迟应在24小时内举行新闻发布会，并根据事件处置情况做好后续发布工作。发生Ⅲ级、Ⅳ级海洋灾害事件后，要及时发布权威信息，根据处置进展动态发布信息。法律法规和国家另有规定的，从其规定。</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4）市海洋灾害专项工作组办公室要配合市委、市政府加强信息发布内容的管理和舆情分析，及时回应社会关切，迅速澄清谣言，引导网民依法、理性表达意见，形成积极健康的社会舆论，市委网信办等有关部门做好配合。</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（5）未经市防减救安委办、市海洋灾害专项工作组办公室批准，参与处置工作的单位和个人不得擅自对外发布事件信息。任何单位和个人不得编造、传播有关突发事件事态发展或应急处置的信息。</w:t>
      </w:r>
    </w:p>
    <w:p>
      <w:pPr>
        <w:pStyle w:val="2"/>
        <w:keepNext/>
        <w:keepLines/>
        <w:spacing w:line="600" w:lineRule="exact"/>
        <w:ind w:firstLine="0"/>
        <w:jc w:val="left"/>
        <w:rPr>
          <w:rFonts w:hint="default" w:ascii="Times New Roman" w:hAnsi="Times New Roman" w:eastAsia="仿宋_GB2312" w:cs="Times New Roman"/>
          <w:b/>
          <w:bCs w:val="0"/>
          <w:color w:val="000000"/>
          <w:kern w:val="44"/>
        </w:rPr>
      </w:pPr>
      <w:bookmarkStart w:id="117" w:name="_Toc15624"/>
      <w:r>
        <w:rPr>
          <w:rFonts w:hint="default" w:ascii="Times New Roman" w:hAnsi="Times New Roman" w:eastAsia="仿宋_GB2312" w:cs="Times New Roman"/>
          <w:b/>
          <w:bCs w:val="0"/>
          <w:color w:val="000000"/>
          <w:kern w:val="44"/>
        </w:rPr>
        <w:t>5  灾后恢复</w:t>
      </w:r>
      <w:bookmarkEnd w:id="117"/>
    </w:p>
    <w:p>
      <w:pPr>
        <w:pStyle w:val="3"/>
        <w:keepNext/>
        <w:keepLines/>
        <w:spacing w:line="600" w:lineRule="exact"/>
        <w:ind w:firstLine="0"/>
        <w:rPr>
          <w:rFonts w:hint="default" w:ascii="Times New Roman" w:hAnsi="Times New Roman" w:eastAsia="仿宋_GB2312" w:cs="Times New Roman"/>
          <w:b/>
          <w:bCs/>
          <w:color w:val="000000"/>
        </w:rPr>
      </w:pPr>
      <w:bookmarkStart w:id="118" w:name="_Toc1954316880"/>
      <w:bookmarkStart w:id="119" w:name="_Toc149292549"/>
      <w:bookmarkStart w:id="120" w:name="_Toc10753"/>
      <w:bookmarkStart w:id="121" w:name="_Toc1945755204"/>
      <w:bookmarkStart w:id="122" w:name="_Toc524807562"/>
      <w:bookmarkStart w:id="123" w:name="_Toc1174280076"/>
      <w:bookmarkStart w:id="124" w:name="_Toc39028018"/>
      <w:bookmarkStart w:id="125" w:name="_Toc1947346619_WPSOffice_Level2"/>
      <w:bookmarkStart w:id="126" w:name="_Toc735750041"/>
      <w:bookmarkStart w:id="127" w:name="_Toc555872424"/>
      <w:bookmarkStart w:id="128" w:name="_Toc1706258416"/>
      <w:bookmarkStart w:id="129" w:name="_Toc1451167446"/>
      <w:r>
        <w:rPr>
          <w:rFonts w:hint="default" w:ascii="Times New Roman" w:hAnsi="Times New Roman" w:eastAsia="仿宋_GB2312" w:cs="Times New Roman"/>
          <w:b/>
          <w:bCs/>
          <w:color w:val="000000"/>
        </w:rPr>
        <w:t>5.1  善后处置</w:t>
      </w:r>
      <w:bookmarkEnd w:id="118"/>
      <w:bookmarkEnd w:id="119"/>
      <w:bookmarkEnd w:id="120"/>
      <w:bookmarkEnd w:id="121"/>
      <w:bookmarkEnd w:id="122"/>
      <w:bookmarkEnd w:id="123"/>
      <w:bookmarkEnd w:id="124"/>
      <w:bookmarkEnd w:id="125"/>
      <w:bookmarkEnd w:id="126"/>
      <w:bookmarkEnd w:id="127"/>
      <w:bookmarkEnd w:id="128"/>
      <w:bookmarkEnd w:id="129"/>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海洋灾害应急响应终止后，由市海洋灾害专项工作组办公室会同各区政府，市自然资源和规划局、市应急管理局、市农业农村局、市民政局等部门根据海洋灾害损失的情况，制定救助、补偿、抚慰、抚恤、安置等善后工作方案，并组织实施。</w:t>
      </w:r>
    </w:p>
    <w:p>
      <w:pPr>
        <w:pStyle w:val="3"/>
        <w:keepNext/>
        <w:keepLines/>
        <w:spacing w:line="600" w:lineRule="exact"/>
        <w:ind w:firstLine="0"/>
        <w:rPr>
          <w:rFonts w:hint="default" w:ascii="Times New Roman" w:hAnsi="Times New Roman" w:eastAsia="仿宋_GB2312" w:cs="Times New Roman"/>
          <w:b/>
          <w:bCs/>
          <w:color w:val="000000"/>
        </w:rPr>
      </w:pPr>
      <w:bookmarkStart w:id="130" w:name="_Toc221558440_WPSOffice_Level2"/>
      <w:bookmarkStart w:id="131" w:name="_Toc998190457"/>
      <w:bookmarkStart w:id="132" w:name="_Toc536370312"/>
      <w:bookmarkStart w:id="133" w:name="_Toc609703979"/>
      <w:bookmarkStart w:id="134" w:name="_Toc149292550"/>
      <w:bookmarkStart w:id="135" w:name="_Toc2093659467"/>
      <w:bookmarkStart w:id="136" w:name="_Toc1650769403"/>
      <w:bookmarkStart w:id="137" w:name="_Toc806474965"/>
      <w:bookmarkStart w:id="138" w:name="_Toc27272"/>
      <w:bookmarkStart w:id="139" w:name="_Toc356038179"/>
      <w:bookmarkStart w:id="140" w:name="_Toc1793478377"/>
      <w:bookmarkStart w:id="141" w:name="_Toc2017997219"/>
      <w:r>
        <w:rPr>
          <w:rFonts w:hint="default" w:ascii="Times New Roman" w:hAnsi="Times New Roman" w:eastAsia="仿宋_GB2312" w:cs="Times New Roman"/>
          <w:b/>
          <w:bCs/>
          <w:color w:val="000000"/>
        </w:rPr>
        <w:t>5.2  调查评估</w:t>
      </w:r>
      <w:bookmarkEnd w:id="130"/>
      <w:bookmarkEnd w:id="131"/>
      <w:bookmarkEnd w:id="132"/>
      <w:bookmarkEnd w:id="133"/>
      <w:bookmarkEnd w:id="134"/>
      <w:bookmarkEnd w:id="135"/>
      <w:bookmarkEnd w:id="136"/>
      <w:bookmarkEnd w:id="137"/>
      <w:bookmarkEnd w:id="138"/>
      <w:bookmarkEnd w:id="139"/>
      <w:bookmarkEnd w:id="140"/>
      <w:bookmarkEnd w:id="141"/>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海洋灾害应急响应结束后，市海洋灾害专项工作组办公室要组织有关成员单位和受灾区海洋灾害应急组织机构开展灾情调查评估。</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调查评估报告的内容主要包括：海洋灾害类别、发生时间、位置、损失情况、采取的措施等。调查评估报告按照《海洋灾情调查评估和报送规定》的要求，逐级报送省海洋厅。</w:t>
      </w:r>
    </w:p>
    <w:p>
      <w:pPr>
        <w:pStyle w:val="3"/>
        <w:keepNext/>
        <w:keepLines/>
        <w:spacing w:line="600" w:lineRule="exact"/>
        <w:ind w:firstLine="0"/>
        <w:rPr>
          <w:rFonts w:hint="default" w:ascii="Times New Roman" w:hAnsi="Times New Roman" w:eastAsia="仿宋_GB2312" w:cs="Times New Roman"/>
          <w:b/>
          <w:bCs/>
          <w:color w:val="000000"/>
        </w:rPr>
      </w:pPr>
      <w:bookmarkStart w:id="142" w:name="_Toc1288980802"/>
      <w:bookmarkStart w:id="143" w:name="_Toc64201827"/>
      <w:bookmarkStart w:id="144" w:name="_Toc53293606"/>
      <w:bookmarkStart w:id="145" w:name="_Toc1834299639"/>
      <w:bookmarkStart w:id="146" w:name="_Toc1424456726"/>
      <w:bookmarkStart w:id="147" w:name="_Toc270744729_WPSOffice_Level2"/>
      <w:bookmarkStart w:id="148" w:name="_Toc149292551"/>
      <w:bookmarkStart w:id="149" w:name="_Toc1596958081"/>
      <w:bookmarkStart w:id="150" w:name="_Toc2449"/>
      <w:bookmarkStart w:id="151" w:name="_Toc880644655"/>
      <w:bookmarkStart w:id="152" w:name="_Toc1446248710"/>
      <w:bookmarkStart w:id="153" w:name="_Toc841790997"/>
      <w:r>
        <w:rPr>
          <w:rFonts w:hint="default" w:ascii="Times New Roman" w:hAnsi="Times New Roman" w:eastAsia="仿宋_GB2312" w:cs="Times New Roman"/>
          <w:b/>
          <w:bCs/>
          <w:color w:val="000000"/>
        </w:rPr>
        <w:t>5.3  灾后重建</w:t>
      </w:r>
      <w:bookmarkEnd w:id="142"/>
      <w:bookmarkEnd w:id="143"/>
      <w:bookmarkEnd w:id="144"/>
      <w:bookmarkEnd w:id="145"/>
      <w:bookmarkEnd w:id="146"/>
      <w:bookmarkEnd w:id="147"/>
      <w:bookmarkEnd w:id="148"/>
      <w:bookmarkEnd w:id="149"/>
      <w:bookmarkEnd w:id="150"/>
      <w:bookmarkEnd w:id="151"/>
      <w:bookmarkEnd w:id="152"/>
      <w:bookmarkEnd w:id="153"/>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按照属地管理原则，恢复重建工作由受灾区政府负责。因海洋灾害事件受损的桥梁、码头、航道、导航、海洋监测站等设施，其所属有关单位、部门应当组织尽快修复，恢复功能。</w:t>
      </w:r>
    </w:p>
    <w:p>
      <w:pPr>
        <w:pStyle w:val="2"/>
        <w:keepNext/>
        <w:keepLines/>
        <w:spacing w:line="600" w:lineRule="exact"/>
        <w:ind w:firstLine="0"/>
        <w:jc w:val="left"/>
        <w:rPr>
          <w:rFonts w:hint="default" w:ascii="Times New Roman" w:hAnsi="Times New Roman" w:eastAsia="仿宋_GB2312" w:cs="Times New Roman"/>
          <w:b/>
          <w:bCs w:val="0"/>
          <w:color w:val="000000"/>
          <w:kern w:val="44"/>
        </w:rPr>
      </w:pPr>
      <w:bookmarkStart w:id="154" w:name="_Toc26062"/>
      <w:r>
        <w:rPr>
          <w:rFonts w:hint="default" w:ascii="Times New Roman" w:hAnsi="Times New Roman" w:eastAsia="仿宋_GB2312" w:cs="Times New Roman"/>
          <w:b/>
          <w:bCs w:val="0"/>
          <w:color w:val="000000"/>
          <w:kern w:val="44"/>
        </w:rPr>
        <w:t>6  应急保障</w:t>
      </w:r>
      <w:bookmarkEnd w:id="154"/>
    </w:p>
    <w:p>
      <w:pPr>
        <w:pStyle w:val="3"/>
        <w:keepNext/>
        <w:keepLines/>
        <w:spacing w:line="600" w:lineRule="exact"/>
        <w:ind w:firstLine="0"/>
        <w:rPr>
          <w:rFonts w:hint="default" w:ascii="Times New Roman" w:hAnsi="Times New Roman" w:eastAsia="仿宋_GB2312" w:cs="Times New Roman"/>
          <w:b/>
          <w:bCs/>
          <w:color w:val="000000"/>
        </w:rPr>
      </w:pPr>
      <w:bookmarkStart w:id="155" w:name="_Toc613689221"/>
      <w:bookmarkStart w:id="156" w:name="_Toc227359046"/>
      <w:bookmarkStart w:id="157" w:name="_Toc1633108117_WPSOffice_Level2"/>
      <w:bookmarkStart w:id="158" w:name="_Toc149292553"/>
      <w:bookmarkStart w:id="159" w:name="_Toc69185014"/>
      <w:bookmarkStart w:id="160" w:name="_Toc1408952866"/>
      <w:bookmarkStart w:id="161" w:name="_Toc1683711695"/>
      <w:bookmarkStart w:id="162" w:name="_Toc1759812592"/>
      <w:bookmarkStart w:id="163" w:name="_Toc698937824"/>
      <w:bookmarkStart w:id="164" w:name="_Toc1511435509"/>
      <w:bookmarkStart w:id="165" w:name="_Toc322715690"/>
      <w:bookmarkStart w:id="166" w:name="_Toc21373"/>
      <w:r>
        <w:rPr>
          <w:rFonts w:hint="default" w:ascii="Times New Roman" w:hAnsi="Times New Roman" w:eastAsia="仿宋_GB2312" w:cs="Times New Roman"/>
          <w:b/>
          <w:bCs/>
          <w:color w:val="000000"/>
        </w:rPr>
        <w:t>6.1  技术保障</w:t>
      </w:r>
      <w:bookmarkEnd w:id="155"/>
      <w:bookmarkEnd w:id="156"/>
      <w:bookmarkEnd w:id="157"/>
      <w:bookmarkEnd w:id="158"/>
      <w:bookmarkEnd w:id="159"/>
      <w:bookmarkEnd w:id="160"/>
      <w:bookmarkEnd w:id="161"/>
      <w:bookmarkEnd w:id="162"/>
      <w:bookmarkEnd w:id="163"/>
      <w:bookmarkEnd w:id="164"/>
      <w:bookmarkEnd w:id="165"/>
      <w:bookmarkEnd w:id="166"/>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市自然资源和规划局要配合省海洋厅，加强对三亚市海洋观测网、数据传输系统及海洋灾害预报预警体系的规划与建设，配备海洋预警监测应急设备，加强与气象部门的会商，提高海洋灾害预警效率。</w:t>
      </w:r>
    </w:p>
    <w:p>
      <w:pPr>
        <w:pStyle w:val="3"/>
        <w:keepNext/>
        <w:keepLines/>
        <w:spacing w:line="600" w:lineRule="exact"/>
        <w:ind w:firstLine="0"/>
        <w:rPr>
          <w:rFonts w:hint="default" w:ascii="Times New Roman" w:hAnsi="Times New Roman" w:eastAsia="仿宋_GB2312" w:cs="Times New Roman"/>
          <w:b/>
          <w:bCs/>
          <w:color w:val="000000"/>
        </w:rPr>
      </w:pPr>
      <w:bookmarkStart w:id="167" w:name="_Toc2025649682"/>
      <w:bookmarkStart w:id="168" w:name="_Toc371015080"/>
      <w:bookmarkStart w:id="169" w:name="_Toc815775447"/>
      <w:bookmarkStart w:id="170" w:name="_Toc14318"/>
      <w:bookmarkStart w:id="171" w:name="_Toc1445961384"/>
      <w:bookmarkStart w:id="172" w:name="_Toc947660896"/>
      <w:bookmarkStart w:id="173" w:name="_Toc149292554"/>
      <w:bookmarkStart w:id="174" w:name="_Toc2114738097_WPSOffice_Level2"/>
      <w:bookmarkStart w:id="175" w:name="_Toc114106162"/>
      <w:bookmarkStart w:id="176" w:name="_Toc465524278"/>
      <w:bookmarkStart w:id="177" w:name="_Toc351262231"/>
      <w:bookmarkStart w:id="178" w:name="_Toc775910966"/>
      <w:r>
        <w:rPr>
          <w:rFonts w:hint="default" w:ascii="Times New Roman" w:hAnsi="Times New Roman" w:eastAsia="仿宋_GB2312" w:cs="Times New Roman"/>
          <w:b/>
          <w:bCs/>
          <w:color w:val="000000"/>
        </w:rPr>
        <w:t>6.2  物资保障</w:t>
      </w:r>
      <w:bookmarkEnd w:id="167"/>
      <w:bookmarkEnd w:id="168"/>
      <w:bookmarkEnd w:id="169"/>
      <w:bookmarkEnd w:id="170"/>
      <w:bookmarkEnd w:id="171"/>
      <w:bookmarkEnd w:id="172"/>
      <w:bookmarkEnd w:id="173"/>
      <w:bookmarkEnd w:id="174"/>
      <w:bookmarkEnd w:id="175"/>
      <w:bookmarkEnd w:id="176"/>
      <w:bookmarkEnd w:id="177"/>
      <w:bookmarkEnd w:id="17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有关成员单位要按照职责分工，管理和调度救灾物资；市、各区政府要落实属地责任，加强并督促、检查所属单位做好海洋灾害应急救援和抢险救灾的专用物资储备。</w:t>
      </w:r>
    </w:p>
    <w:p>
      <w:pPr>
        <w:pStyle w:val="3"/>
        <w:keepNext/>
        <w:keepLines/>
        <w:spacing w:line="600" w:lineRule="exact"/>
        <w:ind w:firstLine="0"/>
        <w:rPr>
          <w:rFonts w:hint="default" w:ascii="Times New Roman" w:hAnsi="Times New Roman" w:eastAsia="仿宋_GB2312" w:cs="Times New Roman"/>
          <w:b/>
          <w:bCs/>
          <w:color w:val="000000"/>
        </w:rPr>
      </w:pPr>
      <w:bookmarkStart w:id="179" w:name="_Toc807320634"/>
      <w:bookmarkStart w:id="180" w:name="_Toc1533751315"/>
      <w:bookmarkStart w:id="181" w:name="_Toc149292555"/>
      <w:bookmarkStart w:id="182" w:name="_Toc397346744"/>
      <w:bookmarkStart w:id="183" w:name="_Toc1696742248"/>
      <w:bookmarkStart w:id="184" w:name="_Toc1658401344"/>
      <w:bookmarkStart w:id="185" w:name="_Toc9228"/>
      <w:bookmarkStart w:id="186" w:name="_Toc1754022210"/>
      <w:bookmarkStart w:id="187" w:name="_Toc740960910"/>
      <w:bookmarkStart w:id="188" w:name="_Toc2007905771_WPSOffice_Level2"/>
      <w:bookmarkStart w:id="189" w:name="_Toc715416161"/>
      <w:bookmarkStart w:id="190" w:name="_Toc82558448"/>
      <w:r>
        <w:rPr>
          <w:rFonts w:hint="default" w:ascii="Times New Roman" w:hAnsi="Times New Roman" w:eastAsia="仿宋_GB2312" w:cs="Times New Roman"/>
          <w:b/>
          <w:bCs/>
          <w:color w:val="000000"/>
        </w:rPr>
        <w:t>6.3  经费保障</w:t>
      </w:r>
      <w:bookmarkEnd w:id="179"/>
      <w:bookmarkEnd w:id="180"/>
      <w:bookmarkEnd w:id="181"/>
      <w:bookmarkEnd w:id="182"/>
      <w:bookmarkEnd w:id="183"/>
      <w:bookmarkEnd w:id="184"/>
      <w:bookmarkEnd w:id="185"/>
      <w:bookmarkEnd w:id="186"/>
      <w:bookmarkEnd w:id="187"/>
      <w:bookmarkEnd w:id="188"/>
      <w:bookmarkEnd w:id="189"/>
      <w:bookmarkEnd w:id="190"/>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市、区政府要建立海洋灾害应急工作经费保障机制，将其纳入年度财政预算管理。</w:t>
      </w:r>
    </w:p>
    <w:p>
      <w:pPr>
        <w:pStyle w:val="3"/>
        <w:keepNext/>
        <w:keepLines/>
        <w:spacing w:line="600" w:lineRule="exact"/>
        <w:ind w:firstLine="0"/>
        <w:rPr>
          <w:rFonts w:hint="default" w:ascii="Times New Roman" w:hAnsi="Times New Roman" w:eastAsia="仿宋_GB2312" w:cs="Times New Roman"/>
          <w:b/>
          <w:bCs/>
          <w:color w:val="000000"/>
        </w:rPr>
      </w:pPr>
      <w:bookmarkStart w:id="191" w:name="_Toc2042465691"/>
      <w:bookmarkStart w:id="192" w:name="_Toc28049"/>
      <w:bookmarkStart w:id="193" w:name="_Toc1469834481_WPSOffice_Level2"/>
      <w:bookmarkStart w:id="194" w:name="_Toc1993627625"/>
      <w:bookmarkStart w:id="195" w:name="_Toc1627669303"/>
      <w:bookmarkStart w:id="196" w:name="_Toc149292556"/>
      <w:bookmarkStart w:id="197" w:name="_Toc331199915"/>
      <w:bookmarkStart w:id="198" w:name="_Toc297629537"/>
      <w:bookmarkStart w:id="199" w:name="_Toc1805567006"/>
      <w:bookmarkStart w:id="200" w:name="_Toc1734925665"/>
      <w:bookmarkStart w:id="201" w:name="_Toc334679523"/>
      <w:bookmarkStart w:id="202" w:name="_Toc1762816787"/>
      <w:r>
        <w:rPr>
          <w:rFonts w:hint="default" w:ascii="Times New Roman" w:hAnsi="Times New Roman" w:eastAsia="仿宋_GB2312" w:cs="Times New Roman"/>
          <w:b/>
          <w:bCs/>
          <w:color w:val="000000"/>
        </w:rPr>
        <w:t>6.4  隐患排查</w:t>
      </w:r>
      <w:bookmarkEnd w:id="191"/>
      <w:bookmarkEnd w:id="192"/>
      <w:bookmarkEnd w:id="193"/>
      <w:bookmarkEnd w:id="194"/>
      <w:bookmarkEnd w:id="195"/>
      <w:bookmarkEnd w:id="196"/>
      <w:bookmarkEnd w:id="197"/>
      <w:bookmarkEnd w:id="198"/>
      <w:bookmarkEnd w:id="199"/>
      <w:bookmarkEnd w:id="200"/>
      <w:bookmarkEnd w:id="201"/>
      <w:bookmarkEnd w:id="202"/>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各海洋灾害应急组织机构、成员单位要定期对本地区本行业开展海洋灾害风险隐患排查治理工作，建立隐患台账，落实整改措施和责任人，及时消除隐患。</w:t>
      </w:r>
    </w:p>
    <w:p>
      <w:pPr>
        <w:pStyle w:val="3"/>
        <w:keepNext/>
        <w:keepLines/>
        <w:spacing w:line="600" w:lineRule="exact"/>
        <w:ind w:firstLine="0"/>
        <w:rPr>
          <w:rFonts w:hint="default" w:ascii="Times New Roman" w:hAnsi="Times New Roman" w:eastAsia="仿宋_GB2312" w:cs="Times New Roman"/>
          <w:b/>
          <w:bCs/>
          <w:color w:val="000000"/>
        </w:rPr>
      </w:pPr>
      <w:bookmarkStart w:id="203" w:name="_Toc1331083200"/>
      <w:bookmarkStart w:id="204" w:name="_Toc253010751"/>
      <w:bookmarkStart w:id="205" w:name="_Toc149292557"/>
      <w:bookmarkStart w:id="206" w:name="_Toc372608759"/>
      <w:bookmarkStart w:id="207" w:name="_Toc550142273"/>
      <w:bookmarkStart w:id="208" w:name="_Toc1880251776"/>
      <w:bookmarkStart w:id="209" w:name="_Toc6359"/>
      <w:bookmarkStart w:id="210" w:name="_Toc85771547"/>
      <w:bookmarkStart w:id="211" w:name="_Toc189671632"/>
      <w:bookmarkStart w:id="212" w:name="_Toc822890675_WPSOffice_Level2"/>
      <w:bookmarkStart w:id="213" w:name="_Toc2003478283"/>
      <w:bookmarkStart w:id="214" w:name="_Toc1837561866"/>
      <w:r>
        <w:rPr>
          <w:rFonts w:hint="default" w:ascii="Times New Roman" w:hAnsi="Times New Roman" w:eastAsia="仿宋_GB2312" w:cs="Times New Roman"/>
          <w:b/>
          <w:bCs/>
          <w:color w:val="000000"/>
        </w:rPr>
        <w:t>6.5  生态保护</w:t>
      </w:r>
      <w:bookmarkEnd w:id="203"/>
      <w:bookmarkEnd w:id="204"/>
      <w:bookmarkEnd w:id="205"/>
      <w:bookmarkEnd w:id="206"/>
      <w:bookmarkEnd w:id="207"/>
      <w:bookmarkEnd w:id="208"/>
      <w:bookmarkEnd w:id="209"/>
      <w:bookmarkEnd w:id="210"/>
      <w:bookmarkEnd w:id="211"/>
      <w:bookmarkEnd w:id="212"/>
      <w:bookmarkEnd w:id="213"/>
      <w:bookmarkEnd w:id="21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市生态环境局要加强近岸海域污染防治，监督陆源污染物排海；同时，加大对海洋生态系统生物多样性的保护，使海洋生态系统处于健康稳定状态，积极预防大规模赤潮等海洋生态灾害发生。</w:t>
      </w:r>
    </w:p>
    <w:p>
      <w:pPr>
        <w:pStyle w:val="3"/>
        <w:keepNext/>
        <w:keepLines/>
        <w:spacing w:line="600" w:lineRule="exact"/>
        <w:ind w:firstLine="0"/>
        <w:rPr>
          <w:rFonts w:hint="default" w:ascii="Times New Roman" w:hAnsi="Times New Roman" w:eastAsia="仿宋_GB2312" w:cs="Times New Roman"/>
          <w:b/>
          <w:bCs/>
          <w:color w:val="000000"/>
        </w:rPr>
      </w:pPr>
      <w:bookmarkStart w:id="215" w:name="_Toc149292558"/>
      <w:bookmarkStart w:id="216" w:name="_Toc454507668"/>
      <w:bookmarkStart w:id="217" w:name="_Toc2100796288"/>
      <w:bookmarkStart w:id="218" w:name="_Toc1718720259"/>
      <w:bookmarkStart w:id="219" w:name="_Toc1382803726"/>
      <w:bookmarkStart w:id="220" w:name="_Toc918324515"/>
      <w:bookmarkStart w:id="221" w:name="_Toc150129985"/>
      <w:bookmarkStart w:id="222" w:name="_Toc1047077250"/>
      <w:bookmarkStart w:id="223" w:name="_Toc11056"/>
      <w:bookmarkStart w:id="224" w:name="_Toc1610120709_WPSOffice_Level2"/>
      <w:bookmarkStart w:id="225" w:name="_Toc1363364118"/>
      <w:bookmarkStart w:id="226" w:name="_Toc1105912306"/>
      <w:r>
        <w:rPr>
          <w:rFonts w:hint="default" w:ascii="Times New Roman" w:hAnsi="Times New Roman" w:eastAsia="仿宋_GB2312" w:cs="Times New Roman"/>
          <w:b/>
          <w:bCs/>
          <w:color w:val="000000"/>
        </w:rPr>
        <w:t>6.6  宣传培训</w:t>
      </w:r>
      <w:bookmarkEnd w:id="215"/>
      <w:bookmarkEnd w:id="216"/>
      <w:bookmarkEnd w:id="217"/>
      <w:bookmarkEnd w:id="218"/>
      <w:bookmarkEnd w:id="219"/>
      <w:bookmarkEnd w:id="220"/>
      <w:bookmarkEnd w:id="221"/>
      <w:bookmarkEnd w:id="222"/>
      <w:bookmarkEnd w:id="223"/>
      <w:bookmarkEnd w:id="224"/>
      <w:bookmarkEnd w:id="225"/>
      <w:bookmarkEnd w:id="226"/>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市海洋灾害专项工作组办公室、各区海洋灾害应急组织机构和有关单位，要充分利用新闻媒体，广泛宣传海洋灾害应急避险和防灾减灾知识，增强社会公众的防灾减灾意识；加强海洋灾害应急、防灾减灾等培训。每年至少于世界海洋日（6月8日）、全国防灾减灾日（5月12日）分别组织两次大型宣传培训，加强群众及各成员单位对海洋灾害的认知。</w:t>
      </w:r>
    </w:p>
    <w:p>
      <w:pPr>
        <w:pStyle w:val="3"/>
        <w:keepNext/>
        <w:keepLines/>
        <w:spacing w:line="600" w:lineRule="exact"/>
        <w:ind w:firstLine="0"/>
        <w:rPr>
          <w:rFonts w:hint="default" w:ascii="Times New Roman" w:hAnsi="Times New Roman" w:eastAsia="仿宋_GB2312" w:cs="Times New Roman"/>
          <w:b/>
          <w:bCs/>
          <w:color w:val="000000"/>
        </w:rPr>
      </w:pPr>
      <w:bookmarkStart w:id="227" w:name="_Toc1984001327"/>
      <w:bookmarkStart w:id="228" w:name="_Toc771826638"/>
      <w:bookmarkStart w:id="229" w:name="_Toc1650114974"/>
      <w:bookmarkStart w:id="230" w:name="_Toc1913272818"/>
      <w:bookmarkStart w:id="231" w:name="_Toc149292559"/>
      <w:bookmarkStart w:id="232" w:name="_Toc29845"/>
      <w:bookmarkStart w:id="233" w:name="_Toc791698927_WPSOffice_Level2"/>
      <w:bookmarkStart w:id="234" w:name="_Toc283798174"/>
      <w:bookmarkStart w:id="235" w:name="_Toc1148728520"/>
      <w:bookmarkStart w:id="236" w:name="_Toc486069379"/>
      <w:bookmarkStart w:id="237" w:name="_Toc935274135"/>
      <w:bookmarkStart w:id="238" w:name="_Toc882685217"/>
      <w:r>
        <w:rPr>
          <w:rFonts w:hint="default" w:ascii="Times New Roman" w:hAnsi="Times New Roman" w:eastAsia="仿宋_GB2312" w:cs="Times New Roman"/>
          <w:b/>
          <w:bCs/>
          <w:color w:val="000000"/>
        </w:rPr>
        <w:t>6.7  其他保障</w:t>
      </w:r>
      <w:bookmarkEnd w:id="227"/>
      <w:bookmarkEnd w:id="228"/>
      <w:bookmarkEnd w:id="229"/>
      <w:bookmarkEnd w:id="230"/>
      <w:bookmarkEnd w:id="231"/>
      <w:bookmarkEnd w:id="232"/>
      <w:bookmarkEnd w:id="233"/>
      <w:bookmarkEnd w:id="234"/>
      <w:bookmarkEnd w:id="235"/>
      <w:bookmarkEnd w:id="236"/>
      <w:bookmarkEnd w:id="237"/>
      <w:bookmarkEnd w:id="23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鼓励公民、法人和其他组织参加财产保险和人身意外伤害保险。</w:t>
      </w:r>
    </w:p>
    <w:p>
      <w:pPr>
        <w:pStyle w:val="2"/>
        <w:keepNext/>
        <w:keepLines/>
        <w:spacing w:line="600" w:lineRule="exact"/>
        <w:ind w:firstLine="0"/>
        <w:jc w:val="left"/>
        <w:rPr>
          <w:rFonts w:hint="default" w:ascii="Times New Roman" w:hAnsi="Times New Roman" w:eastAsia="仿宋_GB2312" w:cs="Times New Roman"/>
          <w:b/>
          <w:bCs w:val="0"/>
          <w:color w:val="000000"/>
          <w:kern w:val="44"/>
        </w:rPr>
      </w:pPr>
      <w:bookmarkStart w:id="239" w:name="_Toc8262"/>
      <w:r>
        <w:rPr>
          <w:rFonts w:hint="default" w:ascii="Times New Roman" w:hAnsi="Times New Roman" w:eastAsia="仿宋_GB2312" w:cs="Times New Roman"/>
          <w:b/>
          <w:bCs w:val="0"/>
          <w:color w:val="000000"/>
          <w:kern w:val="44"/>
        </w:rPr>
        <w:t>7  附则</w:t>
      </w:r>
      <w:bookmarkEnd w:id="239"/>
    </w:p>
    <w:p>
      <w:pPr>
        <w:pStyle w:val="3"/>
        <w:keepNext/>
        <w:keepLines/>
        <w:spacing w:line="600" w:lineRule="exact"/>
        <w:ind w:firstLine="0"/>
        <w:rPr>
          <w:rFonts w:hint="default" w:ascii="Times New Roman" w:hAnsi="Times New Roman" w:eastAsia="仿宋_GB2312" w:cs="Times New Roman"/>
          <w:b/>
          <w:bCs/>
          <w:color w:val="000000"/>
        </w:rPr>
      </w:pPr>
      <w:bookmarkStart w:id="240" w:name="_Toc10759"/>
      <w:r>
        <w:rPr>
          <w:rFonts w:hint="default" w:ascii="Times New Roman" w:hAnsi="Times New Roman" w:eastAsia="仿宋_GB2312" w:cs="Times New Roman"/>
          <w:b/>
          <w:bCs/>
          <w:color w:val="000000"/>
        </w:rPr>
        <w:t>7.1  预案管理</w:t>
      </w:r>
      <w:bookmarkEnd w:id="240"/>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本预案为市级专项应急预案，是本市处置海洋灾害应急工作的行动依据。各区海洋灾害应急组织机构和成员单位应按照本预案确定的职责，制定完善本区本单位的行动细则，并报市海洋灾害专项工作小组办公室备案。</w:t>
      </w:r>
    </w:p>
    <w:p>
      <w:pPr>
        <w:pStyle w:val="3"/>
        <w:keepNext/>
        <w:keepLines/>
        <w:spacing w:line="600" w:lineRule="exact"/>
        <w:ind w:firstLine="0"/>
        <w:rPr>
          <w:rFonts w:hint="default" w:ascii="Times New Roman" w:hAnsi="Times New Roman" w:eastAsia="仿宋_GB2312" w:cs="Times New Roman"/>
          <w:b/>
          <w:bCs/>
          <w:color w:val="000000"/>
        </w:rPr>
      </w:pPr>
      <w:bookmarkStart w:id="241" w:name="_Toc14582"/>
      <w:r>
        <w:rPr>
          <w:rFonts w:hint="default" w:ascii="Times New Roman" w:hAnsi="Times New Roman" w:eastAsia="仿宋_GB2312" w:cs="Times New Roman"/>
          <w:b/>
          <w:bCs/>
          <w:color w:val="000000"/>
        </w:rPr>
        <w:t>7.2  预案演练</w:t>
      </w:r>
      <w:bookmarkEnd w:id="241"/>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本预案应每3年至少组织1次演练，上年度发生较大以上级别突发事件的，本年度至少进行一次同类型突发事件应急演练。各成员单位应建立海洋灾害应急演练机制，采取实战演练、桌面推演等方式进行预案演练。如预案发生重大调整，应及时按照新的预案开展演练。</w:t>
      </w:r>
    </w:p>
    <w:p>
      <w:pPr>
        <w:pStyle w:val="3"/>
        <w:keepNext/>
        <w:keepLines/>
        <w:spacing w:line="600" w:lineRule="exact"/>
        <w:ind w:firstLine="0"/>
        <w:rPr>
          <w:rFonts w:hint="default" w:ascii="Times New Roman" w:hAnsi="Times New Roman" w:eastAsia="仿宋_GB2312" w:cs="Times New Roman"/>
          <w:b/>
          <w:bCs/>
          <w:color w:val="000000"/>
        </w:rPr>
      </w:pPr>
      <w:bookmarkStart w:id="242" w:name="_Toc20356"/>
      <w:r>
        <w:rPr>
          <w:rFonts w:hint="default" w:ascii="Times New Roman" w:hAnsi="Times New Roman" w:eastAsia="仿宋_GB2312" w:cs="Times New Roman"/>
          <w:b/>
          <w:bCs/>
          <w:color w:val="000000"/>
        </w:rPr>
        <w:t>7.3  奖惩</w:t>
      </w:r>
      <w:bookmarkEnd w:id="242"/>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对在抢险救灾工作中表现突出的单位和个人，按照相关规定给予表扬和奖励；对在抢险救灾过程中受伤、致残、遇难的救援人员，按照相关规定落实待遇。对因失职、渎职而贻误抢险时机、阻碍抢险救灾的人员，根据情节和造成损失的严重性，依据《中华人民共和国突发事件应对法》等，依法依规追究责任。</w:t>
      </w:r>
    </w:p>
    <w:p>
      <w:pPr>
        <w:pStyle w:val="3"/>
        <w:keepNext/>
        <w:keepLines/>
        <w:spacing w:line="600" w:lineRule="exact"/>
        <w:ind w:firstLine="0"/>
        <w:rPr>
          <w:rFonts w:hint="default" w:ascii="Times New Roman" w:hAnsi="Times New Roman" w:eastAsia="仿宋_GB2312" w:cs="Times New Roman"/>
          <w:b/>
          <w:bCs/>
          <w:color w:val="000000"/>
        </w:rPr>
      </w:pPr>
      <w:bookmarkStart w:id="243" w:name="_Toc10743"/>
      <w:r>
        <w:rPr>
          <w:rFonts w:hint="default" w:ascii="Times New Roman" w:hAnsi="Times New Roman" w:eastAsia="仿宋_GB2312" w:cs="Times New Roman"/>
          <w:b/>
          <w:bCs/>
          <w:color w:val="000000"/>
        </w:rPr>
        <w:t xml:space="preserve">7.4 </w:t>
      </w:r>
      <w:bookmarkStart w:id="244" w:name="_Toc382951988"/>
      <w:bookmarkStart w:id="245" w:name="_Toc327254586_WPSOffice_Level2"/>
      <w:bookmarkStart w:id="246" w:name="_Toc531905318"/>
      <w:bookmarkStart w:id="247" w:name="_Toc378294764"/>
      <w:bookmarkStart w:id="248" w:name="_Toc1165673417"/>
      <w:bookmarkStart w:id="249" w:name="_Toc919867294"/>
      <w:bookmarkStart w:id="250" w:name="_Toc262001945"/>
      <w:bookmarkStart w:id="251" w:name="_Toc370635951"/>
      <w:bookmarkStart w:id="252" w:name="_Toc149292564"/>
      <w:bookmarkStart w:id="253" w:name="_Toc1261448536"/>
      <w:bookmarkStart w:id="254" w:name="_Toc976790629"/>
      <w:r>
        <w:rPr>
          <w:rFonts w:hint="default" w:ascii="Times New Roman" w:hAnsi="Times New Roman" w:eastAsia="仿宋_GB2312" w:cs="Times New Roman"/>
          <w:b/>
          <w:bCs/>
          <w:color w:val="000000"/>
        </w:rPr>
        <w:t xml:space="preserve"> 主管机构</w:t>
      </w:r>
      <w:bookmarkEnd w:id="243"/>
      <w:bookmarkEnd w:id="244"/>
      <w:bookmarkEnd w:id="245"/>
      <w:bookmarkEnd w:id="246"/>
      <w:bookmarkEnd w:id="247"/>
      <w:bookmarkEnd w:id="248"/>
      <w:bookmarkEnd w:id="249"/>
      <w:bookmarkEnd w:id="250"/>
      <w:bookmarkEnd w:id="251"/>
      <w:bookmarkEnd w:id="252"/>
      <w:bookmarkEnd w:id="253"/>
      <w:bookmarkEnd w:id="25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本预案由海洋灾害专项工作组办公室制定并负责解释。</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本预案由市海洋灾害专项工作组办公室根据工作实践、部门职责变化和实施中发现的问题，适时组织修订。</w:t>
      </w:r>
    </w:p>
    <w:p>
      <w:pPr>
        <w:pStyle w:val="3"/>
        <w:keepNext/>
        <w:keepLines/>
        <w:spacing w:line="600" w:lineRule="exact"/>
        <w:ind w:firstLine="0"/>
        <w:rPr>
          <w:rFonts w:hint="default" w:ascii="Times New Roman" w:hAnsi="Times New Roman" w:eastAsia="仿宋_GB2312" w:cs="Times New Roman"/>
          <w:b/>
          <w:bCs/>
          <w:color w:val="000000"/>
        </w:rPr>
      </w:pPr>
      <w:bookmarkStart w:id="255" w:name="_Toc18363"/>
      <w:r>
        <w:rPr>
          <w:rFonts w:hint="default" w:ascii="Times New Roman" w:hAnsi="Times New Roman" w:eastAsia="仿宋_GB2312" w:cs="Times New Roman"/>
          <w:b/>
          <w:bCs/>
          <w:color w:val="000000"/>
        </w:rPr>
        <w:t>7.5  实施时间</w:t>
      </w:r>
      <w:bookmarkEnd w:id="255"/>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本预案自印发之日起实施。</w:t>
      </w:r>
    </w:p>
    <w:p>
      <w:pPr>
        <w:pStyle w:val="2"/>
        <w:keepNext/>
        <w:keepLines/>
        <w:spacing w:line="600" w:lineRule="exact"/>
        <w:ind w:firstLine="0"/>
        <w:jc w:val="left"/>
        <w:rPr>
          <w:rFonts w:hint="default" w:ascii="Times New Roman" w:hAnsi="Times New Roman" w:eastAsia="仿宋_GB2312" w:cs="Times New Roman"/>
          <w:b/>
          <w:bCs w:val="0"/>
          <w:color w:val="000000"/>
          <w:kern w:val="44"/>
        </w:rPr>
      </w:pPr>
      <w:bookmarkStart w:id="256" w:name="_Toc4291"/>
      <w:r>
        <w:rPr>
          <w:rFonts w:hint="default" w:ascii="Times New Roman" w:hAnsi="Times New Roman" w:eastAsia="仿宋_GB2312" w:cs="Times New Roman"/>
          <w:b/>
          <w:bCs w:val="0"/>
          <w:color w:val="000000"/>
          <w:kern w:val="44"/>
        </w:rPr>
        <w:t>8  附录</w:t>
      </w:r>
      <w:bookmarkEnd w:id="256"/>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附录1  海洋灾害及相关名词解释</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附录2  风暴潮、海浪和海啸灾害预警发布标准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附录3  赤潮灾害事件标准</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附录4  三亚市5个岸段警戒潮位值表</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附录5  三亚市海洋灾害防治区（重点防御区）一览表</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附录6  </w:t>
      </w:r>
      <w:bookmarkStart w:id="257" w:name="_Hlk194475762"/>
      <w:r>
        <w:rPr>
          <w:rFonts w:hint="default" w:ascii="Times New Roman" w:hAnsi="Times New Roman" w:cs="Times New Roman"/>
          <w:sz w:val="32"/>
          <w:szCs w:val="32"/>
        </w:rPr>
        <w:t>三亚市沿海低洼地区分布一览</w:t>
      </w:r>
      <w:bookmarkEnd w:id="257"/>
      <w:r>
        <w:rPr>
          <w:rFonts w:hint="default" w:ascii="Times New Roman" w:hAnsi="Times New Roman" w:cs="Times New Roman"/>
          <w:sz w:val="32"/>
          <w:szCs w:val="32"/>
        </w:rPr>
        <w:t>表</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附录7  </w:t>
      </w:r>
      <w:bookmarkStart w:id="258" w:name="_Hlk194475767"/>
      <w:r>
        <w:rPr>
          <w:rFonts w:hint="default" w:ascii="Times New Roman" w:hAnsi="Times New Roman" w:cs="Times New Roman"/>
          <w:sz w:val="32"/>
          <w:szCs w:val="32"/>
        </w:rPr>
        <w:t>三亚市应急疏散点位置信息及路线</w:t>
      </w:r>
      <w:bookmarkEnd w:id="25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附录8  各相关单位值班电话</w:t>
      </w:r>
    </w:p>
    <w:p>
      <w:pPr>
        <w:spacing w:line="570" w:lineRule="exact"/>
        <w:ind w:firstLine="640" w:firstLineChars="200"/>
        <w:rPr>
          <w:rFonts w:hint="default" w:ascii="Times New Roman" w:hAnsi="Times New Roman" w:cs="Times New Roman"/>
          <w:sz w:val="32"/>
          <w:szCs w:val="32"/>
        </w:rPr>
      </w:pPr>
    </w:p>
    <w:p>
      <w:pPr>
        <w:spacing w:line="570" w:lineRule="exact"/>
        <w:ind w:firstLine="640" w:firstLineChars="200"/>
        <w:rPr>
          <w:rFonts w:hint="default" w:ascii="Times New Roman" w:hAnsi="Times New Roman" w:cs="Times New Roman"/>
          <w:sz w:val="32"/>
          <w:szCs w:val="32"/>
        </w:rPr>
        <w:sectPr>
          <w:footerReference r:id="rId7" w:type="default"/>
          <w:pgSz w:w="11906" w:h="16838"/>
          <w:pgMar w:top="2098" w:right="1474" w:bottom="1984" w:left="1587" w:header="851" w:footer="992" w:gutter="0"/>
          <w:pgNumType w:start="1"/>
          <w:cols w:space="0" w:num="1"/>
          <w:docGrid w:type="lines" w:linePitch="386" w:charSpace="0"/>
        </w:sectPr>
      </w:pPr>
    </w:p>
    <w:p>
      <w:pPr>
        <w:pStyle w:val="3"/>
        <w:spacing w:line="570" w:lineRule="exact"/>
        <w:ind w:firstLine="0"/>
        <w:rPr>
          <w:rFonts w:hint="default" w:ascii="Times New Roman" w:hAnsi="Times New Roman" w:eastAsia="黑体" w:cs="Times New Roman"/>
        </w:rPr>
      </w:pPr>
      <w:bookmarkStart w:id="259" w:name="_Toc3770"/>
      <w:bookmarkStart w:id="260" w:name="_Toc4512"/>
      <w:r>
        <w:rPr>
          <w:rFonts w:hint="default" w:ascii="Times New Roman" w:hAnsi="Times New Roman" w:eastAsia="黑体" w:cs="Times New Roman"/>
        </w:rPr>
        <w:t>附录1</w:t>
      </w:r>
      <w:bookmarkEnd w:id="259"/>
      <w:bookmarkEnd w:id="260"/>
    </w:p>
    <w:p>
      <w:pPr>
        <w:pStyle w:val="3"/>
        <w:spacing w:line="570" w:lineRule="exact"/>
        <w:ind w:firstLine="880" w:firstLineChars="200"/>
        <w:jc w:val="center"/>
        <w:rPr>
          <w:rFonts w:hint="default" w:ascii="Times New Roman" w:hAnsi="Times New Roman" w:eastAsia="方正小标宋简体" w:cs="Times New Roman"/>
          <w:sz w:val="44"/>
          <w:szCs w:val="44"/>
        </w:rPr>
      </w:pPr>
      <w:bookmarkStart w:id="261" w:name="_Toc26512"/>
      <w:bookmarkStart w:id="262" w:name="_Toc29275"/>
      <w:r>
        <w:rPr>
          <w:rFonts w:hint="default" w:ascii="Times New Roman" w:hAnsi="Times New Roman" w:eastAsia="方正小标宋简体" w:cs="Times New Roman"/>
          <w:sz w:val="44"/>
          <w:szCs w:val="44"/>
        </w:rPr>
        <w:t>海洋灾害及相关</w:t>
      </w:r>
      <w:bookmarkEnd w:id="261"/>
      <w:r>
        <w:rPr>
          <w:rFonts w:hint="default" w:ascii="Times New Roman" w:hAnsi="Times New Roman" w:eastAsia="方正小标宋简体" w:cs="Times New Roman"/>
          <w:sz w:val="44"/>
          <w:szCs w:val="44"/>
        </w:rPr>
        <w:t>名词解释</w:t>
      </w:r>
      <w:bookmarkEnd w:id="262"/>
    </w:p>
    <w:p>
      <w:pPr>
        <w:spacing w:line="570" w:lineRule="exact"/>
        <w:ind w:firstLine="640" w:firstLineChars="200"/>
        <w:rPr>
          <w:rFonts w:hint="default" w:ascii="Times New Roman" w:hAnsi="Times New Roman" w:eastAsia="黑体" w:cs="Times New Roman"/>
          <w:sz w:val="32"/>
          <w:szCs w:val="32"/>
        </w:rPr>
      </w:pPr>
    </w:p>
    <w:p>
      <w:pPr>
        <w:spacing w:line="57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一、风暴潮灾害</w:t>
      </w:r>
    </w:p>
    <w:p>
      <w:pPr>
        <w:spacing w:line="570" w:lineRule="exact"/>
        <w:ind w:firstLine="640" w:firstLineChars="200"/>
        <w:rPr>
          <w:rFonts w:hint="default" w:ascii="Times New Roman" w:hAnsi="Times New Roman" w:cs="Times New Roman"/>
          <w:sz w:val="32"/>
          <w:szCs w:val="32"/>
        </w:rPr>
      </w:pPr>
      <w:bookmarkStart w:id="263" w:name="_Toc5377"/>
      <w:r>
        <w:rPr>
          <w:rFonts w:hint="default" w:ascii="Times New Roman" w:hAnsi="Times New Roman" w:cs="Times New Roman"/>
          <w:sz w:val="32"/>
          <w:szCs w:val="32"/>
        </w:rPr>
        <w:t>由热带气旋（包括热带低压、热带风暴、强热带风暴、台风、强台风和超强台风）、温带气旋、海上飑线等灾害性天气过境所伴随的强风和气压骤变而引起局部海面振荡或非周期性异常升高（降低）现象，称为风暴潮。风暴潮、天文潮和近岸海浪结合引起的沿岸涨水造成的灾害，称为风暴潮灾害。</w:t>
      </w:r>
      <w:bookmarkEnd w:id="263"/>
    </w:p>
    <w:p>
      <w:pPr>
        <w:spacing w:line="57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二、海浪灾害</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海浪是海洋中由风产生的波浪，包括风浪及其演变而成的涌浪。因海浪引起的船只损坏和沉没、航道淤积、海洋石油生产设施和海岸工程损毁、海水养殖业受损等和人员伤亡，称为海浪灾害。</w:t>
      </w:r>
    </w:p>
    <w:p>
      <w:pPr>
        <w:spacing w:line="57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三、海啸灾害</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海啸是由海底地震、海底火山爆发、海岸山体和海底滑坡等产生的特大海洋长波，在大洋中具有超大波长，但在岸边浅水区时，波高陡涨，骤然形成水墙，来势凶猛，严重时高达20至30米以上。海啸灾害指特大海洋长波袭击海上和海岸地带所造成的灾害。</w:t>
      </w:r>
    </w:p>
    <w:p>
      <w:pPr>
        <w:spacing w:line="57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四、赤潮灾害</w:t>
      </w:r>
    </w:p>
    <w:p>
      <w:pPr>
        <w:spacing w:line="57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（一）赤潮</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赤潮：海洋浮游生物在一定环境条件下暴发性增殖或聚集达到某一密度，引起水体变色或对海洋中其他生物产生危害的一种生态异常现象，又称有害藻华。对公众生命安全和身体健康、海洋自然资源、海洋经济、海洋生态系统等造成损害或损失的赤潮过程或赤潮事件称为赤潮灾害。</w:t>
      </w:r>
    </w:p>
    <w:p>
      <w:pPr>
        <w:spacing w:line="57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（二）赤潮生物</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赤潮生物：能够大量繁殖并引发赤潮的生物。赤潮生物包括浮游藻类、原生动物和蓝细菌等。</w:t>
      </w:r>
    </w:p>
    <w:p>
      <w:pPr>
        <w:spacing w:line="57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（三）赤潮藻毒素</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赤潮藻毒素：由有毒赤潮藻产生的具有毒副作用的天然有机化合物。危害性较大的几种毒素分别是麻痹性贝毒素（PSP）、腹泻性贝毒素（DSP）、神经性贝毒素（NSP）、西加鱼毒素（CFP）、失忆性贝毒素（ASP）和蓝细菌毒素（蓝藻毒素，CTP）、溶血素等。</w:t>
      </w:r>
    </w:p>
    <w:p>
      <w:pPr>
        <w:spacing w:line="57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（四）有毒赤潮</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有毒赤潮：特指能引起人类中毒，甚至死亡的赤潮。</w:t>
      </w:r>
    </w:p>
    <w:p>
      <w:pPr>
        <w:spacing w:line="57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（五）有害赤潮</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有害赤潮：对人类没有直接危害，但可通过物理、化学等途径对海洋自然资源或海洋经济造成危害的赤潮。</w:t>
      </w:r>
    </w:p>
    <w:p>
      <w:pPr>
        <w:spacing w:line="57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（六）其他赤潮</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其他赤潮：不产生毒素、尚未有造成海洋自然资源或海洋经济危害记录，但可能对海洋生态系统造成潜在影响的赤潮。</w:t>
      </w:r>
    </w:p>
    <w:p>
      <w:pPr>
        <w:spacing w:line="57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（七）重大活动海域</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重大活动海域：一旦爆发赤潮灾害，可能引发社会舆论关注，并影响具有重大国际影响的国事、国际交往、国家庆典举行等活动的海域，海域范围以具体活动通告为准。</w:t>
      </w:r>
    </w:p>
    <w:p>
      <w:pPr>
        <w:spacing w:line="57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（八）经济敏感海域</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经济敏感海域：受赤潮灾害影响，可能产生较严重经济损失的海域，如渔业资源利用和养护区、滨海旅游区、滨海工业取排水区等。</w:t>
      </w:r>
    </w:p>
    <w:p>
      <w:pPr>
        <w:spacing w:line="57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五、近岸海域</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领海外部界限向陆一侧的我市管辖海域。</w:t>
      </w:r>
    </w:p>
    <w:p>
      <w:pPr>
        <w:pStyle w:val="7"/>
        <w:spacing w:line="570" w:lineRule="exact"/>
        <w:rPr>
          <w:rFonts w:hint="default" w:ascii="Times New Roman" w:hAnsi="Times New Roman" w:cs="Times New Roman"/>
          <w:sz w:val="32"/>
          <w:szCs w:val="32"/>
        </w:rPr>
      </w:pPr>
    </w:p>
    <w:p>
      <w:pPr>
        <w:pStyle w:val="8"/>
        <w:spacing w:line="570" w:lineRule="exact"/>
        <w:rPr>
          <w:rFonts w:hint="default" w:ascii="Times New Roman" w:hAnsi="Times New Roman" w:eastAsia="仿宋_GB2312" w:cs="Times New Roman"/>
        </w:rPr>
        <w:sectPr>
          <w:pgSz w:w="11906" w:h="16838"/>
          <w:pgMar w:top="2098" w:right="1474" w:bottom="1984" w:left="1587" w:header="851" w:footer="992" w:gutter="0"/>
          <w:cols w:space="425" w:num="1"/>
          <w:docGrid w:type="lines" w:linePitch="312" w:charSpace="0"/>
        </w:sectPr>
      </w:pPr>
    </w:p>
    <w:p>
      <w:pPr>
        <w:pStyle w:val="3"/>
        <w:spacing w:line="570" w:lineRule="exact"/>
        <w:ind w:firstLine="0"/>
        <w:rPr>
          <w:rFonts w:hint="default" w:ascii="Times New Roman" w:hAnsi="Times New Roman" w:eastAsia="方正小标宋简体" w:cs="Times New Roman"/>
          <w:sz w:val="44"/>
          <w:szCs w:val="44"/>
        </w:rPr>
      </w:pPr>
      <w:bookmarkStart w:id="264" w:name="_Toc12163"/>
      <w:bookmarkStart w:id="265" w:name="_Toc159"/>
      <w:r>
        <w:rPr>
          <w:rFonts w:hint="default" w:ascii="Times New Roman" w:hAnsi="Times New Roman" w:eastAsia="黑体" w:cs="Times New Roman"/>
        </w:rPr>
        <w:t>附录2</w:t>
      </w:r>
      <w:bookmarkEnd w:id="264"/>
      <w:bookmarkEnd w:id="265"/>
    </w:p>
    <w:p>
      <w:pPr>
        <w:pStyle w:val="3"/>
        <w:spacing w:line="570" w:lineRule="exact"/>
        <w:ind w:firstLine="880" w:firstLineChars="200"/>
        <w:jc w:val="center"/>
        <w:rPr>
          <w:rFonts w:hint="default" w:ascii="Times New Roman" w:hAnsi="Times New Roman" w:eastAsia="方正小标宋简体" w:cs="Times New Roman"/>
          <w:sz w:val="44"/>
          <w:szCs w:val="44"/>
        </w:rPr>
      </w:pPr>
      <w:bookmarkStart w:id="266" w:name="_Toc29990"/>
      <w:bookmarkStart w:id="267" w:name="_Toc22377"/>
      <w:r>
        <w:rPr>
          <w:rFonts w:hint="default" w:ascii="Times New Roman" w:hAnsi="Times New Roman" w:eastAsia="方正小标宋简体" w:cs="Times New Roman"/>
          <w:sz w:val="44"/>
          <w:szCs w:val="44"/>
        </w:rPr>
        <w:t>风暴潮、海浪和海啸灾害预警发布标准</w:t>
      </w:r>
      <w:bookmarkEnd w:id="266"/>
      <w:bookmarkEnd w:id="267"/>
    </w:p>
    <w:p>
      <w:pPr>
        <w:spacing w:line="570" w:lineRule="exact"/>
        <w:ind w:firstLine="640" w:firstLineChars="200"/>
        <w:rPr>
          <w:rFonts w:hint="default" w:ascii="Times New Roman" w:hAnsi="Times New Roman" w:eastAsia="黑体" w:cs="Times New Roman"/>
          <w:sz w:val="32"/>
          <w:szCs w:val="32"/>
        </w:rPr>
      </w:pPr>
      <w:bookmarkStart w:id="268" w:name="_Toc2077486715_WPSOffice_Level2"/>
    </w:p>
    <w:p>
      <w:pPr>
        <w:spacing w:line="57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一、风暴潮灾害预警发布标准</w:t>
      </w:r>
      <w:bookmarkEnd w:id="268"/>
    </w:p>
    <w:p>
      <w:pPr>
        <w:spacing w:line="570" w:lineRule="exact"/>
        <w:ind w:firstLine="640" w:firstLineChars="200"/>
        <w:rPr>
          <w:rFonts w:hint="default" w:ascii="Times New Roman" w:hAnsi="Times New Roman" w:eastAsia="楷体_GB2312" w:cs="Times New Roman"/>
          <w:sz w:val="32"/>
          <w:szCs w:val="32"/>
        </w:rPr>
      </w:pPr>
      <w:bookmarkStart w:id="269" w:name="_Toc1373226340_WPSOffice_Level3"/>
      <w:r>
        <w:rPr>
          <w:rFonts w:hint="default" w:ascii="Times New Roman" w:hAnsi="Times New Roman" w:eastAsia="楷体_GB2312" w:cs="Times New Roman"/>
          <w:sz w:val="32"/>
          <w:szCs w:val="32"/>
        </w:rPr>
        <w:t>（一）风暴潮蓝色警报</w:t>
      </w:r>
      <w:bookmarkEnd w:id="269"/>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热带气旋或温带天气系统影响，预计未来受影响区域内有一个或一个以上有代表性的验潮站的高潮位达到蓝色警戒潮位（警戒潮位见附件4），应发布风暴潮蓝色警报。预计未来24小时内热带气旋将登陆我国沿海地区，或在离岸100千米以内（指热带气旋中心位置），即使受影响区域内有代表性的验潮站的高潮位低于蓝色警戒潮位，也应发布风暴潮蓝色警报。</w:t>
      </w:r>
    </w:p>
    <w:p>
      <w:pPr>
        <w:spacing w:line="570" w:lineRule="exact"/>
        <w:ind w:firstLine="640" w:firstLineChars="200"/>
        <w:rPr>
          <w:rFonts w:hint="default" w:ascii="Times New Roman" w:hAnsi="Times New Roman" w:eastAsia="楷体_GB2312" w:cs="Times New Roman"/>
          <w:sz w:val="32"/>
          <w:szCs w:val="32"/>
        </w:rPr>
      </w:pPr>
      <w:bookmarkStart w:id="270" w:name="_Toc1631518149_WPSOffice_Level3"/>
      <w:r>
        <w:rPr>
          <w:rFonts w:hint="default" w:ascii="Times New Roman" w:hAnsi="Times New Roman" w:eastAsia="楷体_GB2312" w:cs="Times New Roman"/>
          <w:sz w:val="32"/>
          <w:szCs w:val="32"/>
        </w:rPr>
        <w:t>（二）风暴潮黄色警报</w:t>
      </w:r>
      <w:bookmarkEnd w:id="270"/>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受热带气旋或温带天气系统影响，预计未来受影响区域内有一个或一个以上有代表性的验潮站的高潮位达到黄色警戒潮位，应发布风暴潮黄色警报。</w:t>
      </w:r>
    </w:p>
    <w:p>
      <w:pPr>
        <w:spacing w:line="570" w:lineRule="exact"/>
        <w:ind w:firstLine="640" w:firstLineChars="200"/>
        <w:rPr>
          <w:rFonts w:hint="default" w:ascii="Times New Roman" w:hAnsi="Times New Roman" w:eastAsia="楷体_GB2312" w:cs="Times New Roman"/>
          <w:sz w:val="32"/>
          <w:szCs w:val="32"/>
        </w:rPr>
      </w:pPr>
      <w:bookmarkStart w:id="271" w:name="_Toc200747796_WPSOffice_Level3"/>
      <w:r>
        <w:rPr>
          <w:rFonts w:hint="default" w:ascii="Times New Roman" w:hAnsi="Times New Roman" w:eastAsia="楷体_GB2312" w:cs="Times New Roman"/>
          <w:sz w:val="32"/>
          <w:szCs w:val="32"/>
        </w:rPr>
        <w:t>（三）风暴潮橙色警报</w:t>
      </w:r>
      <w:bookmarkEnd w:id="271"/>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受热带气旋或温带天气系统影响，预计未来受影响区域内有一个或一个以上有代表的验潮站的高潮位达到橙色警戒潮位，应发布风暴潮橙色警报。</w:t>
      </w:r>
    </w:p>
    <w:p>
      <w:pPr>
        <w:spacing w:line="570" w:lineRule="exact"/>
        <w:ind w:firstLine="640" w:firstLineChars="200"/>
        <w:rPr>
          <w:rFonts w:hint="default" w:ascii="Times New Roman" w:hAnsi="Times New Roman" w:eastAsia="楷体_GB2312" w:cs="Times New Roman"/>
          <w:sz w:val="32"/>
          <w:szCs w:val="32"/>
        </w:rPr>
      </w:pPr>
      <w:bookmarkStart w:id="272" w:name="_Toc289700723_WPSOffice_Level3"/>
      <w:r>
        <w:rPr>
          <w:rFonts w:hint="default" w:ascii="Times New Roman" w:hAnsi="Times New Roman" w:eastAsia="楷体_GB2312" w:cs="Times New Roman"/>
          <w:sz w:val="32"/>
          <w:szCs w:val="32"/>
        </w:rPr>
        <w:t>（四）风暴潮红色警报</w:t>
      </w:r>
      <w:bookmarkEnd w:id="272"/>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受热带气旋或温带天气系统影响，预计未来受影响区域内有一个或一个以上有代表性的验潮站的高潮位达到红色警戒潮位，应发布风暴潮红色警报。</w:t>
      </w:r>
    </w:p>
    <w:p>
      <w:pPr>
        <w:spacing w:line="570" w:lineRule="exact"/>
        <w:ind w:firstLine="640" w:firstLineChars="200"/>
        <w:rPr>
          <w:rFonts w:hint="default" w:ascii="Times New Roman" w:hAnsi="Times New Roman" w:eastAsia="黑体" w:cs="Times New Roman"/>
          <w:sz w:val="32"/>
          <w:szCs w:val="32"/>
        </w:rPr>
      </w:pPr>
      <w:bookmarkStart w:id="273" w:name="_Toc1117142618_WPSOffice_Level2"/>
      <w:r>
        <w:rPr>
          <w:rFonts w:hint="default" w:ascii="Times New Roman" w:hAnsi="Times New Roman" w:eastAsia="黑体" w:cs="Times New Roman"/>
          <w:sz w:val="32"/>
          <w:szCs w:val="32"/>
        </w:rPr>
        <w:t>二、海浪灾害预警发布标准</w:t>
      </w:r>
      <w:bookmarkEnd w:id="273"/>
    </w:p>
    <w:p>
      <w:pPr>
        <w:spacing w:line="570" w:lineRule="exact"/>
        <w:ind w:firstLine="640" w:firstLineChars="200"/>
        <w:rPr>
          <w:rFonts w:hint="default" w:ascii="Times New Roman" w:hAnsi="Times New Roman" w:eastAsia="楷体_GB2312" w:cs="Times New Roman"/>
          <w:sz w:val="32"/>
          <w:szCs w:val="32"/>
        </w:rPr>
      </w:pPr>
      <w:bookmarkStart w:id="274" w:name="_Toc168002245_WPSOffice_Level3"/>
      <w:r>
        <w:rPr>
          <w:rFonts w:hint="default" w:ascii="Times New Roman" w:hAnsi="Times New Roman" w:eastAsia="楷体_GB2312" w:cs="Times New Roman"/>
          <w:sz w:val="32"/>
          <w:szCs w:val="32"/>
        </w:rPr>
        <w:t>（一）海浪蓝色警报</w:t>
      </w:r>
      <w:bookmarkEnd w:id="274"/>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受热带气旋或温带天气系统影响，预计未来24小时受影响近岸海域出现2.5～3.5米（不含）有效波高时，应发布海浪蓝色警报。</w:t>
      </w:r>
    </w:p>
    <w:p>
      <w:pPr>
        <w:spacing w:line="570" w:lineRule="exact"/>
        <w:ind w:firstLine="640" w:firstLineChars="200"/>
        <w:rPr>
          <w:rFonts w:hint="default" w:ascii="Times New Roman" w:hAnsi="Times New Roman" w:eastAsia="楷体_GB2312" w:cs="Times New Roman"/>
          <w:sz w:val="32"/>
          <w:szCs w:val="32"/>
        </w:rPr>
      </w:pPr>
      <w:bookmarkStart w:id="275" w:name="_Toc150122846_WPSOffice_Level3"/>
      <w:r>
        <w:rPr>
          <w:rFonts w:hint="default" w:ascii="Times New Roman" w:hAnsi="Times New Roman" w:eastAsia="楷体_GB2312" w:cs="Times New Roman"/>
          <w:sz w:val="32"/>
          <w:szCs w:val="32"/>
        </w:rPr>
        <w:t>（二）海浪黄色警报</w:t>
      </w:r>
      <w:bookmarkEnd w:id="275"/>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受热带气旋或温带天气系统影响，预计未来24小时受影响近岸海域出现3.5～4.5米（不含）有效波高，或者近海预报海域出现6.0～9.0米（不含）有效波高时，应发布海浪黄色警报。</w:t>
      </w:r>
    </w:p>
    <w:p>
      <w:pPr>
        <w:spacing w:line="570" w:lineRule="exact"/>
        <w:ind w:firstLine="640" w:firstLineChars="200"/>
        <w:rPr>
          <w:rFonts w:hint="default" w:ascii="Times New Roman" w:hAnsi="Times New Roman" w:eastAsia="楷体_GB2312" w:cs="Times New Roman"/>
          <w:sz w:val="32"/>
          <w:szCs w:val="32"/>
        </w:rPr>
      </w:pPr>
      <w:bookmarkStart w:id="276" w:name="_Toc439493451_WPSOffice_Level3"/>
      <w:r>
        <w:rPr>
          <w:rFonts w:hint="default" w:ascii="Times New Roman" w:hAnsi="Times New Roman" w:eastAsia="楷体_GB2312" w:cs="Times New Roman"/>
          <w:sz w:val="32"/>
          <w:szCs w:val="32"/>
        </w:rPr>
        <w:t>（三）海浪橙色警报</w:t>
      </w:r>
      <w:bookmarkEnd w:id="276"/>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受热带气旋或温带天气系统影响，预计未来24小时受影响近岸海域出现4.5～6.0米（不含）有效波高，或者近海预报海域出现9.0～14.0米（不含）有效波时，应发布海浪橙色警报。</w:t>
      </w:r>
    </w:p>
    <w:p>
      <w:pPr>
        <w:spacing w:line="570" w:lineRule="exact"/>
        <w:ind w:firstLine="640" w:firstLineChars="200"/>
        <w:rPr>
          <w:rFonts w:hint="default" w:ascii="Times New Roman" w:hAnsi="Times New Roman" w:cs="Times New Roman"/>
          <w:b/>
          <w:bCs w:val="0"/>
          <w:sz w:val="32"/>
          <w:szCs w:val="32"/>
        </w:rPr>
      </w:pPr>
      <w:bookmarkStart w:id="277" w:name="_Toc990892921_WPSOffice_Level3"/>
      <w:r>
        <w:rPr>
          <w:rFonts w:hint="default" w:ascii="Times New Roman" w:hAnsi="Times New Roman" w:eastAsia="楷体_GB2312" w:cs="Times New Roman"/>
          <w:sz w:val="32"/>
          <w:szCs w:val="32"/>
        </w:rPr>
        <w:t>（四）海浪红色警报</w:t>
      </w:r>
      <w:bookmarkEnd w:id="277"/>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受热带气旋或温带天气系统影响，预计未来24小时受影响近岸海域出现达到或超过6.0米有效波高，或者近海预报海域出现达到或超过14.0米有效波高时，应发布海浪红色警报。</w:t>
      </w:r>
    </w:p>
    <w:p>
      <w:pPr>
        <w:spacing w:line="570" w:lineRule="exact"/>
        <w:ind w:firstLine="640" w:firstLineChars="200"/>
        <w:rPr>
          <w:rFonts w:hint="default" w:ascii="Times New Roman" w:hAnsi="Times New Roman" w:eastAsia="黑体" w:cs="Times New Roman"/>
          <w:sz w:val="32"/>
          <w:szCs w:val="32"/>
        </w:rPr>
      </w:pPr>
      <w:bookmarkStart w:id="278" w:name="_Toc1760243555_WPSOffice_Level2"/>
      <w:r>
        <w:rPr>
          <w:rFonts w:hint="default" w:ascii="Times New Roman" w:hAnsi="Times New Roman" w:eastAsia="黑体" w:cs="Times New Roman"/>
          <w:sz w:val="32"/>
          <w:szCs w:val="32"/>
        </w:rPr>
        <w:t>三、海啸灾害预警发布标准</w:t>
      </w:r>
      <w:bookmarkEnd w:id="278"/>
    </w:p>
    <w:p>
      <w:pPr>
        <w:spacing w:line="570" w:lineRule="exact"/>
        <w:ind w:firstLine="640" w:firstLineChars="200"/>
        <w:rPr>
          <w:rFonts w:hint="default" w:ascii="Times New Roman" w:hAnsi="Times New Roman" w:eastAsia="楷体_GB2312" w:cs="Times New Roman"/>
          <w:sz w:val="32"/>
          <w:szCs w:val="32"/>
        </w:rPr>
      </w:pPr>
      <w:bookmarkStart w:id="279" w:name="_Toc1231192379_WPSOffice_Level3"/>
      <w:r>
        <w:rPr>
          <w:rFonts w:hint="default" w:ascii="Times New Roman" w:hAnsi="Times New Roman" w:eastAsia="楷体_GB2312" w:cs="Times New Roman"/>
          <w:sz w:val="32"/>
          <w:szCs w:val="32"/>
        </w:rPr>
        <w:t>（一）海啸信息</w:t>
      </w:r>
      <w:bookmarkEnd w:id="279"/>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受地震或其他因素影响，预计海啸波将会在我省沿岸产生0.3米以下的海啸波幅，或者没有海啸，发布海啸信息。</w:t>
      </w:r>
    </w:p>
    <w:p>
      <w:pPr>
        <w:spacing w:line="570" w:lineRule="exact"/>
        <w:ind w:firstLine="640" w:firstLineChars="200"/>
        <w:rPr>
          <w:rFonts w:hint="default" w:ascii="Times New Roman" w:hAnsi="Times New Roman" w:eastAsia="楷体_GB2312" w:cs="Times New Roman"/>
          <w:sz w:val="32"/>
          <w:szCs w:val="32"/>
        </w:rPr>
      </w:pPr>
      <w:bookmarkStart w:id="280" w:name="_Toc1622597488_WPSOffice_Level3"/>
      <w:r>
        <w:rPr>
          <w:rFonts w:hint="default" w:ascii="Times New Roman" w:hAnsi="Times New Roman" w:eastAsia="楷体_GB2312" w:cs="Times New Roman"/>
          <w:sz w:val="32"/>
          <w:szCs w:val="32"/>
        </w:rPr>
        <w:t>（二）海啸黄色警报</w:t>
      </w:r>
      <w:bookmarkEnd w:id="280"/>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受地震或其他因素影响，预计海啸波将会在我省沿岸产生0.3（含）～1米的海啸波幅，发布海啸黄色警报。</w:t>
      </w:r>
    </w:p>
    <w:p>
      <w:pPr>
        <w:spacing w:line="570" w:lineRule="exact"/>
        <w:ind w:firstLine="640" w:firstLineChars="200"/>
        <w:rPr>
          <w:rFonts w:hint="default" w:ascii="Times New Roman" w:hAnsi="Times New Roman" w:eastAsia="楷体_GB2312" w:cs="Times New Roman"/>
          <w:sz w:val="32"/>
          <w:szCs w:val="32"/>
        </w:rPr>
      </w:pPr>
      <w:bookmarkStart w:id="281" w:name="_Toc111537764_WPSOffice_Level3"/>
      <w:r>
        <w:rPr>
          <w:rFonts w:hint="default" w:ascii="Times New Roman" w:hAnsi="Times New Roman" w:eastAsia="楷体_GB2312" w:cs="Times New Roman"/>
          <w:sz w:val="32"/>
          <w:szCs w:val="32"/>
        </w:rPr>
        <w:t>（三）海啸橙色警报</w:t>
      </w:r>
      <w:bookmarkEnd w:id="281"/>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受地震或其他因素影响，预计海啸波将会在我省沿岸产生1（含）～3米的海啸波幅，发布海啸橙色警报。</w:t>
      </w:r>
    </w:p>
    <w:p>
      <w:pPr>
        <w:spacing w:line="570" w:lineRule="exact"/>
        <w:ind w:firstLine="640" w:firstLineChars="200"/>
        <w:rPr>
          <w:rFonts w:hint="default" w:ascii="Times New Roman" w:hAnsi="Times New Roman" w:eastAsia="楷体_GB2312" w:cs="Times New Roman"/>
          <w:sz w:val="32"/>
          <w:szCs w:val="32"/>
        </w:rPr>
      </w:pPr>
      <w:bookmarkStart w:id="282" w:name="_Toc338888228_WPSOffice_Level3"/>
      <w:r>
        <w:rPr>
          <w:rFonts w:hint="default" w:ascii="Times New Roman" w:hAnsi="Times New Roman" w:eastAsia="楷体_GB2312" w:cs="Times New Roman"/>
          <w:sz w:val="32"/>
          <w:szCs w:val="32"/>
        </w:rPr>
        <w:t>（四）海啸红色警报</w:t>
      </w:r>
      <w:bookmarkEnd w:id="282"/>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受地震或其他因素影响，预计海啸波将在我省沿岸产生3米（含）以上的海啸波幅，发布海啸红色警报。</w:t>
      </w:r>
    </w:p>
    <w:p>
      <w:pPr>
        <w:spacing w:line="570" w:lineRule="exact"/>
        <w:ind w:firstLine="640" w:firstLineChars="200"/>
        <w:rPr>
          <w:rFonts w:hint="default" w:ascii="Times New Roman" w:hAnsi="Times New Roman" w:cs="Times New Roman"/>
          <w:sz w:val="32"/>
          <w:szCs w:val="32"/>
        </w:rPr>
        <w:sectPr>
          <w:pgSz w:w="11906" w:h="16838"/>
          <w:pgMar w:top="2098" w:right="1474" w:bottom="1984" w:left="1587" w:header="851" w:footer="992" w:gutter="0"/>
          <w:cols w:space="425" w:num="1"/>
          <w:docGrid w:type="lines" w:linePitch="312" w:charSpace="0"/>
        </w:sectPr>
      </w:pPr>
    </w:p>
    <w:p>
      <w:pPr>
        <w:pStyle w:val="3"/>
        <w:spacing w:line="570" w:lineRule="exact"/>
        <w:ind w:firstLine="0"/>
        <w:rPr>
          <w:rFonts w:hint="default" w:ascii="Times New Roman" w:hAnsi="Times New Roman" w:eastAsia="黑体" w:cs="Times New Roman"/>
        </w:rPr>
      </w:pPr>
      <w:bookmarkStart w:id="283" w:name="_Toc6568"/>
      <w:bookmarkStart w:id="284" w:name="_Toc26505"/>
      <w:r>
        <w:rPr>
          <w:rFonts w:hint="default" w:ascii="Times New Roman" w:hAnsi="Times New Roman" w:eastAsia="黑体" w:cs="Times New Roman"/>
        </w:rPr>
        <w:t>附录3</w:t>
      </w:r>
      <w:bookmarkEnd w:id="283"/>
      <w:bookmarkEnd w:id="284"/>
    </w:p>
    <w:p>
      <w:pPr>
        <w:pStyle w:val="3"/>
        <w:spacing w:line="570" w:lineRule="exact"/>
        <w:ind w:firstLine="0"/>
        <w:jc w:val="center"/>
        <w:rPr>
          <w:rFonts w:hint="default" w:ascii="Times New Roman" w:hAnsi="Times New Roman" w:cs="Times New Roman"/>
          <w:b/>
        </w:rPr>
      </w:pPr>
      <w:bookmarkStart w:id="285" w:name="_Toc22186"/>
      <w:bookmarkStart w:id="286" w:name="_Toc1161"/>
      <w:r>
        <w:rPr>
          <w:rFonts w:hint="default" w:ascii="Times New Roman" w:hAnsi="Times New Roman" w:eastAsia="方正小标宋简体" w:cs="Times New Roman"/>
          <w:sz w:val="44"/>
          <w:szCs w:val="44"/>
        </w:rPr>
        <w:t>赤潮灾害事件标准</w:t>
      </w:r>
      <w:bookmarkEnd w:id="285"/>
      <w:bookmarkEnd w:id="286"/>
      <w:bookmarkStart w:id="287" w:name="_Toc438792350_WPSOffice_Level2"/>
    </w:p>
    <w:p>
      <w:pPr>
        <w:spacing w:line="570" w:lineRule="exact"/>
        <w:ind w:firstLine="640" w:firstLineChars="200"/>
        <w:rPr>
          <w:rFonts w:hint="default" w:ascii="Times New Roman" w:hAnsi="Times New Roman" w:eastAsia="黑体" w:cs="Times New Roman"/>
          <w:sz w:val="32"/>
          <w:szCs w:val="32"/>
        </w:rPr>
      </w:pPr>
    </w:p>
    <w:p>
      <w:pPr>
        <w:spacing w:line="57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一、一般赤潮灾害</w:t>
      </w:r>
      <w:bookmarkEnd w:id="287"/>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达到赤潮基准密度，但尚未达到Ⅲ级应急响应启动标准的赤潮灾害，属于一般赤潮。</w:t>
      </w:r>
    </w:p>
    <w:p>
      <w:pPr>
        <w:spacing w:line="570" w:lineRule="exact"/>
        <w:ind w:firstLine="560" w:firstLineChars="200"/>
        <w:jc w:val="center"/>
        <w:rPr>
          <w:rFonts w:hint="default" w:ascii="Times New Roman" w:hAnsi="Times New Roman" w:cs="Times New Roman"/>
          <w:szCs w:val="21"/>
        </w:rPr>
      </w:pPr>
      <w:r>
        <w:rPr>
          <w:rFonts w:hint="default" w:ascii="Times New Roman" w:hAnsi="Times New Roman" w:cs="Times New Roman"/>
          <w:szCs w:val="21"/>
        </w:rPr>
        <w:t xml:space="preserve"> 有毒、有害赤潮藻及基准密度清单</w:t>
      </w:r>
    </w:p>
    <w:tbl>
      <w:tblPr>
        <w:tblStyle w:val="19"/>
        <w:tblW w:w="91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284"/>
        <w:gridCol w:w="5070"/>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jc w:val="center"/>
        </w:trPr>
        <w:tc>
          <w:tcPr>
            <w:tcW w:w="784" w:type="dxa"/>
            <w:vAlign w:val="center"/>
          </w:tcPr>
          <w:p>
            <w:pPr>
              <w:spacing w:line="570" w:lineRule="exact"/>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类型</w:t>
            </w:r>
          </w:p>
        </w:tc>
        <w:tc>
          <w:tcPr>
            <w:tcW w:w="1284" w:type="dxa"/>
            <w:vAlign w:val="center"/>
          </w:tcPr>
          <w:p>
            <w:pPr>
              <w:spacing w:line="570" w:lineRule="exact"/>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特征</w:t>
            </w:r>
          </w:p>
        </w:tc>
        <w:tc>
          <w:tcPr>
            <w:tcW w:w="5070" w:type="dxa"/>
            <w:vAlign w:val="center"/>
          </w:tcPr>
          <w:p>
            <w:pPr>
              <w:spacing w:line="570" w:lineRule="exact"/>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原因种名称</w:t>
            </w:r>
          </w:p>
        </w:tc>
        <w:tc>
          <w:tcPr>
            <w:tcW w:w="1991" w:type="dxa"/>
            <w:vAlign w:val="center"/>
          </w:tcPr>
          <w:p>
            <w:pPr>
              <w:spacing w:line="570" w:lineRule="exact"/>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基准密度&gt;10</w:t>
            </w:r>
            <w:r>
              <w:rPr>
                <w:rFonts w:hint="default" w:ascii="Times New Roman" w:hAnsi="Times New Roman" w:cs="Times New Roman"/>
                <w:bCs w:val="0"/>
                <w:kern w:val="0"/>
                <w:sz w:val="21"/>
                <w:szCs w:val="21"/>
                <w:vertAlign w:val="superscript"/>
              </w:rPr>
              <w:t>4</w:t>
            </w:r>
            <w:r>
              <w:rPr>
                <w:rFonts w:hint="default" w:ascii="Times New Roman" w:hAnsi="Times New Roman" w:cs="Times New Roman"/>
                <w:bCs w:val="0"/>
                <w:kern w:val="0"/>
                <w:sz w:val="21"/>
                <w:szCs w:val="21"/>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5" w:hRule="atLeast"/>
          <w:jc w:val="center"/>
        </w:trPr>
        <w:tc>
          <w:tcPr>
            <w:tcW w:w="784" w:type="dxa"/>
            <w:vAlign w:val="center"/>
          </w:tcPr>
          <w:p>
            <w:pPr>
              <w:spacing w:line="570" w:lineRule="exac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有毒</w:t>
            </w:r>
          </w:p>
          <w:p>
            <w:pPr>
              <w:spacing w:line="570" w:lineRule="exac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赤潮</w:t>
            </w:r>
          </w:p>
        </w:tc>
        <w:tc>
          <w:tcPr>
            <w:tcW w:w="1284" w:type="dxa"/>
            <w:vAlign w:val="center"/>
          </w:tcPr>
          <w:p>
            <w:pPr>
              <w:spacing w:line="360" w:lineRule="exac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特指能引起人类中毒，甚至死亡的赤潮。</w:t>
            </w:r>
          </w:p>
        </w:tc>
        <w:tc>
          <w:tcPr>
            <w:tcW w:w="5070" w:type="dxa"/>
          </w:tcPr>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链状裸甲藻（</w:t>
            </w:r>
            <w:r>
              <w:rPr>
                <w:rFonts w:hint="default" w:ascii="Times New Roman" w:hAnsi="Times New Roman" w:cs="Times New Roman"/>
                <w:bCs w:val="0"/>
                <w:i/>
                <w:kern w:val="0"/>
                <w:sz w:val="21"/>
                <w:szCs w:val="21"/>
              </w:rPr>
              <w:t>Gymnodinium catenatum</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短凯伦藻（</w:t>
            </w:r>
            <w:r>
              <w:rPr>
                <w:rFonts w:hint="default" w:ascii="Times New Roman" w:hAnsi="Times New Roman" w:cs="Times New Roman"/>
                <w:bCs w:val="0"/>
                <w:i/>
                <w:kern w:val="0"/>
                <w:sz w:val="21"/>
                <w:szCs w:val="21"/>
              </w:rPr>
              <w:t>Karenia brevis</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太平洋亚历山大藻（</w:t>
            </w:r>
            <w:r>
              <w:rPr>
                <w:rFonts w:hint="default" w:ascii="Times New Roman" w:hAnsi="Times New Roman" w:cs="Times New Roman"/>
                <w:bCs w:val="0"/>
                <w:i/>
                <w:iCs/>
                <w:kern w:val="0"/>
                <w:sz w:val="21"/>
                <w:szCs w:val="21"/>
              </w:rPr>
              <w:t>Alexandrium pacificum</w:t>
            </w:r>
            <w:r>
              <w:rPr>
                <w:rFonts w:hint="default" w:ascii="Times New Roman" w:hAnsi="Times New Roman" w:cs="Times New Roman"/>
                <w:bCs w:val="0"/>
                <w:iCs/>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链状亚历山大藻（</w:t>
            </w:r>
            <w:r>
              <w:rPr>
                <w:rFonts w:hint="default" w:ascii="Times New Roman" w:hAnsi="Times New Roman" w:cs="Times New Roman"/>
                <w:bCs w:val="0"/>
                <w:i/>
                <w:iCs/>
                <w:kern w:val="0"/>
                <w:sz w:val="21"/>
                <w:szCs w:val="21"/>
              </w:rPr>
              <w:t>Alexandrium catenella</w:t>
            </w:r>
            <w:r>
              <w:rPr>
                <w:rFonts w:hint="default" w:ascii="Times New Roman" w:hAnsi="Times New Roman" w:cs="Times New Roman"/>
                <w:bCs w:val="0"/>
                <w:iCs/>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微小原甲藻（</w:t>
            </w:r>
            <w:r>
              <w:rPr>
                <w:rFonts w:hint="default" w:ascii="Times New Roman" w:hAnsi="Times New Roman" w:cs="Times New Roman"/>
                <w:bCs w:val="0"/>
                <w:i/>
                <w:kern w:val="0"/>
                <w:sz w:val="21"/>
                <w:szCs w:val="21"/>
              </w:rPr>
              <w:t>Prorocentrum minimum</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倒卵形鳍藻（</w:t>
            </w:r>
            <w:r>
              <w:rPr>
                <w:rFonts w:hint="default" w:ascii="Times New Roman" w:hAnsi="Times New Roman" w:cs="Times New Roman"/>
                <w:bCs w:val="0"/>
                <w:i/>
                <w:kern w:val="0"/>
                <w:sz w:val="21"/>
                <w:szCs w:val="21"/>
              </w:rPr>
              <w:t>Dinophysis fortii</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利马原甲藻（</w:t>
            </w:r>
            <w:r>
              <w:rPr>
                <w:rFonts w:hint="default" w:ascii="Times New Roman" w:hAnsi="Times New Roman" w:cs="Times New Roman"/>
                <w:bCs w:val="0"/>
                <w:i/>
                <w:kern w:val="0"/>
                <w:sz w:val="21"/>
                <w:szCs w:val="21"/>
              </w:rPr>
              <w:t>Prorocentrum lima</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多列拟菱形藻（</w:t>
            </w:r>
            <w:r>
              <w:rPr>
                <w:rFonts w:hint="default" w:ascii="Times New Roman" w:hAnsi="Times New Roman" w:cs="Times New Roman"/>
                <w:bCs w:val="0"/>
                <w:i/>
                <w:kern w:val="0"/>
                <w:sz w:val="21"/>
                <w:szCs w:val="21"/>
              </w:rPr>
              <w:t>Pseudo-nitzschia multiseries</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福氏拟菱形藻（</w:t>
            </w:r>
            <w:r>
              <w:rPr>
                <w:rFonts w:hint="default" w:ascii="Times New Roman" w:hAnsi="Times New Roman" w:cs="Times New Roman"/>
                <w:bCs w:val="0"/>
                <w:i/>
                <w:kern w:val="0"/>
                <w:sz w:val="21"/>
                <w:szCs w:val="21"/>
              </w:rPr>
              <w:t>Pseudo-nitzschia fukuyoi</w:t>
            </w:r>
            <w:r>
              <w:rPr>
                <w:rFonts w:hint="default" w:ascii="Times New Roman" w:hAnsi="Times New Roman" w:cs="Times New Roman"/>
                <w:bCs w:val="0"/>
                <w:kern w:val="0"/>
                <w:sz w:val="21"/>
                <w:szCs w:val="21"/>
              </w:rPr>
              <w:t>）</w:t>
            </w:r>
          </w:p>
          <w:p>
            <w:pPr>
              <w:spacing w:line="340" w:lineRule="exact"/>
              <w:ind w:firstLine="420" w:firstLineChars="200"/>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尖细拟菱形藻（</w:t>
            </w:r>
            <w:r>
              <w:rPr>
                <w:rFonts w:hint="default" w:ascii="Times New Roman" w:hAnsi="Times New Roman" w:cs="Times New Roman"/>
                <w:bCs w:val="0"/>
                <w:i/>
                <w:kern w:val="0"/>
                <w:sz w:val="21"/>
                <w:szCs w:val="21"/>
              </w:rPr>
              <w:t>Pseudo-nitzschia cuspidata</w:t>
            </w:r>
            <w:r>
              <w:rPr>
                <w:rFonts w:hint="default" w:ascii="Times New Roman" w:hAnsi="Times New Roman" w:cs="Times New Roman"/>
                <w:bCs w:val="0"/>
                <w:kern w:val="0"/>
                <w:sz w:val="21"/>
                <w:szCs w:val="21"/>
              </w:rPr>
              <w:t>）</w:t>
            </w:r>
          </w:p>
        </w:tc>
        <w:tc>
          <w:tcPr>
            <w:tcW w:w="1991" w:type="dxa"/>
          </w:tcPr>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20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784" w:type="dxa"/>
            <w:vAlign w:val="center"/>
          </w:tcPr>
          <w:p>
            <w:pPr>
              <w:spacing w:line="570" w:lineRule="exac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有害</w:t>
            </w:r>
          </w:p>
          <w:p>
            <w:pPr>
              <w:spacing w:line="570" w:lineRule="exac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赤潮</w:t>
            </w:r>
          </w:p>
        </w:tc>
        <w:tc>
          <w:tcPr>
            <w:tcW w:w="1284" w:type="dxa"/>
            <w:vAlign w:val="center"/>
          </w:tcPr>
          <w:p>
            <w:pPr>
              <w:spacing w:line="360" w:lineRule="exac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对人类没有直接危害，但可通过物理、化学等途径对海洋自然资源或海洋经济造成危害的赤潮。</w:t>
            </w:r>
          </w:p>
        </w:tc>
        <w:tc>
          <w:tcPr>
            <w:tcW w:w="5070" w:type="dxa"/>
            <w:vAlign w:val="center"/>
          </w:tcPr>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米氏凯伦藻（</w:t>
            </w:r>
            <w:r>
              <w:rPr>
                <w:rFonts w:hint="default" w:ascii="Times New Roman" w:hAnsi="Times New Roman" w:cs="Times New Roman"/>
                <w:bCs w:val="0"/>
                <w:i/>
                <w:kern w:val="0"/>
                <w:sz w:val="21"/>
                <w:szCs w:val="21"/>
              </w:rPr>
              <w:t>Karenia mikimotoi</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赤潮异弯藻（</w:t>
            </w:r>
            <w:r>
              <w:rPr>
                <w:rFonts w:hint="default" w:ascii="Times New Roman" w:hAnsi="Times New Roman" w:cs="Times New Roman"/>
                <w:bCs w:val="0"/>
                <w:i/>
                <w:kern w:val="0"/>
                <w:sz w:val="21"/>
                <w:szCs w:val="21"/>
              </w:rPr>
              <w:t>Heterosigma akashiwo</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多环马格里夫藻（</w:t>
            </w:r>
            <w:r>
              <w:rPr>
                <w:rFonts w:hint="default" w:ascii="Times New Roman" w:hAnsi="Times New Roman" w:cs="Times New Roman"/>
                <w:bCs w:val="0"/>
                <w:i/>
                <w:kern w:val="0"/>
                <w:sz w:val="21"/>
                <w:szCs w:val="21"/>
              </w:rPr>
              <w:t>Maligrafidinium polykrikoides</w:t>
            </w:r>
            <w:r>
              <w:rPr>
                <w:rFonts w:hint="default" w:ascii="Times New Roman" w:hAnsi="Times New Roman" w:cs="Times New Roman"/>
                <w:bCs w:val="0"/>
                <w:kern w:val="0"/>
                <w:sz w:val="21"/>
                <w:szCs w:val="21"/>
              </w:rPr>
              <w:t>）（原名：多环旋沟藻）</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双胞马格里夫藻（</w:t>
            </w:r>
            <w:r>
              <w:rPr>
                <w:rFonts w:hint="default" w:ascii="Times New Roman" w:hAnsi="Times New Roman" w:cs="Times New Roman"/>
                <w:bCs w:val="0"/>
                <w:i/>
                <w:kern w:val="0"/>
                <w:sz w:val="21"/>
                <w:szCs w:val="21"/>
              </w:rPr>
              <w:t>Maligrafidinium geminatum</w:t>
            </w:r>
            <w:r>
              <w:rPr>
                <w:rFonts w:hint="default" w:ascii="Times New Roman" w:hAnsi="Times New Roman" w:cs="Times New Roman"/>
                <w:bCs w:val="0"/>
                <w:kern w:val="0"/>
                <w:sz w:val="21"/>
                <w:szCs w:val="21"/>
              </w:rPr>
              <w:t>）（原名：双胞旋沟藻）</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球形棕囊藻（</w:t>
            </w:r>
            <w:r>
              <w:rPr>
                <w:rFonts w:hint="default" w:ascii="Times New Roman" w:hAnsi="Times New Roman" w:cs="Times New Roman"/>
                <w:bCs w:val="0"/>
                <w:i/>
                <w:kern w:val="0"/>
                <w:sz w:val="21"/>
                <w:szCs w:val="21"/>
              </w:rPr>
              <w:t>Phaeocystis globosa</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海洋卡盾藻（</w:t>
            </w:r>
            <w:r>
              <w:rPr>
                <w:rFonts w:hint="default" w:ascii="Times New Roman" w:hAnsi="Times New Roman" w:cs="Times New Roman"/>
                <w:bCs w:val="0"/>
                <w:i/>
                <w:iCs/>
                <w:kern w:val="0"/>
                <w:sz w:val="21"/>
                <w:szCs w:val="21"/>
              </w:rPr>
              <w:t>Chattonella marina</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剧毒卡尔藻（</w:t>
            </w:r>
            <w:r>
              <w:rPr>
                <w:rFonts w:hint="default" w:ascii="Times New Roman" w:hAnsi="Times New Roman" w:cs="Times New Roman"/>
                <w:bCs w:val="0"/>
                <w:i/>
                <w:kern w:val="0"/>
                <w:sz w:val="21"/>
                <w:szCs w:val="21"/>
              </w:rPr>
              <w:t>Karlodinium veneficum</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血红哈卡藻（</w:t>
            </w:r>
            <w:r>
              <w:rPr>
                <w:rFonts w:hint="default" w:ascii="Times New Roman" w:hAnsi="Times New Roman" w:cs="Times New Roman"/>
                <w:bCs w:val="0"/>
                <w:i/>
                <w:kern w:val="0"/>
                <w:sz w:val="21"/>
                <w:szCs w:val="21"/>
              </w:rPr>
              <w:t>Akashiwo sanguinea</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抑食金球藻（</w:t>
            </w:r>
            <w:r>
              <w:rPr>
                <w:rFonts w:hint="default" w:ascii="Times New Roman" w:hAnsi="Times New Roman" w:cs="Times New Roman"/>
                <w:bCs w:val="0"/>
                <w:i/>
                <w:kern w:val="0"/>
                <w:sz w:val="21"/>
                <w:szCs w:val="21"/>
              </w:rPr>
              <w:t>Aureococcus anophagefferens</w:t>
            </w:r>
            <w:r>
              <w:rPr>
                <w:rFonts w:hint="default" w:ascii="Times New Roman" w:hAnsi="Times New Roman" w:cs="Times New Roman"/>
                <w:bCs w:val="0"/>
                <w:kern w:val="0"/>
                <w:sz w:val="21"/>
                <w:szCs w:val="21"/>
              </w:rPr>
              <w:t>）</w:t>
            </w:r>
          </w:p>
          <w:p>
            <w:pPr>
              <w:spacing w:line="340" w:lineRule="exact"/>
              <w:ind w:firstLine="420" w:firstLineChars="200"/>
              <w:jc w:val="left"/>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东海原甲藻（</w:t>
            </w:r>
            <w:r>
              <w:rPr>
                <w:rFonts w:hint="default" w:ascii="Times New Roman" w:hAnsi="Times New Roman" w:cs="Times New Roman"/>
                <w:bCs w:val="0"/>
                <w:i/>
                <w:kern w:val="0"/>
                <w:sz w:val="21"/>
                <w:szCs w:val="21"/>
              </w:rPr>
              <w:t>Prorocentrum donghaiense</w:t>
            </w:r>
            <w:r>
              <w:rPr>
                <w:rFonts w:hint="default" w:ascii="Times New Roman" w:hAnsi="Times New Roman" w:cs="Times New Roman"/>
                <w:bCs w:val="0"/>
                <w:kern w:val="0"/>
                <w:sz w:val="21"/>
                <w:szCs w:val="21"/>
              </w:rPr>
              <w:t>）</w:t>
            </w:r>
          </w:p>
          <w:p>
            <w:pPr>
              <w:spacing w:line="340" w:lineRule="exact"/>
              <w:ind w:firstLine="420" w:firstLineChars="200"/>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锥状斯氏藻（</w:t>
            </w:r>
            <w:r>
              <w:rPr>
                <w:rFonts w:hint="default" w:ascii="Times New Roman" w:hAnsi="Times New Roman" w:cs="Times New Roman"/>
                <w:bCs w:val="0"/>
                <w:i/>
                <w:kern w:val="0"/>
                <w:sz w:val="21"/>
                <w:szCs w:val="21"/>
              </w:rPr>
              <w:t>Scrippsiella trochoidea</w:t>
            </w:r>
            <w:r>
              <w:rPr>
                <w:rFonts w:hint="default" w:ascii="Times New Roman" w:hAnsi="Times New Roman" w:cs="Times New Roman"/>
                <w:bCs w:val="0"/>
                <w:kern w:val="0"/>
                <w:sz w:val="21"/>
                <w:szCs w:val="21"/>
              </w:rPr>
              <w:t>）</w:t>
            </w:r>
          </w:p>
        </w:tc>
        <w:tc>
          <w:tcPr>
            <w:tcW w:w="1991" w:type="dxa"/>
          </w:tcPr>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30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30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30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10000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50</w:t>
            </w:r>
          </w:p>
          <w:p>
            <w:pPr>
              <w:spacing w:line="340" w:lineRule="exact"/>
              <w:ind w:firstLine="420" w:firstLineChars="200"/>
              <w:jc w:val="center"/>
              <w:rPr>
                <w:rFonts w:hint="default" w:ascii="Times New Roman" w:hAnsi="Times New Roman" w:cs="Times New Roman"/>
                <w:bCs w:val="0"/>
                <w:kern w:val="0"/>
                <w:sz w:val="21"/>
                <w:szCs w:val="21"/>
              </w:rPr>
            </w:pPr>
            <w:r>
              <w:rPr>
                <w:rFonts w:hint="default" w:ascii="Times New Roman" w:hAnsi="Times New Roman" w:cs="Times New Roman"/>
                <w:bCs w:val="0"/>
                <w:kern w:val="0"/>
                <w:sz w:val="21"/>
                <w:szCs w:val="21"/>
              </w:rPr>
              <w:t>100</w:t>
            </w:r>
          </w:p>
        </w:tc>
      </w:tr>
    </w:tbl>
    <w:p>
      <w:pPr>
        <w:spacing w:line="570" w:lineRule="exact"/>
        <w:ind w:firstLine="640" w:firstLineChars="200"/>
        <w:rPr>
          <w:rFonts w:hint="default" w:ascii="Times New Roman" w:hAnsi="Times New Roman" w:eastAsia="黑体" w:cs="Times New Roman"/>
          <w:sz w:val="32"/>
          <w:szCs w:val="32"/>
        </w:rPr>
      </w:pPr>
      <w:bookmarkStart w:id="288" w:name="_Toc1911165193_WPSOffice_Level2"/>
      <w:r>
        <w:rPr>
          <w:rFonts w:hint="default" w:ascii="Times New Roman" w:hAnsi="Times New Roman" w:eastAsia="黑体" w:cs="Times New Roman"/>
          <w:sz w:val="32"/>
          <w:szCs w:val="32"/>
        </w:rPr>
        <w:t>二、Ⅲ级赤潮灾害</w:t>
      </w:r>
      <w:bookmarkEnd w:id="288"/>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当出现以下情况之一时，发生Ⅲ级赤潮灾害：</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（一）近岸海域发现有毒赤潮面积200～500平方千米，或有害赤潮面积500～1000平方千米，或其他赤潮面积1000～3000平方千米。</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（二）近岸海域外发现赤潮面积3000～5000平方千米，且2天内可能影响近岸海域。</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（三）因食用受赤潮污染的水产品或接触到赤潮海水，出现身体严重不适病例报告超过10人以上、50人以下，或出现死亡人数5人以下。</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（四）赤潮灾害发生在重大活动海域，且距离活动举办时间5～10天。</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（五）赤潮灾害发生在经济敏感海域，造成的经济损失可能达2000万元以上、1亿元以下。</w:t>
      </w:r>
    </w:p>
    <w:p>
      <w:pPr>
        <w:spacing w:line="570" w:lineRule="exact"/>
        <w:ind w:firstLine="640" w:firstLineChars="200"/>
        <w:rPr>
          <w:rFonts w:hint="default" w:ascii="Times New Roman" w:hAnsi="Times New Roman" w:eastAsia="黑体" w:cs="Times New Roman"/>
          <w:sz w:val="32"/>
          <w:szCs w:val="32"/>
        </w:rPr>
      </w:pPr>
      <w:bookmarkStart w:id="289" w:name="_Toc21424"/>
      <w:bookmarkStart w:id="290" w:name="_Toc269441500_WPSOffice_Level2"/>
      <w:r>
        <w:rPr>
          <w:rFonts w:hint="default" w:ascii="Times New Roman" w:hAnsi="Times New Roman" w:eastAsia="黑体" w:cs="Times New Roman"/>
          <w:sz w:val="32"/>
          <w:szCs w:val="32"/>
        </w:rPr>
        <w:t>三、Ⅱ级赤潮灾害</w:t>
      </w:r>
      <w:bookmarkEnd w:id="289"/>
      <w:bookmarkEnd w:id="290"/>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当出现以下情况之一时，发生Ⅱ级赤潮灾害：</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（一）近岸海域发现有毒赤潮面积500～1000平方千米，或有害赤潮面积1000～3000平方千米，或其他赤潮面积3000～5000平方千米。</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（二）近岸海域外发现赤潮面积5000～8000平方千米，且2天内可能影响近岸海域。</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（三）因食用受赤潮污染的水产品或接触到赤潮海水，出现身体严重不适病例报告50人以上、100人以下，或死亡人数5人以上、10人以下。</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（四）赤潮灾害发生在重大活动海域，且距离活动举办时间2～5天。</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（五）赤潮灾害发生在经济敏感海域，造成的经济损失可能达1亿元以上、5亿元以下。</w:t>
      </w:r>
    </w:p>
    <w:p>
      <w:pPr>
        <w:spacing w:line="570" w:lineRule="exact"/>
        <w:ind w:firstLine="640" w:firstLineChars="200"/>
        <w:rPr>
          <w:rFonts w:hint="default" w:ascii="Times New Roman" w:hAnsi="Times New Roman" w:eastAsia="黑体" w:cs="Times New Roman"/>
          <w:sz w:val="32"/>
          <w:szCs w:val="32"/>
        </w:rPr>
      </w:pPr>
      <w:bookmarkStart w:id="291" w:name="_Toc2142757034_WPSOffice_Level2"/>
      <w:bookmarkStart w:id="292" w:name="_Toc30358"/>
      <w:r>
        <w:rPr>
          <w:rFonts w:hint="default" w:ascii="Times New Roman" w:hAnsi="Times New Roman" w:eastAsia="黑体" w:cs="Times New Roman"/>
          <w:sz w:val="32"/>
          <w:szCs w:val="32"/>
        </w:rPr>
        <w:t>四、Ⅰ级赤潮灾害</w:t>
      </w:r>
      <w:bookmarkEnd w:id="291"/>
      <w:bookmarkEnd w:id="292"/>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当出现以下情况之一时，发生Ⅰ级赤潮灾害：</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（一）近岸海域发现有毒赤潮面积1000平方千米以上，或有害赤潮面积3000平方千米以上，或其他赤潮面积5000平方千米以上。</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（二）近岸海域外发现赤潮面积8000平方千米以上，且2天内可能影响近岸海域。</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（三）因食用受赤潮污染的水产品或接触到赤潮海水，出现身体严重不适病例报告100人以上，或出现死亡人数10人以上。</w:t>
      </w:r>
    </w:p>
    <w:p>
      <w:pPr>
        <w:spacing w:line="57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（四）赤潮灾害发生在重大活动海域，且距离活动举办时间小于2天。</w:t>
      </w:r>
    </w:p>
    <w:p>
      <w:pPr>
        <w:spacing w:line="570" w:lineRule="exact"/>
        <w:ind w:firstLine="640" w:firstLineChars="200"/>
        <w:rPr>
          <w:rFonts w:hint="default" w:ascii="Times New Roman" w:hAnsi="Times New Roman" w:cs="Times New Roman"/>
          <w:sz w:val="32"/>
          <w:szCs w:val="32"/>
        </w:rPr>
        <w:sectPr>
          <w:pgSz w:w="11906" w:h="16838"/>
          <w:pgMar w:top="2098" w:right="1417" w:bottom="1984" w:left="1587" w:header="851" w:footer="992" w:gutter="0"/>
          <w:cols w:space="425" w:num="1"/>
          <w:docGrid w:type="lines" w:linePitch="312" w:charSpace="0"/>
        </w:sectPr>
      </w:pPr>
      <w:r>
        <w:rPr>
          <w:rFonts w:hint="default" w:ascii="Times New Roman" w:hAnsi="Times New Roman" w:cs="Times New Roman"/>
          <w:sz w:val="32"/>
          <w:szCs w:val="32"/>
        </w:rPr>
        <w:t>（五）赤潮灾害发生在经济敏感海域，造成的经济损失可能达5亿元以上。</w:t>
      </w:r>
    </w:p>
    <w:p>
      <w:pPr>
        <w:pStyle w:val="3"/>
        <w:spacing w:line="570" w:lineRule="exact"/>
        <w:ind w:firstLine="0"/>
        <w:rPr>
          <w:rFonts w:hint="default" w:ascii="Times New Roman" w:hAnsi="Times New Roman" w:eastAsia="黑体" w:cs="Times New Roman"/>
        </w:rPr>
      </w:pPr>
      <w:bookmarkStart w:id="293" w:name="_Toc20671"/>
      <w:bookmarkStart w:id="294" w:name="_Toc21468"/>
      <w:bookmarkStart w:id="295" w:name="_Toc747752208"/>
      <w:bookmarkStart w:id="296" w:name="_Toc759226945"/>
      <w:bookmarkStart w:id="297" w:name="_Toc149292572"/>
      <w:bookmarkStart w:id="298" w:name="_Toc770313858"/>
      <w:bookmarkStart w:id="299" w:name="_Toc1142760882"/>
      <w:bookmarkStart w:id="300" w:name="_Toc195099788"/>
      <w:bookmarkStart w:id="301" w:name="_Toc406434394"/>
      <w:bookmarkStart w:id="302" w:name="_Toc49745291"/>
      <w:bookmarkStart w:id="303" w:name="_Toc116087764_WPSOffice_Level1"/>
      <w:bookmarkStart w:id="304" w:name="_Toc833740922"/>
      <w:bookmarkStart w:id="305" w:name="_Toc1802573854"/>
      <w:bookmarkStart w:id="306" w:name="_Toc54432722"/>
      <w:bookmarkStart w:id="307" w:name="_Toc1787133449"/>
      <w:r>
        <w:rPr>
          <w:rFonts w:hint="default" w:ascii="Times New Roman" w:hAnsi="Times New Roman" w:eastAsia="黑体" w:cs="Times New Roman"/>
        </w:rPr>
        <w:t>附录4</w:t>
      </w:r>
      <w:bookmarkEnd w:id="293"/>
      <w:bookmarkEnd w:id="294"/>
    </w:p>
    <w:p>
      <w:pPr>
        <w:pStyle w:val="3"/>
        <w:spacing w:line="570" w:lineRule="exact"/>
        <w:ind w:firstLine="0"/>
        <w:jc w:val="center"/>
        <w:rPr>
          <w:rFonts w:hint="default" w:ascii="Times New Roman" w:hAnsi="Times New Roman" w:eastAsia="仿宋_GB2312" w:cs="Times New Roman"/>
        </w:rPr>
      </w:pPr>
      <w:bookmarkStart w:id="308" w:name="_Toc25652"/>
      <w:bookmarkStart w:id="309" w:name="_Toc8317"/>
      <w:r>
        <w:rPr>
          <w:rFonts w:hint="default" w:ascii="Times New Roman" w:hAnsi="Times New Roman" w:eastAsia="仿宋_GB2312" w:cs="Times New Roman"/>
        </w:rPr>
        <w:t>三亚市5个岸段警戒潮位值表</w:t>
      </w:r>
      <w:bookmarkEnd w:id="308"/>
      <w:bookmarkEnd w:id="309"/>
    </w:p>
    <w:bookmarkEnd w:id="295"/>
    <w:bookmarkEnd w:id="296"/>
    <w:bookmarkEnd w:id="297"/>
    <w:bookmarkEnd w:id="298"/>
    <w:bookmarkEnd w:id="299"/>
    <w:bookmarkEnd w:id="300"/>
    <w:bookmarkEnd w:id="301"/>
    <w:bookmarkEnd w:id="302"/>
    <w:bookmarkEnd w:id="303"/>
    <w:bookmarkEnd w:id="304"/>
    <w:bookmarkEnd w:id="305"/>
    <w:bookmarkEnd w:id="306"/>
    <w:bookmarkEnd w:id="307"/>
    <w:tbl>
      <w:tblPr>
        <w:tblStyle w:val="19"/>
        <w:tblW w:w="88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1721"/>
        <w:gridCol w:w="1297"/>
        <w:gridCol w:w="1297"/>
        <w:gridCol w:w="1299"/>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1931" w:type="dxa"/>
            <w:vMerge w:val="restart"/>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岸段</w:t>
            </w:r>
          </w:p>
        </w:tc>
        <w:tc>
          <w:tcPr>
            <w:tcW w:w="1721" w:type="dxa"/>
            <w:vMerge w:val="restart"/>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核定站</w:t>
            </w:r>
          </w:p>
        </w:tc>
        <w:tc>
          <w:tcPr>
            <w:tcW w:w="5217" w:type="dxa"/>
            <w:gridSpan w:val="4"/>
            <w:vAlign w:val="center"/>
          </w:tcPr>
          <w:p>
            <w:pPr>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拟核定岸段警戒潮位（cm）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2" w:hRule="atLeast"/>
          <w:jc w:val="center"/>
        </w:trPr>
        <w:tc>
          <w:tcPr>
            <w:tcW w:w="1931" w:type="dxa"/>
            <w:vMerge w:val="continue"/>
            <w:vAlign w:val="center"/>
          </w:tcPr>
          <w:p>
            <w:pPr>
              <w:widowControl/>
              <w:spacing w:line="570" w:lineRule="exact"/>
              <w:jc w:val="center"/>
              <w:rPr>
                <w:rFonts w:hint="default" w:ascii="Times New Roman" w:hAnsi="Times New Roman" w:cs="Times New Roman"/>
                <w:kern w:val="0"/>
                <w:sz w:val="20"/>
                <w:szCs w:val="20"/>
              </w:rPr>
            </w:pPr>
          </w:p>
        </w:tc>
        <w:tc>
          <w:tcPr>
            <w:tcW w:w="1721" w:type="dxa"/>
            <w:vMerge w:val="continue"/>
            <w:vAlign w:val="center"/>
          </w:tcPr>
          <w:p>
            <w:pPr>
              <w:widowControl/>
              <w:spacing w:line="570" w:lineRule="exact"/>
              <w:jc w:val="center"/>
              <w:rPr>
                <w:rFonts w:hint="default" w:ascii="Times New Roman" w:hAnsi="Times New Roman" w:cs="Times New Roman"/>
                <w:kern w:val="0"/>
                <w:sz w:val="20"/>
                <w:szCs w:val="20"/>
              </w:rPr>
            </w:pP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蓝色警戒潮位（cm）</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黄色警戒潮位（cm）</w:t>
            </w:r>
          </w:p>
        </w:tc>
        <w:tc>
          <w:tcPr>
            <w:tcW w:w="1299"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橙色警戒潮位（cm）</w:t>
            </w:r>
          </w:p>
        </w:tc>
        <w:tc>
          <w:tcPr>
            <w:tcW w:w="1324"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红色警戒潮位（cm）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1931"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三亚市海棠湾岸段</w:t>
            </w:r>
          </w:p>
        </w:tc>
        <w:tc>
          <w:tcPr>
            <w:tcW w:w="1721" w:type="dxa"/>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陵水海洋站</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200</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230</w:t>
            </w:r>
          </w:p>
        </w:tc>
        <w:tc>
          <w:tcPr>
            <w:tcW w:w="1299"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265</w:t>
            </w:r>
          </w:p>
        </w:tc>
        <w:tc>
          <w:tcPr>
            <w:tcW w:w="1324"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1931"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三亚市亚龙湾岸段</w:t>
            </w:r>
          </w:p>
        </w:tc>
        <w:tc>
          <w:tcPr>
            <w:tcW w:w="1721" w:type="dxa"/>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三亚海洋站</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200</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230</w:t>
            </w:r>
          </w:p>
        </w:tc>
        <w:tc>
          <w:tcPr>
            <w:tcW w:w="1299"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265</w:t>
            </w:r>
          </w:p>
        </w:tc>
        <w:tc>
          <w:tcPr>
            <w:tcW w:w="1324"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1931"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三亚市大东海岸段</w:t>
            </w:r>
          </w:p>
        </w:tc>
        <w:tc>
          <w:tcPr>
            <w:tcW w:w="1721" w:type="dxa"/>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三亚海洋站</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200</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230</w:t>
            </w:r>
          </w:p>
        </w:tc>
        <w:tc>
          <w:tcPr>
            <w:tcW w:w="1299"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265</w:t>
            </w:r>
          </w:p>
        </w:tc>
        <w:tc>
          <w:tcPr>
            <w:tcW w:w="1324"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1931"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三亚市三亚湾岸段</w:t>
            </w:r>
          </w:p>
        </w:tc>
        <w:tc>
          <w:tcPr>
            <w:tcW w:w="1721" w:type="dxa"/>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三亚海洋站</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200</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230</w:t>
            </w:r>
          </w:p>
        </w:tc>
        <w:tc>
          <w:tcPr>
            <w:tcW w:w="1299"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265</w:t>
            </w:r>
          </w:p>
        </w:tc>
        <w:tc>
          <w:tcPr>
            <w:tcW w:w="1324"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1931"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三亚市崖州湾岸段</w:t>
            </w:r>
          </w:p>
        </w:tc>
        <w:tc>
          <w:tcPr>
            <w:tcW w:w="1721" w:type="dxa"/>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崖州临时验潮站</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200</w:t>
            </w:r>
          </w:p>
        </w:tc>
        <w:tc>
          <w:tcPr>
            <w:tcW w:w="1297"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230</w:t>
            </w:r>
          </w:p>
        </w:tc>
        <w:tc>
          <w:tcPr>
            <w:tcW w:w="1299"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265</w:t>
            </w:r>
          </w:p>
        </w:tc>
        <w:tc>
          <w:tcPr>
            <w:tcW w:w="1324" w:type="dxa"/>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295</w:t>
            </w:r>
          </w:p>
        </w:tc>
      </w:tr>
    </w:tbl>
    <w:p>
      <w:pPr>
        <w:spacing w:line="570" w:lineRule="exact"/>
        <w:ind w:firstLine="400" w:firstLineChars="200"/>
        <w:rPr>
          <w:rFonts w:hint="default" w:ascii="Times New Roman" w:hAnsi="Times New Roman" w:cs="Times New Roman"/>
          <w:sz w:val="20"/>
          <w:szCs w:val="20"/>
        </w:rPr>
      </w:pPr>
      <w:r>
        <w:rPr>
          <w:rFonts w:hint="default" w:ascii="Times New Roman" w:hAnsi="Times New Roman" w:cs="Times New Roman"/>
          <w:sz w:val="20"/>
          <w:szCs w:val="20"/>
        </w:rPr>
        <w:t>注：引自《海南省海洋厅关于公布新核定的海南岛沿海50个岸段警戒潮位值的通告》；基面为1985国家高程基准。</w:t>
      </w:r>
      <w:r>
        <w:rPr>
          <w:rFonts w:hint="default" w:ascii="Times New Roman" w:hAnsi="Times New Roman" w:cs="Times New Roman"/>
          <w:sz w:val="20"/>
          <w:szCs w:val="20"/>
        </w:rPr>
        <w:br w:type="page"/>
      </w:r>
    </w:p>
    <w:p>
      <w:pPr>
        <w:pStyle w:val="3"/>
        <w:spacing w:line="570" w:lineRule="exact"/>
        <w:ind w:firstLine="0"/>
        <w:rPr>
          <w:rFonts w:hint="default" w:ascii="Times New Roman" w:hAnsi="Times New Roman" w:eastAsia="黑体" w:cs="Times New Roman"/>
        </w:rPr>
      </w:pPr>
      <w:bookmarkStart w:id="310" w:name="_Toc9299"/>
      <w:bookmarkStart w:id="311" w:name="_Toc17229"/>
      <w:r>
        <w:rPr>
          <w:rFonts w:hint="default" w:ascii="Times New Roman" w:hAnsi="Times New Roman" w:eastAsia="黑体" w:cs="Times New Roman"/>
        </w:rPr>
        <w:t>附录5</w:t>
      </w:r>
      <w:bookmarkEnd w:id="310"/>
      <w:bookmarkEnd w:id="311"/>
    </w:p>
    <w:p>
      <w:pPr>
        <w:pStyle w:val="3"/>
        <w:spacing w:line="570" w:lineRule="exact"/>
        <w:ind w:firstLine="0"/>
        <w:jc w:val="center"/>
        <w:rPr>
          <w:rFonts w:hint="default" w:ascii="Times New Roman" w:hAnsi="Times New Roman" w:eastAsia="仿宋_GB2312" w:cs="Times New Roman"/>
        </w:rPr>
      </w:pPr>
      <w:bookmarkStart w:id="312" w:name="_Toc22319"/>
      <w:bookmarkStart w:id="313" w:name="_Toc13743"/>
      <w:r>
        <w:rPr>
          <w:rFonts w:hint="default" w:ascii="Times New Roman" w:hAnsi="Times New Roman" w:eastAsia="仿宋_GB2312" w:cs="Times New Roman"/>
        </w:rPr>
        <w:t>三亚市海洋灾害防治区（重点防御区）一览</w:t>
      </w:r>
      <w:bookmarkEnd w:id="312"/>
      <w:bookmarkEnd w:id="313"/>
      <w:r>
        <w:rPr>
          <w:rFonts w:hint="default" w:ascii="Times New Roman" w:hAnsi="Times New Roman" w:eastAsia="仿宋_GB2312" w:cs="Times New Roman"/>
        </w:rPr>
        <w:t>表</w:t>
      </w:r>
    </w:p>
    <w:tbl>
      <w:tblPr>
        <w:tblStyle w:val="19"/>
        <w:tblW w:w="9059" w:type="dxa"/>
        <w:jc w:val="center"/>
        <w:tblInd w:w="0" w:type="dxa"/>
        <w:tblLayout w:type="fixed"/>
        <w:tblCellMar>
          <w:top w:w="0" w:type="dxa"/>
          <w:left w:w="108" w:type="dxa"/>
          <w:bottom w:w="0" w:type="dxa"/>
          <w:right w:w="108" w:type="dxa"/>
        </w:tblCellMar>
      </w:tblPr>
      <w:tblGrid>
        <w:gridCol w:w="1959"/>
        <w:gridCol w:w="7100"/>
      </w:tblGrid>
      <w:tr>
        <w:tblPrEx>
          <w:tblLayout w:type="fixed"/>
          <w:tblCellMar>
            <w:top w:w="0" w:type="dxa"/>
            <w:left w:w="108" w:type="dxa"/>
            <w:bottom w:w="0" w:type="dxa"/>
            <w:right w:w="108" w:type="dxa"/>
          </w:tblCellMar>
        </w:tblPrEx>
        <w:trPr>
          <w:cantSplit/>
          <w:trHeight w:val="330" w:hRule="atLeast"/>
          <w:tblHeader/>
          <w:jc w:val="center"/>
        </w:trPr>
        <w:tc>
          <w:tcPr>
            <w:tcW w:w="1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行政单元</w:t>
            </w:r>
          </w:p>
        </w:tc>
        <w:tc>
          <w:tcPr>
            <w:tcW w:w="7100" w:type="dxa"/>
            <w:tcBorders>
              <w:top w:val="single" w:color="000000" w:sz="4" w:space="0"/>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防御区名称</w:t>
            </w:r>
          </w:p>
        </w:tc>
      </w:tr>
      <w:tr>
        <w:tblPrEx>
          <w:tblLayout w:type="fixed"/>
          <w:tblCellMar>
            <w:top w:w="0" w:type="dxa"/>
            <w:left w:w="108" w:type="dxa"/>
            <w:bottom w:w="0" w:type="dxa"/>
            <w:right w:w="108" w:type="dxa"/>
          </w:tblCellMar>
        </w:tblPrEx>
        <w:trPr>
          <w:cantSplit/>
          <w:trHeight w:val="602" w:hRule="atLeast"/>
          <w:jc w:val="center"/>
        </w:trPr>
        <w:tc>
          <w:tcPr>
            <w:tcW w:w="1959" w:type="dxa"/>
            <w:vMerge w:val="restart"/>
            <w:tcBorders>
              <w:top w:val="nil"/>
              <w:left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三亚市海棠区</w:t>
            </w: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蜈支洲岛</w:t>
            </w:r>
          </w:p>
        </w:tc>
      </w:tr>
      <w:tr>
        <w:tblPrEx>
          <w:tblLayout w:type="fixed"/>
          <w:tblCellMar>
            <w:top w:w="0" w:type="dxa"/>
            <w:left w:w="108" w:type="dxa"/>
            <w:bottom w:w="0" w:type="dxa"/>
            <w:right w:w="108" w:type="dxa"/>
          </w:tblCellMar>
        </w:tblPrEx>
        <w:trPr>
          <w:cantSplit/>
          <w:trHeight w:val="602" w:hRule="atLeast"/>
          <w:jc w:val="center"/>
        </w:trPr>
        <w:tc>
          <w:tcPr>
            <w:tcW w:w="1959" w:type="dxa"/>
            <w:vMerge w:val="continue"/>
            <w:tcBorders>
              <w:left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东溪村</w:t>
            </w:r>
          </w:p>
        </w:tc>
      </w:tr>
      <w:tr>
        <w:tblPrEx>
          <w:tblLayout w:type="fixed"/>
          <w:tblCellMar>
            <w:top w:w="0" w:type="dxa"/>
            <w:left w:w="108" w:type="dxa"/>
            <w:bottom w:w="0" w:type="dxa"/>
            <w:right w:w="108" w:type="dxa"/>
          </w:tblCellMar>
        </w:tblPrEx>
        <w:trPr>
          <w:cantSplit/>
          <w:trHeight w:val="602" w:hRule="atLeast"/>
          <w:jc w:val="center"/>
        </w:trPr>
        <w:tc>
          <w:tcPr>
            <w:tcW w:w="1959" w:type="dxa"/>
            <w:vMerge w:val="continue"/>
            <w:tcBorders>
              <w:left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营头村</w:t>
            </w:r>
          </w:p>
        </w:tc>
      </w:tr>
      <w:tr>
        <w:tblPrEx>
          <w:tblLayout w:type="fixed"/>
          <w:tblCellMar>
            <w:top w:w="0" w:type="dxa"/>
            <w:left w:w="108" w:type="dxa"/>
            <w:bottom w:w="0" w:type="dxa"/>
            <w:right w:w="108" w:type="dxa"/>
          </w:tblCellMar>
        </w:tblPrEx>
        <w:trPr>
          <w:cantSplit/>
          <w:trHeight w:val="602" w:hRule="atLeast"/>
          <w:jc w:val="center"/>
        </w:trPr>
        <w:tc>
          <w:tcPr>
            <w:tcW w:w="1959"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腾海社区后海村</w:t>
            </w:r>
          </w:p>
        </w:tc>
      </w:tr>
      <w:tr>
        <w:tblPrEx>
          <w:tblLayout w:type="fixed"/>
          <w:tblCellMar>
            <w:top w:w="0" w:type="dxa"/>
            <w:left w:w="108" w:type="dxa"/>
            <w:bottom w:w="0" w:type="dxa"/>
            <w:right w:w="108" w:type="dxa"/>
          </w:tblCellMar>
        </w:tblPrEx>
        <w:trPr>
          <w:cantSplit/>
          <w:trHeight w:val="599" w:hRule="atLeast"/>
          <w:jc w:val="center"/>
        </w:trPr>
        <w:tc>
          <w:tcPr>
            <w:tcW w:w="1959" w:type="dxa"/>
            <w:vMerge w:val="restart"/>
            <w:tcBorders>
              <w:top w:val="nil"/>
              <w:left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三亚市吉阳区</w:t>
            </w: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鹿回头村</w:t>
            </w:r>
          </w:p>
        </w:tc>
      </w:tr>
      <w:tr>
        <w:tblPrEx>
          <w:tblLayout w:type="fixed"/>
          <w:tblCellMar>
            <w:top w:w="0" w:type="dxa"/>
            <w:left w:w="108" w:type="dxa"/>
            <w:bottom w:w="0" w:type="dxa"/>
            <w:right w:w="108" w:type="dxa"/>
          </w:tblCellMar>
        </w:tblPrEx>
        <w:trPr>
          <w:cantSplit/>
          <w:trHeight w:val="599" w:hRule="atLeast"/>
          <w:jc w:val="center"/>
        </w:trPr>
        <w:tc>
          <w:tcPr>
            <w:tcW w:w="1959"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榆亚路、安游路之间区域</w:t>
            </w:r>
          </w:p>
        </w:tc>
      </w:tr>
      <w:tr>
        <w:tblPrEx>
          <w:tblLayout w:type="fixed"/>
          <w:tblCellMar>
            <w:top w:w="0" w:type="dxa"/>
            <w:left w:w="108" w:type="dxa"/>
            <w:bottom w:w="0" w:type="dxa"/>
            <w:right w:w="108" w:type="dxa"/>
          </w:tblCellMar>
        </w:tblPrEx>
        <w:trPr>
          <w:cantSplit/>
          <w:trHeight w:val="732" w:hRule="atLeast"/>
          <w:jc w:val="center"/>
        </w:trPr>
        <w:tc>
          <w:tcPr>
            <w:tcW w:w="1959" w:type="dxa"/>
            <w:vMerge w:val="restart"/>
            <w:tcBorders>
              <w:top w:val="nil"/>
              <w:left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三亚市天涯区</w:t>
            </w: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三亚河口两岸</w:t>
            </w:r>
          </w:p>
        </w:tc>
      </w:tr>
      <w:tr>
        <w:tblPrEx>
          <w:tblLayout w:type="fixed"/>
          <w:tblCellMar>
            <w:top w:w="0" w:type="dxa"/>
            <w:left w:w="108" w:type="dxa"/>
            <w:bottom w:w="0" w:type="dxa"/>
            <w:right w:w="108" w:type="dxa"/>
          </w:tblCellMar>
        </w:tblPrEx>
        <w:trPr>
          <w:cantSplit/>
          <w:trHeight w:val="731" w:hRule="atLeast"/>
          <w:jc w:val="center"/>
        </w:trPr>
        <w:tc>
          <w:tcPr>
            <w:tcW w:w="1959"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西岛社区</w:t>
            </w:r>
          </w:p>
        </w:tc>
      </w:tr>
      <w:tr>
        <w:tblPrEx>
          <w:tblLayout w:type="fixed"/>
          <w:tblCellMar>
            <w:top w:w="0" w:type="dxa"/>
            <w:left w:w="108" w:type="dxa"/>
            <w:bottom w:w="0" w:type="dxa"/>
            <w:right w:w="108" w:type="dxa"/>
          </w:tblCellMar>
        </w:tblPrEx>
        <w:trPr>
          <w:cantSplit/>
          <w:trHeight w:val="719" w:hRule="atLeast"/>
          <w:jc w:val="center"/>
        </w:trPr>
        <w:tc>
          <w:tcPr>
            <w:tcW w:w="1959" w:type="dxa"/>
            <w:tcBorders>
              <w:top w:val="nil"/>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三亚市崖州区</w:t>
            </w:r>
          </w:p>
        </w:tc>
        <w:tc>
          <w:tcPr>
            <w:tcW w:w="7100" w:type="dxa"/>
            <w:tcBorders>
              <w:top w:val="nil"/>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镇海村</w:t>
            </w:r>
          </w:p>
        </w:tc>
      </w:tr>
    </w:tbl>
    <w:p>
      <w:pPr>
        <w:spacing w:line="570" w:lineRule="exact"/>
        <w:ind w:firstLine="400" w:firstLineChars="200"/>
        <w:rPr>
          <w:rFonts w:hint="default" w:ascii="Times New Roman" w:hAnsi="Times New Roman" w:cs="Times New Roman"/>
          <w:sz w:val="32"/>
          <w:szCs w:val="32"/>
        </w:rPr>
      </w:pPr>
      <w:r>
        <w:rPr>
          <w:rFonts w:hint="default" w:ascii="Times New Roman" w:hAnsi="Times New Roman" w:cs="Times New Roman"/>
          <w:kern w:val="0"/>
          <w:sz w:val="20"/>
          <w:szCs w:val="20"/>
        </w:rPr>
        <w:t>注：引自《海南省海洋灾害风险普查——风险评估与区划和重点防御区划定 三亚市海洋灾害防治区（重点防御区）规划技术报告》海南省自然资源和规划厅（2022年11月30日）。</w:t>
      </w:r>
      <w:r>
        <w:rPr>
          <w:rFonts w:hint="default" w:ascii="Times New Roman" w:hAnsi="Times New Roman" w:cs="Times New Roman"/>
          <w:sz w:val="32"/>
          <w:szCs w:val="32"/>
        </w:rPr>
        <w:br w:type="page"/>
      </w:r>
    </w:p>
    <w:p>
      <w:pPr>
        <w:pStyle w:val="3"/>
        <w:spacing w:line="570" w:lineRule="exact"/>
        <w:ind w:firstLine="0"/>
        <w:rPr>
          <w:rFonts w:hint="default" w:ascii="Times New Roman" w:hAnsi="Times New Roman" w:eastAsia="黑体" w:cs="Times New Roman"/>
        </w:rPr>
      </w:pPr>
      <w:bookmarkStart w:id="314" w:name="_Toc14347"/>
      <w:bookmarkStart w:id="315" w:name="_Toc23774"/>
      <w:r>
        <w:rPr>
          <w:rFonts w:hint="default" w:ascii="Times New Roman" w:hAnsi="Times New Roman" w:eastAsia="黑体" w:cs="Times New Roman"/>
        </w:rPr>
        <w:t>附录</w:t>
      </w:r>
      <w:bookmarkEnd w:id="314"/>
      <w:r>
        <w:rPr>
          <w:rFonts w:hint="default" w:ascii="Times New Roman" w:hAnsi="Times New Roman" w:eastAsia="黑体" w:cs="Times New Roman"/>
        </w:rPr>
        <w:t>6</w:t>
      </w:r>
      <w:bookmarkEnd w:id="315"/>
    </w:p>
    <w:p>
      <w:pPr>
        <w:pStyle w:val="3"/>
        <w:spacing w:line="570" w:lineRule="exact"/>
        <w:ind w:firstLine="0"/>
        <w:jc w:val="center"/>
        <w:rPr>
          <w:rFonts w:hint="default" w:ascii="Times New Roman" w:hAnsi="Times New Roman" w:eastAsia="仿宋_GB2312" w:cs="Times New Roman"/>
        </w:rPr>
      </w:pPr>
      <w:bookmarkStart w:id="316" w:name="_Toc9269"/>
      <w:bookmarkStart w:id="317" w:name="_Toc28969"/>
      <w:r>
        <w:rPr>
          <w:rFonts w:hint="default" w:ascii="Times New Roman" w:hAnsi="Times New Roman" w:eastAsia="仿宋_GB2312" w:cs="Times New Roman"/>
        </w:rPr>
        <w:t>三亚市沿海低洼地区分布一览</w:t>
      </w:r>
      <w:bookmarkEnd w:id="316"/>
      <w:bookmarkEnd w:id="317"/>
      <w:r>
        <w:rPr>
          <w:rFonts w:hint="default" w:ascii="Times New Roman" w:hAnsi="Times New Roman" w:eastAsia="仿宋_GB2312" w:cs="Times New Roman"/>
        </w:rPr>
        <w:t>表</w:t>
      </w:r>
    </w:p>
    <w:tbl>
      <w:tblPr>
        <w:tblStyle w:val="19"/>
        <w:tblW w:w="9059" w:type="dxa"/>
        <w:jc w:val="center"/>
        <w:tblInd w:w="0" w:type="dxa"/>
        <w:tblLayout w:type="fixed"/>
        <w:tblCellMar>
          <w:top w:w="0" w:type="dxa"/>
          <w:left w:w="108" w:type="dxa"/>
          <w:bottom w:w="0" w:type="dxa"/>
          <w:right w:w="108" w:type="dxa"/>
        </w:tblCellMar>
      </w:tblPr>
      <w:tblGrid>
        <w:gridCol w:w="920"/>
        <w:gridCol w:w="8139"/>
      </w:tblGrid>
      <w:tr>
        <w:tblPrEx>
          <w:tblLayout w:type="fixed"/>
          <w:tblCellMar>
            <w:top w:w="0" w:type="dxa"/>
            <w:left w:w="108" w:type="dxa"/>
            <w:bottom w:w="0" w:type="dxa"/>
            <w:right w:w="108" w:type="dxa"/>
          </w:tblCellMar>
        </w:tblPrEx>
        <w:trPr>
          <w:trHeight w:val="330" w:hRule="atLeast"/>
          <w:jc w:val="center"/>
        </w:trPr>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区划</w:t>
            </w:r>
          </w:p>
        </w:tc>
        <w:tc>
          <w:tcPr>
            <w:tcW w:w="8139" w:type="dxa"/>
            <w:tcBorders>
              <w:top w:val="single" w:color="000000" w:sz="4" w:space="0"/>
              <w:left w:val="nil"/>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社区（村）名称</w:t>
            </w:r>
          </w:p>
        </w:tc>
      </w:tr>
      <w:tr>
        <w:tblPrEx>
          <w:tblLayout w:type="fixed"/>
          <w:tblCellMar>
            <w:top w:w="0" w:type="dxa"/>
            <w:left w:w="108" w:type="dxa"/>
            <w:bottom w:w="0" w:type="dxa"/>
            <w:right w:w="108" w:type="dxa"/>
          </w:tblCellMar>
        </w:tblPrEx>
        <w:trPr>
          <w:trHeight w:val="619" w:hRule="atLeast"/>
          <w:jc w:val="center"/>
        </w:trPr>
        <w:tc>
          <w:tcPr>
            <w:tcW w:w="920" w:type="dxa"/>
            <w:tcBorders>
              <w:top w:val="nil"/>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崖州区</w:t>
            </w:r>
          </w:p>
        </w:tc>
        <w:tc>
          <w:tcPr>
            <w:tcW w:w="8139" w:type="dxa"/>
            <w:tcBorders>
              <w:top w:val="nil"/>
              <w:left w:val="nil"/>
              <w:bottom w:val="single" w:color="000000" w:sz="4" w:space="0"/>
              <w:right w:val="single" w:color="000000" w:sz="4" w:space="0"/>
            </w:tcBorders>
            <w:shd w:val="clear" w:color="auto" w:fill="auto"/>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中灶村、临高村、乾隆村、保平村、保港居民区、凤岭村、城西村、大旦村、新庄村、水南村、海村、海棠村、港门村、盐灶村</w:t>
            </w:r>
          </w:p>
        </w:tc>
      </w:tr>
      <w:tr>
        <w:tblPrEx>
          <w:tblLayout w:type="fixed"/>
          <w:tblCellMar>
            <w:top w:w="0" w:type="dxa"/>
            <w:left w:w="108" w:type="dxa"/>
            <w:bottom w:w="0" w:type="dxa"/>
            <w:right w:w="108" w:type="dxa"/>
          </w:tblCellMar>
        </w:tblPrEx>
        <w:trPr>
          <w:trHeight w:val="986" w:hRule="atLeast"/>
          <w:jc w:val="center"/>
        </w:trPr>
        <w:tc>
          <w:tcPr>
            <w:tcW w:w="920" w:type="dxa"/>
            <w:tcBorders>
              <w:top w:val="nil"/>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吉阳区</w:t>
            </w:r>
          </w:p>
        </w:tc>
        <w:tc>
          <w:tcPr>
            <w:tcW w:w="8139" w:type="dxa"/>
            <w:tcBorders>
              <w:top w:val="nil"/>
              <w:left w:val="nil"/>
              <w:bottom w:val="single" w:color="000000" w:sz="4" w:space="0"/>
              <w:right w:val="single" w:color="000000" w:sz="4" w:space="0"/>
            </w:tcBorders>
            <w:shd w:val="clear" w:color="auto" w:fill="auto"/>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吉阳区：六道村、安罗村、干沟村、新村、榆亚盐场、榆红村、河东区管委会、河东区红郊、河西区管委会、红土坎村、红郊居六道村、安罗村、干沟村、新村、榆亚盐场、榆红村、河东区管委会、河东区红郊、河西区管委会、红土坎村、红郊居</w:t>
            </w:r>
          </w:p>
        </w:tc>
      </w:tr>
      <w:tr>
        <w:tblPrEx>
          <w:tblLayout w:type="fixed"/>
          <w:tblCellMar>
            <w:top w:w="0" w:type="dxa"/>
            <w:left w:w="108" w:type="dxa"/>
            <w:bottom w:w="0" w:type="dxa"/>
            <w:right w:w="108" w:type="dxa"/>
          </w:tblCellMar>
        </w:tblPrEx>
        <w:trPr>
          <w:trHeight w:val="419" w:hRule="atLeast"/>
          <w:jc w:val="center"/>
        </w:trPr>
        <w:tc>
          <w:tcPr>
            <w:tcW w:w="920" w:type="dxa"/>
            <w:tcBorders>
              <w:top w:val="nil"/>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海棠区</w:t>
            </w:r>
          </w:p>
        </w:tc>
        <w:tc>
          <w:tcPr>
            <w:tcW w:w="8139" w:type="dxa"/>
            <w:tcBorders>
              <w:top w:val="nil"/>
              <w:left w:val="nil"/>
              <w:bottom w:val="single" w:color="000000" w:sz="4" w:space="0"/>
              <w:right w:val="single" w:color="000000" w:sz="4" w:space="0"/>
            </w:tcBorders>
            <w:shd w:val="clear" w:color="auto" w:fill="auto"/>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东溪村、南田农场、建成区、椰林村、海丰村、营头村、藤桥村、龙楼村</w:t>
            </w:r>
          </w:p>
        </w:tc>
      </w:tr>
      <w:tr>
        <w:tblPrEx>
          <w:tblLayout w:type="fixed"/>
          <w:tblCellMar>
            <w:top w:w="0" w:type="dxa"/>
            <w:left w:w="108" w:type="dxa"/>
            <w:bottom w:w="0" w:type="dxa"/>
            <w:right w:w="108" w:type="dxa"/>
          </w:tblCellMar>
        </w:tblPrEx>
        <w:trPr>
          <w:trHeight w:val="268" w:hRule="atLeast"/>
          <w:jc w:val="center"/>
        </w:trPr>
        <w:tc>
          <w:tcPr>
            <w:tcW w:w="920" w:type="dxa"/>
            <w:tcBorders>
              <w:top w:val="nil"/>
              <w:left w:val="single" w:color="000000" w:sz="4" w:space="0"/>
              <w:bottom w:val="single" w:color="000000" w:sz="4" w:space="0"/>
              <w:right w:val="single" w:color="000000" w:sz="4" w:space="0"/>
            </w:tcBorders>
            <w:shd w:val="clear" w:color="auto" w:fill="auto"/>
            <w:vAlign w:val="center"/>
          </w:tcPr>
          <w:p>
            <w:pPr>
              <w:widowControl/>
              <w:spacing w:line="57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w:t>
            </w:r>
          </w:p>
        </w:tc>
        <w:tc>
          <w:tcPr>
            <w:tcW w:w="8139" w:type="dxa"/>
            <w:tcBorders>
              <w:top w:val="nil"/>
              <w:left w:val="nil"/>
              <w:bottom w:val="single" w:color="000000" w:sz="4" w:space="0"/>
              <w:right w:val="single" w:color="000000" w:sz="4" w:space="0"/>
            </w:tcBorders>
            <w:shd w:val="clear" w:color="auto" w:fill="auto"/>
            <w:vAlign w:val="center"/>
          </w:tcPr>
          <w:p>
            <w:pPr>
              <w:widowControl/>
              <w:spacing w:line="57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南新农场、河东区管委会、河西区管委会</w:t>
            </w:r>
          </w:p>
        </w:tc>
      </w:tr>
    </w:tbl>
    <w:p>
      <w:pPr>
        <w:widowControl/>
        <w:spacing w:line="570" w:lineRule="exact"/>
        <w:ind w:firstLine="400" w:firstLineChars="20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注：引自《海南省海洋灾害风险普查——风险评估与区划和重点防御区划定 三亚市风暴潮灾害风险评估和区划技术报告》海南省自然资源和规划厅（2022年11月30日）。</w:t>
      </w:r>
    </w:p>
    <w:p>
      <w:pPr>
        <w:pStyle w:val="7"/>
        <w:spacing w:line="570" w:lineRule="exact"/>
        <w:ind w:firstLine="560" w:firstLineChars="200"/>
        <w:rPr>
          <w:rFonts w:hint="default" w:ascii="Times New Roman" w:hAnsi="Times New Roman" w:cs="Times New Roman"/>
        </w:rPr>
      </w:pPr>
      <w:r>
        <w:rPr>
          <w:rFonts w:hint="default" w:ascii="Times New Roman" w:hAnsi="Times New Roman" w:cs="Times New Roman"/>
        </w:rPr>
        <w:br w:type="page"/>
      </w:r>
    </w:p>
    <w:p>
      <w:pPr>
        <w:pStyle w:val="3"/>
        <w:spacing w:line="570" w:lineRule="exact"/>
        <w:ind w:firstLine="0"/>
        <w:rPr>
          <w:rFonts w:hint="default" w:ascii="Times New Roman" w:hAnsi="Times New Roman" w:eastAsia="黑体" w:cs="Times New Roman"/>
        </w:rPr>
      </w:pPr>
      <w:bookmarkStart w:id="318" w:name="_Toc8706"/>
      <w:bookmarkStart w:id="319" w:name="_Toc27508"/>
      <w:r>
        <w:rPr>
          <w:rFonts w:hint="default" w:ascii="Times New Roman" w:hAnsi="Times New Roman" w:eastAsia="黑体" w:cs="Times New Roman"/>
        </w:rPr>
        <w:t>附录</w:t>
      </w:r>
      <w:bookmarkEnd w:id="318"/>
      <w:r>
        <w:rPr>
          <w:rFonts w:hint="default" w:ascii="Times New Roman" w:hAnsi="Times New Roman" w:eastAsia="黑体" w:cs="Times New Roman"/>
        </w:rPr>
        <w:t>7</w:t>
      </w:r>
      <w:bookmarkEnd w:id="319"/>
    </w:p>
    <w:p>
      <w:pPr>
        <w:pStyle w:val="3"/>
        <w:spacing w:line="570" w:lineRule="exact"/>
        <w:ind w:firstLine="0"/>
        <w:jc w:val="center"/>
        <w:rPr>
          <w:rFonts w:hint="default" w:ascii="Times New Roman" w:hAnsi="Times New Roman" w:eastAsia="仿宋_GB2312" w:cs="Times New Roman"/>
        </w:rPr>
      </w:pPr>
      <w:bookmarkStart w:id="320" w:name="_Toc543"/>
      <w:bookmarkStart w:id="321" w:name="_Toc7116"/>
      <w:r>
        <w:rPr>
          <w:rFonts w:hint="default" w:ascii="Times New Roman" w:hAnsi="Times New Roman" w:eastAsia="仿宋_GB2312" w:cs="Times New Roman"/>
        </w:rPr>
        <w:t>三亚市应急疏散点位置信息</w:t>
      </w:r>
      <w:bookmarkEnd w:id="320"/>
      <w:bookmarkEnd w:id="321"/>
      <w:r>
        <w:rPr>
          <w:rFonts w:hint="default" w:ascii="Times New Roman" w:hAnsi="Times New Roman" w:eastAsia="仿宋_GB2312" w:cs="Times New Roman"/>
        </w:rPr>
        <w:t>表</w:t>
      </w:r>
    </w:p>
    <w:tbl>
      <w:tblPr>
        <w:tblStyle w:val="19"/>
        <w:tblW w:w="9061" w:type="dxa"/>
        <w:jc w:val="center"/>
        <w:tblInd w:w="0" w:type="dxa"/>
        <w:tblLayout w:type="fixed"/>
        <w:tblCellMar>
          <w:top w:w="0" w:type="dxa"/>
          <w:left w:w="108" w:type="dxa"/>
          <w:bottom w:w="0" w:type="dxa"/>
          <w:right w:w="108" w:type="dxa"/>
        </w:tblCellMar>
      </w:tblPr>
      <w:tblGrid>
        <w:gridCol w:w="973"/>
        <w:gridCol w:w="4547"/>
        <w:gridCol w:w="1765"/>
        <w:gridCol w:w="939"/>
        <w:gridCol w:w="837"/>
      </w:tblGrid>
      <w:tr>
        <w:tblPrEx>
          <w:tblLayout w:type="fixed"/>
          <w:tblCellMar>
            <w:top w:w="0" w:type="dxa"/>
            <w:left w:w="108" w:type="dxa"/>
            <w:bottom w:w="0" w:type="dxa"/>
            <w:right w:w="108" w:type="dxa"/>
          </w:tblCellMar>
        </w:tblPrEx>
        <w:trPr>
          <w:cantSplit/>
          <w:trHeight w:val="552" w:hRule="atLeast"/>
          <w:tblHeader/>
          <w:jc w:val="center"/>
        </w:trPr>
        <w:tc>
          <w:tcPr>
            <w:tcW w:w="973"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hint="default" w:ascii="Times New Roman" w:hAnsi="Times New Roman" w:cs="Times New Roman"/>
                <w:b/>
                <w:bCs w:val="0"/>
                <w:kern w:val="0"/>
                <w:sz w:val="20"/>
                <w:szCs w:val="20"/>
              </w:rPr>
            </w:pPr>
            <w:r>
              <w:rPr>
                <w:rFonts w:hint="default" w:ascii="Times New Roman" w:hAnsi="Times New Roman" w:cs="Times New Roman"/>
                <w:b/>
                <w:bCs w:val="0"/>
                <w:kern w:val="0"/>
                <w:sz w:val="20"/>
                <w:szCs w:val="20"/>
              </w:rPr>
              <w:t>编号</w:t>
            </w:r>
          </w:p>
        </w:tc>
        <w:tc>
          <w:tcPr>
            <w:tcW w:w="45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70" w:lineRule="exact"/>
              <w:jc w:val="center"/>
              <w:rPr>
                <w:rFonts w:hint="default" w:ascii="Times New Roman" w:hAnsi="Times New Roman" w:cs="Times New Roman"/>
                <w:b/>
                <w:bCs w:val="0"/>
                <w:kern w:val="0"/>
                <w:sz w:val="20"/>
                <w:szCs w:val="20"/>
              </w:rPr>
            </w:pPr>
            <w:r>
              <w:rPr>
                <w:rFonts w:hint="default" w:ascii="Times New Roman" w:hAnsi="Times New Roman" w:cs="Times New Roman"/>
                <w:b/>
                <w:bCs w:val="0"/>
                <w:kern w:val="0"/>
                <w:sz w:val="20"/>
                <w:szCs w:val="20"/>
              </w:rPr>
              <w:t>地址</w:t>
            </w:r>
          </w:p>
        </w:tc>
        <w:tc>
          <w:tcPr>
            <w:tcW w:w="1765" w:type="dxa"/>
            <w:tcBorders>
              <w:top w:val="single" w:color="auto" w:sz="4" w:space="0"/>
              <w:left w:val="nil"/>
              <w:bottom w:val="single" w:color="auto" w:sz="4" w:space="0"/>
              <w:right w:val="single" w:color="auto" w:sz="4" w:space="0"/>
            </w:tcBorders>
            <w:shd w:val="clear" w:color="auto" w:fill="auto"/>
            <w:vAlign w:val="center"/>
          </w:tcPr>
          <w:p>
            <w:pPr>
              <w:widowControl/>
              <w:spacing w:line="570" w:lineRule="exact"/>
              <w:jc w:val="center"/>
              <w:rPr>
                <w:rFonts w:hint="default" w:ascii="Times New Roman" w:hAnsi="Times New Roman" w:cs="Times New Roman"/>
                <w:b/>
                <w:bCs w:val="0"/>
                <w:kern w:val="0"/>
                <w:sz w:val="20"/>
                <w:szCs w:val="20"/>
              </w:rPr>
            </w:pPr>
            <w:r>
              <w:rPr>
                <w:rFonts w:hint="default" w:ascii="Times New Roman" w:hAnsi="Times New Roman" w:cs="Times New Roman"/>
                <w:b/>
                <w:bCs w:val="0"/>
                <w:kern w:val="0"/>
                <w:sz w:val="20"/>
                <w:szCs w:val="20"/>
              </w:rPr>
              <w:t>乡镇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570" w:lineRule="exact"/>
              <w:jc w:val="center"/>
              <w:rPr>
                <w:rFonts w:hint="default" w:ascii="Times New Roman" w:hAnsi="Times New Roman" w:cs="Times New Roman"/>
                <w:b/>
                <w:bCs w:val="0"/>
                <w:kern w:val="0"/>
                <w:sz w:val="20"/>
                <w:szCs w:val="20"/>
              </w:rPr>
            </w:pPr>
            <w:r>
              <w:rPr>
                <w:rFonts w:hint="default" w:ascii="Times New Roman" w:hAnsi="Times New Roman" w:cs="Times New Roman"/>
                <w:b/>
                <w:bCs w:val="0"/>
                <w:kern w:val="0"/>
                <w:sz w:val="20"/>
                <w:szCs w:val="20"/>
              </w:rPr>
              <w:t>经度</w:t>
            </w:r>
          </w:p>
        </w:tc>
        <w:tc>
          <w:tcPr>
            <w:tcW w:w="837" w:type="dxa"/>
            <w:tcBorders>
              <w:top w:val="single" w:color="auto" w:sz="4" w:space="0"/>
              <w:left w:val="nil"/>
              <w:bottom w:val="single" w:color="auto" w:sz="4" w:space="0"/>
              <w:right w:val="single" w:color="auto" w:sz="4" w:space="0"/>
            </w:tcBorders>
            <w:shd w:val="clear" w:color="auto" w:fill="auto"/>
            <w:vAlign w:val="center"/>
          </w:tcPr>
          <w:p>
            <w:pPr>
              <w:widowControl/>
              <w:spacing w:line="570" w:lineRule="exact"/>
              <w:jc w:val="center"/>
              <w:rPr>
                <w:rFonts w:hint="default" w:ascii="Times New Roman" w:hAnsi="Times New Roman" w:cs="Times New Roman"/>
                <w:b/>
                <w:bCs w:val="0"/>
                <w:kern w:val="0"/>
                <w:sz w:val="20"/>
                <w:szCs w:val="20"/>
              </w:rPr>
            </w:pPr>
            <w:r>
              <w:rPr>
                <w:rFonts w:hint="default" w:ascii="Times New Roman" w:hAnsi="Times New Roman" w:cs="Times New Roman"/>
                <w:b/>
                <w:bCs w:val="0"/>
                <w:kern w:val="0"/>
                <w:sz w:val="20"/>
                <w:szCs w:val="20"/>
              </w:rPr>
              <w:t>纬度</w:t>
            </w:r>
          </w:p>
        </w:tc>
      </w:tr>
      <w:tr>
        <w:tblPrEx>
          <w:tblLayout w:type="fixed"/>
          <w:tblCellMar>
            <w:top w:w="0" w:type="dxa"/>
            <w:left w:w="108" w:type="dxa"/>
            <w:bottom w:w="0" w:type="dxa"/>
            <w:right w:w="108" w:type="dxa"/>
          </w:tblCellMar>
        </w:tblPrEx>
        <w:trPr>
          <w:cantSplit/>
          <w:trHeight w:val="960" w:hRule="atLeast"/>
          <w:jc w:val="center"/>
        </w:trPr>
        <w:tc>
          <w:tcPr>
            <w:tcW w:w="973"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cs="Times New Roman"/>
                <w:bCs w:val="0"/>
                <w:kern w:val="0"/>
                <w:sz w:val="20"/>
                <w:szCs w:val="20"/>
              </w:rPr>
            </w:pPr>
            <w:r>
              <w:rPr>
                <w:rFonts w:hint="default" w:ascii="Times New Roman" w:hAnsi="Times New Roman" w:cs="Times New Roman"/>
                <w:sz w:val="20"/>
                <w:szCs w:val="20"/>
              </w:rPr>
              <w:t>疏散点1</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海南省三亚市崖州区崖州湾深海科技城裕民路（寰岛实验小学旁）</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崖州区直辖村级区划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109.161</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18.335</w:t>
            </w:r>
          </w:p>
        </w:tc>
      </w:tr>
      <w:tr>
        <w:tblPrEx>
          <w:tblLayout w:type="fixed"/>
          <w:tblCellMar>
            <w:top w:w="0" w:type="dxa"/>
            <w:left w:w="108" w:type="dxa"/>
            <w:bottom w:w="0" w:type="dxa"/>
            <w:right w:w="108" w:type="dxa"/>
          </w:tblCellMar>
        </w:tblPrEx>
        <w:trPr>
          <w:cantSplit/>
          <w:trHeight w:val="942"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疏散点2</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海南省三亚市崖州区南滨兴滨大道119号</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崖州区直辖村级区划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109.174</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18.353</w:t>
            </w:r>
          </w:p>
        </w:tc>
      </w:tr>
      <w:tr>
        <w:tblPrEx>
          <w:tblLayout w:type="fixed"/>
          <w:tblCellMar>
            <w:top w:w="0" w:type="dxa"/>
            <w:left w:w="108" w:type="dxa"/>
            <w:bottom w:w="0" w:type="dxa"/>
            <w:right w:w="108" w:type="dxa"/>
          </w:tblCellMar>
        </w:tblPrEx>
        <w:trPr>
          <w:cantSplit/>
          <w:trHeight w:val="942"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疏散点3</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海南省三亚市崖州区崖州湾深海科技城裕民路</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崖州区直辖村级区划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109.163</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18.336</w:t>
            </w:r>
          </w:p>
        </w:tc>
      </w:tr>
      <w:tr>
        <w:tblPrEx>
          <w:tblLayout w:type="fixed"/>
          <w:tblCellMar>
            <w:top w:w="0" w:type="dxa"/>
            <w:left w:w="108" w:type="dxa"/>
            <w:bottom w:w="0" w:type="dxa"/>
            <w:right w:w="108" w:type="dxa"/>
          </w:tblCellMar>
        </w:tblPrEx>
        <w:trPr>
          <w:cantSplit/>
          <w:trHeight w:val="960"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疏散点4</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海南省三亚市崖州区南山村委会旁</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崖州区直辖村级区划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109.182</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18.321</w:t>
            </w:r>
          </w:p>
        </w:tc>
      </w:tr>
      <w:tr>
        <w:tblPrEx>
          <w:tblLayout w:type="fixed"/>
          <w:tblCellMar>
            <w:top w:w="0" w:type="dxa"/>
            <w:left w:w="108" w:type="dxa"/>
            <w:bottom w:w="0" w:type="dxa"/>
            <w:right w:w="108" w:type="dxa"/>
          </w:tblCellMar>
        </w:tblPrEx>
        <w:trPr>
          <w:cantSplit/>
          <w:trHeight w:val="942"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疏散点5</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海南省三亚市崖州区崖城水南新村二中内楼下</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崖州区直辖村级区划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109.176</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18.365</w:t>
            </w:r>
          </w:p>
        </w:tc>
      </w:tr>
      <w:tr>
        <w:tblPrEx>
          <w:tblLayout w:type="fixed"/>
          <w:tblCellMar>
            <w:top w:w="0" w:type="dxa"/>
            <w:left w:w="108" w:type="dxa"/>
            <w:bottom w:w="0" w:type="dxa"/>
            <w:right w:w="108" w:type="dxa"/>
          </w:tblCellMar>
        </w:tblPrEx>
        <w:trPr>
          <w:cantSplit/>
          <w:trHeight w:val="942"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疏散点6</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海南省三亚市崖州区北岭小学</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崖州区直辖村级区划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109.178</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18.426</w:t>
            </w:r>
          </w:p>
        </w:tc>
      </w:tr>
      <w:tr>
        <w:tblPrEx>
          <w:tblLayout w:type="fixed"/>
          <w:tblCellMar>
            <w:top w:w="0" w:type="dxa"/>
            <w:left w:w="108" w:type="dxa"/>
            <w:bottom w:w="0" w:type="dxa"/>
            <w:right w:w="108" w:type="dxa"/>
          </w:tblCellMar>
        </w:tblPrEx>
        <w:trPr>
          <w:cantSplit/>
          <w:trHeight w:val="960"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疏散点7</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海南省三亚市崖州区 G225 国道</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崖州区直辖村级区划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109.013</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18.368</w:t>
            </w:r>
          </w:p>
        </w:tc>
      </w:tr>
      <w:tr>
        <w:tblPrEx>
          <w:tblLayout w:type="fixed"/>
          <w:tblCellMar>
            <w:top w:w="0" w:type="dxa"/>
            <w:left w:w="108" w:type="dxa"/>
            <w:bottom w:w="0" w:type="dxa"/>
            <w:right w:w="108" w:type="dxa"/>
          </w:tblCellMar>
        </w:tblPrEx>
        <w:trPr>
          <w:cantSplit/>
          <w:trHeight w:val="942"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疏散点8</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海南省三亚市天涯区妙林村委会鹅仔村</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109.474</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18.313</w:t>
            </w:r>
          </w:p>
        </w:tc>
      </w:tr>
      <w:tr>
        <w:tblPrEx>
          <w:tblLayout w:type="fixed"/>
          <w:tblCellMar>
            <w:top w:w="0" w:type="dxa"/>
            <w:left w:w="108" w:type="dxa"/>
            <w:bottom w:w="0" w:type="dxa"/>
            <w:right w:w="108" w:type="dxa"/>
          </w:tblCellMar>
        </w:tblPrEx>
        <w:trPr>
          <w:cantSplit/>
          <w:trHeight w:val="942"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疏散点9</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海南省三亚市天涯区槟榔河三队</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109.48</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18.314</w:t>
            </w:r>
          </w:p>
        </w:tc>
      </w:tr>
      <w:tr>
        <w:tblPrEx>
          <w:tblLayout w:type="fixed"/>
          <w:tblCellMar>
            <w:top w:w="0" w:type="dxa"/>
            <w:left w:w="108" w:type="dxa"/>
            <w:bottom w:w="0" w:type="dxa"/>
            <w:right w:w="108" w:type="dxa"/>
          </w:tblCellMar>
        </w:tblPrEx>
        <w:trPr>
          <w:cantSplit/>
          <w:trHeight w:val="960"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疏散点10</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海南省三亚市天涯区槟榔河二队</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109.478</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18.315</w:t>
            </w:r>
          </w:p>
        </w:tc>
      </w:tr>
      <w:tr>
        <w:tblPrEx>
          <w:tblLayout w:type="fixed"/>
          <w:tblCellMar>
            <w:top w:w="0" w:type="dxa"/>
            <w:left w:w="108" w:type="dxa"/>
            <w:bottom w:w="0" w:type="dxa"/>
            <w:right w:w="108" w:type="dxa"/>
          </w:tblCellMar>
        </w:tblPrEx>
        <w:trPr>
          <w:cantSplit/>
          <w:trHeight w:val="942"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疏散点11</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海南省三亚市天涯区过岭村委会过岭小学</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109.346</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18.338</w:t>
            </w:r>
          </w:p>
        </w:tc>
      </w:tr>
      <w:tr>
        <w:tblPrEx>
          <w:tblLayout w:type="fixed"/>
          <w:tblCellMar>
            <w:top w:w="0" w:type="dxa"/>
            <w:left w:w="108" w:type="dxa"/>
            <w:bottom w:w="0" w:type="dxa"/>
            <w:right w:w="108" w:type="dxa"/>
          </w:tblCellMar>
        </w:tblPrEx>
        <w:trPr>
          <w:cantSplit/>
          <w:trHeight w:val="942"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疏散点12</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海南省三亚市天涯区水蛟村委会茅村文化室</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109.446</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18.340</w:t>
            </w:r>
          </w:p>
        </w:tc>
      </w:tr>
      <w:tr>
        <w:tblPrEx>
          <w:tblLayout w:type="fixed"/>
          <w:tblCellMar>
            <w:top w:w="0" w:type="dxa"/>
            <w:left w:w="108" w:type="dxa"/>
            <w:bottom w:w="0" w:type="dxa"/>
            <w:right w:w="108" w:type="dxa"/>
          </w:tblCellMar>
        </w:tblPrEx>
        <w:trPr>
          <w:cantSplit/>
          <w:trHeight w:val="960"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疏散点13</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海南省三亚市天涯区抱前村委会干沟一小组文化室</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109.442</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18.384</w:t>
            </w:r>
          </w:p>
        </w:tc>
      </w:tr>
      <w:tr>
        <w:tblPrEx>
          <w:tblLayout w:type="fixed"/>
          <w:tblCellMar>
            <w:top w:w="0" w:type="dxa"/>
            <w:left w:w="108" w:type="dxa"/>
            <w:bottom w:w="0" w:type="dxa"/>
            <w:right w:w="108" w:type="dxa"/>
          </w:tblCellMar>
        </w:tblPrEx>
        <w:trPr>
          <w:cantSplit/>
          <w:trHeight w:val="660"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疏散点14</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海南省三亚市天涯区抱前村委会上头小组文化室</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109.427</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18.400</w:t>
            </w:r>
          </w:p>
        </w:tc>
      </w:tr>
      <w:tr>
        <w:tblPrEx>
          <w:tblLayout w:type="fixed"/>
          <w:tblCellMar>
            <w:top w:w="0" w:type="dxa"/>
            <w:left w:w="108" w:type="dxa"/>
            <w:bottom w:w="0" w:type="dxa"/>
            <w:right w:w="108" w:type="dxa"/>
          </w:tblCellMar>
        </w:tblPrEx>
        <w:trPr>
          <w:cantSplit/>
          <w:trHeight w:val="510"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疏散点15</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海南省三亚市天涯区河东路金鸡岭桥头下游金鸡岭湿地公园内</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天涯区直辖村级区划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109.493</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18.277</w:t>
            </w:r>
          </w:p>
        </w:tc>
      </w:tr>
      <w:tr>
        <w:tblPrEx>
          <w:tblLayout w:type="fixed"/>
          <w:tblCellMar>
            <w:top w:w="0" w:type="dxa"/>
            <w:left w:w="108" w:type="dxa"/>
            <w:bottom w:w="0" w:type="dxa"/>
            <w:right w:w="108" w:type="dxa"/>
          </w:tblCellMar>
        </w:tblPrEx>
        <w:trPr>
          <w:cantSplit/>
          <w:trHeight w:val="765"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疏散点16</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海南省三亚市吉阳区荔枝沟路53号</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吉阳区直辖村级区划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109.511</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18.297</w:t>
            </w:r>
          </w:p>
        </w:tc>
      </w:tr>
      <w:tr>
        <w:tblPrEx>
          <w:tblLayout w:type="fixed"/>
          <w:tblCellMar>
            <w:top w:w="0" w:type="dxa"/>
            <w:left w:w="108" w:type="dxa"/>
            <w:bottom w:w="0" w:type="dxa"/>
            <w:right w:w="108" w:type="dxa"/>
          </w:tblCellMar>
        </w:tblPrEx>
        <w:trPr>
          <w:cantSplit/>
          <w:trHeight w:val="765"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疏散点17</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海南省三亚市吉阳区春光路常委楼旁停车场内</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吉阳区直辖村级区划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109.512</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18.267</w:t>
            </w:r>
          </w:p>
        </w:tc>
      </w:tr>
      <w:tr>
        <w:tblPrEx>
          <w:tblLayout w:type="fixed"/>
          <w:tblCellMar>
            <w:top w:w="0" w:type="dxa"/>
            <w:left w:w="108" w:type="dxa"/>
            <w:bottom w:w="0" w:type="dxa"/>
            <w:right w:w="108" w:type="dxa"/>
          </w:tblCellMar>
        </w:tblPrEx>
        <w:trPr>
          <w:cantSplit/>
          <w:trHeight w:val="765"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疏散点18</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海南省三亚市海棠区林旺社区林旺小学</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海棠区直辖村级区划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109.701</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18.318</w:t>
            </w:r>
          </w:p>
        </w:tc>
      </w:tr>
      <w:tr>
        <w:tblPrEx>
          <w:tblLayout w:type="fixed"/>
          <w:tblCellMar>
            <w:top w:w="0" w:type="dxa"/>
            <w:left w:w="108" w:type="dxa"/>
            <w:bottom w:w="0" w:type="dxa"/>
            <w:right w:w="108" w:type="dxa"/>
          </w:tblCellMar>
        </w:tblPrEx>
        <w:trPr>
          <w:cantSplit/>
          <w:trHeight w:val="855"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疏散点19</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海南省三亚市海棠区南田农场海燕分场海燕小学</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海棠区直辖村级区划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109.781</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18.424</w:t>
            </w:r>
          </w:p>
        </w:tc>
      </w:tr>
      <w:tr>
        <w:tblPrEx>
          <w:tblLayout w:type="fixed"/>
          <w:tblCellMar>
            <w:top w:w="0" w:type="dxa"/>
            <w:left w:w="108" w:type="dxa"/>
            <w:bottom w:w="0" w:type="dxa"/>
            <w:right w:w="108" w:type="dxa"/>
          </w:tblCellMar>
        </w:tblPrEx>
        <w:trPr>
          <w:cantSplit/>
          <w:trHeight w:val="510"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疏散点20</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海南省三亚市海棠区龙海风情小镇龙海小学</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海棠区直辖村级区划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109.729</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18.378</w:t>
            </w:r>
          </w:p>
        </w:tc>
      </w:tr>
      <w:tr>
        <w:tblPrEx>
          <w:tblLayout w:type="fixed"/>
          <w:tblCellMar>
            <w:top w:w="0" w:type="dxa"/>
            <w:left w:w="108" w:type="dxa"/>
            <w:bottom w:w="0" w:type="dxa"/>
            <w:right w:w="108" w:type="dxa"/>
          </w:tblCellMar>
        </w:tblPrEx>
        <w:trPr>
          <w:cantSplit/>
          <w:trHeight w:val="255" w:hRule="atLeast"/>
          <w:jc w:val="center"/>
        </w:trPr>
        <w:tc>
          <w:tcPr>
            <w:tcW w:w="973" w:type="dxa"/>
            <w:tcBorders>
              <w:top w:val="nil"/>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0"/>
                <w:szCs w:val="20"/>
              </w:rPr>
            </w:pPr>
            <w:r>
              <w:rPr>
                <w:rFonts w:hint="default" w:ascii="Times New Roman" w:hAnsi="Times New Roman" w:cs="Times New Roman"/>
                <w:sz w:val="20"/>
                <w:szCs w:val="20"/>
              </w:rPr>
              <w:t>疏散点21</w:t>
            </w:r>
          </w:p>
        </w:tc>
        <w:tc>
          <w:tcPr>
            <w:tcW w:w="4547"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海南省三亚市海棠区龙江风情小镇龙江村委会</w:t>
            </w:r>
          </w:p>
        </w:tc>
        <w:tc>
          <w:tcPr>
            <w:tcW w:w="1765"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海棠区直辖村级区划</w:t>
            </w:r>
          </w:p>
        </w:tc>
        <w:tc>
          <w:tcPr>
            <w:tcW w:w="939"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109.715</w:t>
            </w:r>
          </w:p>
        </w:tc>
        <w:tc>
          <w:tcPr>
            <w:tcW w:w="837" w:type="dxa"/>
            <w:tcBorders>
              <w:top w:val="nil"/>
              <w:left w:val="nil"/>
              <w:bottom w:val="single" w:color="auto" w:sz="4" w:space="0"/>
              <w:right w:val="single" w:color="auto" w:sz="4" w:space="0"/>
            </w:tcBorders>
            <w:shd w:val="clear" w:color="auto" w:fill="auto"/>
            <w:vAlign w:val="center"/>
          </w:tcPr>
          <w:p>
            <w:pPr>
              <w:widowControl/>
              <w:spacing w:line="40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18.338</w:t>
            </w:r>
          </w:p>
        </w:tc>
      </w:tr>
    </w:tbl>
    <w:p>
      <w:pPr>
        <w:widowControl/>
        <w:spacing w:line="400" w:lineRule="exact"/>
        <w:jc w:val="left"/>
        <w:rPr>
          <w:rFonts w:hint="default" w:ascii="Times New Roman" w:hAnsi="Times New Roman" w:eastAsia="黑体" w:cs="Times New Roman"/>
          <w:b/>
          <w:sz w:val="32"/>
          <w:szCs w:val="32"/>
        </w:rPr>
      </w:pPr>
      <w:bookmarkStart w:id="322" w:name="_Toc26269"/>
      <w:r>
        <w:rPr>
          <w:rFonts w:hint="default" w:ascii="Times New Roman" w:hAnsi="Times New Roman" w:eastAsia="黑体" w:cs="Times New Roman"/>
          <w:b/>
          <w:bCs w:val="0"/>
        </w:rPr>
        <w:br w:type="page"/>
      </w:r>
    </w:p>
    <w:p>
      <w:pPr>
        <w:pStyle w:val="3"/>
        <w:spacing w:line="570" w:lineRule="exact"/>
        <w:ind w:firstLine="0"/>
        <w:jc w:val="center"/>
        <w:rPr>
          <w:rFonts w:hint="default" w:ascii="Times New Roman" w:hAnsi="Times New Roman" w:eastAsia="仿宋_GB2312" w:cs="Times New Roman"/>
        </w:rPr>
      </w:pPr>
      <w:bookmarkStart w:id="323" w:name="_Toc27739"/>
      <w:r>
        <w:rPr>
          <w:rFonts w:hint="default" w:ascii="Times New Roman" w:hAnsi="Times New Roman" w:eastAsia="仿宋_GB2312" w:cs="Times New Roman"/>
        </w:rPr>
        <w:t>三亚市应急疏散路线</w:t>
      </w:r>
      <w:bookmarkEnd w:id="322"/>
      <w:bookmarkEnd w:id="323"/>
    </w:p>
    <w:tbl>
      <w:tblPr>
        <w:tblStyle w:val="19"/>
        <w:tblW w:w="9057" w:type="dxa"/>
        <w:jc w:val="center"/>
        <w:tblInd w:w="0" w:type="dxa"/>
        <w:tblLayout w:type="fixed"/>
        <w:tblCellMar>
          <w:top w:w="0" w:type="dxa"/>
          <w:left w:w="108" w:type="dxa"/>
          <w:bottom w:w="0" w:type="dxa"/>
          <w:right w:w="108" w:type="dxa"/>
        </w:tblCellMar>
      </w:tblPr>
      <w:tblGrid>
        <w:gridCol w:w="1604"/>
        <w:gridCol w:w="3873"/>
        <w:gridCol w:w="1306"/>
        <w:gridCol w:w="1118"/>
        <w:gridCol w:w="1156"/>
      </w:tblGrid>
      <w:tr>
        <w:tblPrEx>
          <w:tblLayout w:type="fixed"/>
          <w:tblCellMar>
            <w:top w:w="0" w:type="dxa"/>
            <w:left w:w="108" w:type="dxa"/>
            <w:bottom w:w="0" w:type="dxa"/>
            <w:right w:w="108" w:type="dxa"/>
          </w:tblCellMar>
        </w:tblPrEx>
        <w:trPr>
          <w:cantSplit/>
          <w:trHeight w:val="660" w:hRule="atLeast"/>
          <w:jc w:val="center"/>
        </w:trPr>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疏散起点</w:t>
            </w:r>
          </w:p>
        </w:tc>
        <w:tc>
          <w:tcPr>
            <w:tcW w:w="38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疏散终点</w:t>
            </w:r>
          </w:p>
        </w:tc>
        <w:tc>
          <w:tcPr>
            <w:tcW w:w="13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疏散距离（km）</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疏散</w:t>
            </w:r>
          </w:p>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方式</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疏散时间</w:t>
            </w:r>
          </w:p>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(min)</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南田农场</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三亚市海棠区海燕小学应急避难场所</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2.47</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41.17</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2.47</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东溪村</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三亚市海棠区海燕小学应急避难场所</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3.59</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59.83</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3.59</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龙海村</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三亚市海棠区龙海小学应急避难场所</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2.69</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44.83</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2.69</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藤海村</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三亚市海棠区林旺小学应急避难场所</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6.47</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107.83</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6.47</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六盘村</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三亚技师学院</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20.83</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347.16</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20.83</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河东区管委会</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三亚市春光路社区临时避难场所</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2.88</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48.00</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2.88</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南新农场</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三亚市金鸡岭桥头应急避难场所</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1.26</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21.00</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1.26</w:t>
            </w:r>
          </w:p>
        </w:tc>
      </w:tr>
      <w:tr>
        <w:tblPrEx>
          <w:tblLayout w:type="fixed"/>
          <w:tblCellMar>
            <w:top w:w="0" w:type="dxa"/>
            <w:left w:w="108" w:type="dxa"/>
            <w:bottom w:w="0" w:type="dxa"/>
            <w:right w:w="108" w:type="dxa"/>
          </w:tblCellMar>
        </w:tblPrEx>
        <w:trPr>
          <w:cantSplit/>
          <w:trHeight w:val="342"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布甫村</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三亚市天涯区过岭村委会避难场所</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8.02</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133.67</w:t>
            </w:r>
          </w:p>
        </w:tc>
      </w:tr>
      <w:tr>
        <w:tblPrEx>
          <w:tblLayout w:type="fixed"/>
          <w:tblCellMar>
            <w:top w:w="0" w:type="dxa"/>
            <w:left w:w="108" w:type="dxa"/>
            <w:bottom w:w="0" w:type="dxa"/>
            <w:right w:w="108" w:type="dxa"/>
          </w:tblCellMar>
        </w:tblPrEx>
        <w:trPr>
          <w:cantSplit/>
          <w:trHeight w:val="342"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8.02</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港门村</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三亚市崖州区南山小学</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4.28</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71.33</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4.28</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崖城村</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三亚市崖州区北岭小学</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7.01</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116.83</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7.01</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南滨农场</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三亚市崖州区田家炳高级中学</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1.72</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28.67</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1.72</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凤岭村</w:t>
            </w:r>
          </w:p>
        </w:tc>
        <w:tc>
          <w:tcPr>
            <w:tcW w:w="38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三亚市崖州区梅山中学</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5.28</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步行</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88.00</w:t>
            </w:r>
          </w:p>
        </w:tc>
      </w:tr>
      <w:tr>
        <w:tblPrEx>
          <w:tblLayout w:type="fixed"/>
          <w:tblCellMar>
            <w:top w:w="0" w:type="dxa"/>
            <w:left w:w="108" w:type="dxa"/>
            <w:bottom w:w="0" w:type="dxa"/>
            <w:right w:w="108" w:type="dxa"/>
          </w:tblCellMar>
        </w:tblPrEx>
        <w:trPr>
          <w:cantSplit/>
          <w:trHeight w:val="330" w:hRule="atLeast"/>
          <w:jc w:val="center"/>
        </w:trPr>
        <w:tc>
          <w:tcPr>
            <w:tcW w:w="16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38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驾车</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5.28</w:t>
            </w:r>
          </w:p>
        </w:tc>
      </w:tr>
      <w:tr>
        <w:tblPrEx>
          <w:tblLayout w:type="fixed"/>
          <w:tblCellMar>
            <w:top w:w="0" w:type="dxa"/>
            <w:left w:w="108" w:type="dxa"/>
            <w:bottom w:w="0" w:type="dxa"/>
            <w:right w:w="108" w:type="dxa"/>
          </w:tblCellMar>
        </w:tblPrEx>
        <w:trPr>
          <w:cantSplit/>
          <w:trHeight w:val="330" w:hRule="atLeast"/>
          <w:jc w:val="center"/>
        </w:trPr>
        <w:tc>
          <w:tcPr>
            <w:tcW w:w="905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20" w:lineRule="exact"/>
              <w:rPr>
                <w:rFonts w:hint="default" w:ascii="Times New Roman" w:hAnsi="Times New Roman" w:cs="Times New Roman"/>
                <w:kern w:val="0"/>
                <w:sz w:val="20"/>
                <w:szCs w:val="20"/>
              </w:rPr>
            </w:pPr>
            <w:r>
              <w:rPr>
                <w:rFonts w:hint="default" w:ascii="Times New Roman" w:hAnsi="Times New Roman" w:cs="Times New Roman"/>
                <w:kern w:val="0"/>
                <w:sz w:val="20"/>
                <w:szCs w:val="20"/>
              </w:rPr>
              <w:t>备注：步行疏散时间以成年人每分钟步行60m计算，驾车疏散时间以时速60km/h计算。</w:t>
            </w:r>
          </w:p>
        </w:tc>
      </w:tr>
    </w:tbl>
    <w:p>
      <w:pPr>
        <w:widowControl/>
        <w:jc w:val="left"/>
        <w:rPr>
          <w:rFonts w:hint="default" w:ascii="Times New Roman" w:hAnsi="Times New Roman" w:cs="Times New Roman"/>
          <w:kern w:val="0"/>
          <w:sz w:val="20"/>
          <w:szCs w:val="20"/>
        </w:rPr>
        <w:sectPr>
          <w:headerReference r:id="rId8" w:type="even"/>
          <w:footerReference r:id="rId9" w:type="even"/>
          <w:pgSz w:w="11906" w:h="16838"/>
          <w:pgMar w:top="2098" w:right="1474" w:bottom="1984" w:left="1587" w:header="851" w:footer="1417" w:gutter="0"/>
          <w:cols w:space="425" w:num="1"/>
          <w:docGrid w:type="lines" w:linePitch="312" w:charSpace="0"/>
        </w:sectPr>
      </w:pPr>
    </w:p>
    <w:p>
      <w:pPr>
        <w:widowControl/>
        <w:spacing w:line="570" w:lineRule="exact"/>
        <w:ind w:firstLine="560" w:firstLineChars="200"/>
        <w:jc w:val="center"/>
        <w:rPr>
          <w:rFonts w:hint="default" w:ascii="Times New Roman" w:hAnsi="Times New Roman" w:cs="Times New Roman"/>
          <w:kern w:val="0"/>
          <w:sz w:val="20"/>
          <w:szCs w:val="20"/>
        </w:rPr>
      </w:pPr>
      <w:r>
        <w:rPr>
          <w:rFonts w:hint="default" w:ascii="Times New Roman" w:hAnsi="Times New Roman" w:cs="Times New Roman"/>
        </w:rPr>
        <w:drawing>
          <wp:anchor distT="0" distB="0" distL="0" distR="0" simplePos="0" relativeHeight="251659264" behindDoc="0" locked="0" layoutInCell="1" allowOverlap="1">
            <wp:simplePos x="0" y="0"/>
            <wp:positionH relativeFrom="margin">
              <wp:align>center</wp:align>
            </wp:positionH>
            <wp:positionV relativeFrom="margin">
              <wp:align>center</wp:align>
            </wp:positionV>
            <wp:extent cx="9961245" cy="8279765"/>
            <wp:effectExtent l="0" t="0" r="2540" b="698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9961200" cy="8280000"/>
                    </a:xfrm>
                    <a:prstGeom prst="rect">
                      <a:avLst/>
                    </a:prstGeom>
                  </pic:spPr>
                </pic:pic>
              </a:graphicData>
            </a:graphic>
          </wp:anchor>
        </w:drawing>
      </w:r>
      <w:r>
        <w:rPr>
          <w:rFonts w:hint="default" w:ascii="Times New Roman" w:hAnsi="Times New Roman" w:cs="Times New Roman"/>
          <w:kern w:val="0"/>
          <w:sz w:val="20"/>
          <w:szCs w:val="20"/>
        </w:rPr>
        <w:t>注：引自《海南省海洋灾害风险普查——风险评估与区划和重点防御区划定 三亚市风暴潮灾害风险评估和区划技术报告》海南省自然资源和规划厅（2022年11月30日）。</w:t>
      </w:r>
    </w:p>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drawing>
          <wp:inline distT="0" distB="0" distL="114300" distR="114300">
            <wp:extent cx="9960610" cy="8121015"/>
            <wp:effectExtent l="0" t="0" r="2540" b="0"/>
            <wp:docPr id="2" name="图片 2" descr="提取自三亚市海啸灾害应急疏散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提取自三亚市海啸灾害应急疏散图"/>
                    <pic:cNvPicPr>
                      <a:picLocks noChangeAspect="1"/>
                    </pic:cNvPicPr>
                  </pic:nvPicPr>
                  <pic:blipFill>
                    <a:blip r:embed="rId12"/>
                    <a:srcRect l="11159" t="5450" r="11810" b="5760"/>
                    <a:stretch>
                      <a:fillRect/>
                    </a:stretch>
                  </pic:blipFill>
                  <pic:spPr>
                    <a:xfrm>
                      <a:off x="0" y="0"/>
                      <a:ext cx="9961200" cy="8121600"/>
                    </a:xfrm>
                    <a:prstGeom prst="rect">
                      <a:avLst/>
                    </a:prstGeom>
                  </pic:spPr>
                </pic:pic>
              </a:graphicData>
            </a:graphic>
          </wp:inline>
        </w:drawing>
      </w:r>
    </w:p>
    <w:p>
      <w:pPr>
        <w:widowControl/>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注：引自《海南省海洋灾害风险普查——风险评估与区划和重点防御区划定 三亚市海啸灾害风险评估和区划技术报告》海南省自然资源和规划厅（2022年11月30日）</w:t>
      </w:r>
    </w:p>
    <w:p>
      <w:pPr>
        <w:widowControl/>
        <w:jc w:val="left"/>
        <w:rPr>
          <w:rFonts w:hint="default" w:ascii="Times New Roman" w:hAnsi="Times New Roman" w:cs="Times New Roman"/>
          <w:kern w:val="0"/>
          <w:sz w:val="20"/>
          <w:szCs w:val="20"/>
        </w:rPr>
        <w:sectPr>
          <w:pgSz w:w="23811" w:h="16838" w:orient="landscape"/>
          <w:pgMar w:top="1587" w:right="2098" w:bottom="1474" w:left="1984" w:header="851" w:footer="1417" w:gutter="0"/>
          <w:cols w:space="425" w:num="1"/>
          <w:docGrid w:type="lines" w:linePitch="381" w:charSpace="0"/>
        </w:sectPr>
      </w:pPr>
    </w:p>
    <w:p>
      <w:pPr>
        <w:pStyle w:val="3"/>
        <w:spacing w:line="570" w:lineRule="exact"/>
        <w:ind w:firstLine="0"/>
        <w:rPr>
          <w:rFonts w:hint="default" w:ascii="Times New Roman" w:hAnsi="Times New Roman" w:eastAsia="黑体" w:cs="Times New Roman"/>
        </w:rPr>
      </w:pPr>
      <w:bookmarkStart w:id="324" w:name="_Toc2206"/>
      <w:r>
        <w:rPr>
          <w:rFonts w:hint="default" w:ascii="Times New Roman" w:hAnsi="Times New Roman" w:eastAsia="黑体" w:cs="Times New Roman"/>
        </w:rPr>
        <w:t>附录8</w:t>
      </w:r>
      <w:bookmarkEnd w:id="324"/>
    </w:p>
    <w:p>
      <w:pPr>
        <w:pStyle w:val="3"/>
        <w:spacing w:line="570" w:lineRule="exact"/>
        <w:ind w:firstLine="0"/>
        <w:jc w:val="center"/>
        <w:rPr>
          <w:rFonts w:hint="default" w:ascii="Times New Roman" w:hAnsi="Times New Roman" w:eastAsia="仿宋_GB2312" w:cs="Times New Roman"/>
        </w:rPr>
      </w:pPr>
      <w:bookmarkStart w:id="325" w:name="_Toc12768"/>
      <w:r>
        <w:rPr>
          <w:rFonts w:hint="default" w:ascii="Times New Roman" w:hAnsi="Times New Roman" w:eastAsia="仿宋_GB2312" w:cs="Times New Roman"/>
        </w:rPr>
        <w:t>各相关单位值班电话</w:t>
      </w:r>
      <w:bookmarkEnd w:id="325"/>
    </w:p>
    <w:tbl>
      <w:tblPr>
        <w:tblStyle w:val="20"/>
        <w:tblW w:w="90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4153" w:type="dxa"/>
            <w:vAlign w:val="center"/>
          </w:tcPr>
          <w:p>
            <w:pPr>
              <w:pStyle w:val="27"/>
              <w:spacing w:after="120"/>
              <w:rPr>
                <w:rFonts w:hint="default" w:ascii="Times New Roman" w:hAnsi="Times New Roman" w:cs="Times New Roman"/>
                <w:b/>
                <w:bCs/>
                <w:color w:val="auto"/>
              </w:rPr>
            </w:pPr>
            <w:r>
              <w:rPr>
                <w:rFonts w:hint="default" w:ascii="Times New Roman" w:hAnsi="Times New Roman" w:cs="Times New Roman"/>
                <w:b/>
                <w:bCs/>
                <w:color w:val="auto"/>
              </w:rPr>
              <w:t>部门/单位</w:t>
            </w:r>
          </w:p>
        </w:tc>
        <w:tc>
          <w:tcPr>
            <w:tcW w:w="4906" w:type="dxa"/>
            <w:vAlign w:val="center"/>
          </w:tcPr>
          <w:p>
            <w:pPr>
              <w:pStyle w:val="27"/>
              <w:spacing w:after="120"/>
              <w:rPr>
                <w:rFonts w:hint="default" w:ascii="Times New Roman" w:hAnsi="Times New Roman" w:cs="Times New Roman"/>
                <w:b/>
                <w:bCs/>
                <w:color w:val="auto"/>
              </w:rPr>
            </w:pPr>
            <w:r>
              <w:rPr>
                <w:rFonts w:hint="default" w:ascii="Times New Roman" w:hAnsi="Times New Roman" w:cs="Times New Roman"/>
                <w:b/>
                <w:bCs/>
                <w:color w:val="auto"/>
              </w:rPr>
              <w:t>行政值班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市自然资源和规划局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0898-88271526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市应急管理局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0898-88272446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市委宣传部</w:t>
            </w:r>
          </w:p>
        </w:tc>
        <w:tc>
          <w:tcPr>
            <w:tcW w:w="4906" w:type="dxa"/>
            <w:shd w:val="clear" w:color="auto" w:fill="auto"/>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0898-88279941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市发展和改革委员会</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0898-88363385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市旅游和文化广电体育局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0898-88272768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市生态环境局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0898-88716964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市农业农村局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市卫生健康委员会</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0898-88275736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市公安局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0898-88868923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市住房和城乡建设局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0898-88212702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市交通运输局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0898-88667258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市水务局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0898-88271904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市财政局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0898-88869900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市商务局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市市场监管局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0898-88689977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三亚海关</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0898-88670108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市科学技术和工业信息化局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0898-88272677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市国有资产监督管理委员会</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0898-88277078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市民政局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0898-88272832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市气象局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0898-88200700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三亚海事局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0898-68662411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三亚海上搜救分中心</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0898-68662411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市综合行政执法局</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0898-88595130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三亚警备区</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0898-66579036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市消防救援支队</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0898-88956306、0898-88956119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市红十字会</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0898-88361337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三亚海洋站</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0898-88958260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1"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海棠区人民政府</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0898-38888127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1"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吉阳区人民政府</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0898-88713080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1"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天涯区人民政府</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0898-88911339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1" w:hRule="atLeast"/>
          <w:jc w:val="center"/>
        </w:trPr>
        <w:tc>
          <w:tcPr>
            <w:tcW w:w="4153"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崖州区人民政府</w:t>
            </w:r>
          </w:p>
        </w:tc>
        <w:tc>
          <w:tcPr>
            <w:tcW w:w="4906" w:type="dxa"/>
            <w:vAlign w:val="center"/>
          </w:tcPr>
          <w:p>
            <w:pPr>
              <w:pStyle w:val="27"/>
              <w:spacing w:after="120"/>
              <w:rPr>
                <w:rFonts w:hint="default" w:ascii="Times New Roman" w:hAnsi="Times New Roman" w:cs="Times New Roman"/>
                <w:color w:val="auto"/>
              </w:rPr>
            </w:pPr>
            <w:r>
              <w:rPr>
                <w:rFonts w:hint="default" w:ascii="Times New Roman" w:hAnsi="Times New Roman" w:cs="Times New Roman"/>
                <w:color w:val="auto"/>
              </w:rPr>
              <w:t>0898-88840001</w:t>
            </w:r>
          </w:p>
        </w:tc>
      </w:tr>
    </w:tbl>
    <w:p>
      <w:pPr>
        <w:widowControl/>
        <w:jc w:val="left"/>
        <w:rPr>
          <w:rFonts w:hint="default" w:ascii="Times New Roman" w:hAnsi="Times New Roman" w:cs="Times New Roman"/>
        </w:rPr>
      </w:pPr>
    </w:p>
    <w:sectPr>
      <w:pgSz w:w="11906" w:h="16838"/>
      <w:pgMar w:top="2098" w:right="1474" w:bottom="1984" w:left="1587" w:header="851" w:footer="1417"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简仿宋">
    <w:altName w:val="仿宋"/>
    <w:panose1 w:val="00000000000000000000"/>
    <w:charset w:val="00"/>
    <w:family w:val="auto"/>
    <w:pitch w:val="default"/>
    <w:sig w:usb0="00000000" w:usb1="00000000" w:usb2="00000000" w:usb3="00000000" w:csb0="00000000" w:csb1="00000000"/>
  </w:font>
  <w:font w:name="方正宋体S-超大字符集">
    <w:altName w:val="宋体"/>
    <w:panose1 w:val="02000000000000000000"/>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10795"/>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DMr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N2UEs0UdnT5+uXy7cfl+2cCHwhqrV8gb2eRGbrXpkPy6Pdwxrm7&#10;yqn4xUQEcVB9vtIrukB4vDSfzec5Qhyx8Qf42dN163x4I4wi0Siow/4Srey09aFPHVNiNW02jZRp&#10;h1KTtqA3L1/l6cI1AnCpUSMO0TcbrdDtu2GyvSnPGMyZXhve8k2D4lvmwyNzEAMahsDDA45KGhQx&#10;g0VJbdynv/ljPnaEKCUtxFVQDfVTIt9q7C7qcDTcaOxHQx/VnYFasQ70k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GoMyvA4CAAAJBAAADgAAAAAAAAABACAAAAAf&#10;AQAAZHJzL2Uyb0RvYy54bWxQSwUGAAAAAAYABgBZAQAAnwUAAAAA&#10;">
              <v:fill on="f" focussize="0,0"/>
              <v:stroke on="f" weight="0.5pt"/>
              <v:imagedata o:title=""/>
              <o:lock v:ext="edit" aspectratio="f"/>
              <v:textbox inset="0mm,0mm,0mm,0mm" style="mso-fit-shape-to-text:t;">
                <w:txbxContent>
                  <w:p>
                    <w:pPr>
                      <w:pStyle w:val="11"/>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documentProtection w:enforcement="0"/>
  <w:defaultTabStop w:val="420"/>
  <w:drawingGridHorizontalSpacing w:val="140"/>
  <w:drawingGridVerticalSpacing w:val="38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yZTllNGQ4NjllMjc1OTNkOTI1ZDM2NTIxNGZjNTAifQ=="/>
    <w:docVar w:name="KSO_WPS_MARK_KEY" w:val="e03f3924-b2a5-4b66-a07c-ff967efcbce6"/>
  </w:docVars>
  <w:rsids>
    <w:rsidRoot w:val="00935E3B"/>
    <w:rsid w:val="00000D28"/>
    <w:rsid w:val="00005942"/>
    <w:rsid w:val="00005F43"/>
    <w:rsid w:val="00006F90"/>
    <w:rsid w:val="00010BB9"/>
    <w:rsid w:val="0001514A"/>
    <w:rsid w:val="00017644"/>
    <w:rsid w:val="00024A62"/>
    <w:rsid w:val="00026D44"/>
    <w:rsid w:val="00032C99"/>
    <w:rsid w:val="00043E94"/>
    <w:rsid w:val="00045293"/>
    <w:rsid w:val="000514F9"/>
    <w:rsid w:val="0006243B"/>
    <w:rsid w:val="00065284"/>
    <w:rsid w:val="00067FF3"/>
    <w:rsid w:val="00077E35"/>
    <w:rsid w:val="00080A09"/>
    <w:rsid w:val="00083D3E"/>
    <w:rsid w:val="00086813"/>
    <w:rsid w:val="000871CE"/>
    <w:rsid w:val="000906C4"/>
    <w:rsid w:val="00091B20"/>
    <w:rsid w:val="00094932"/>
    <w:rsid w:val="000A685D"/>
    <w:rsid w:val="000A6F39"/>
    <w:rsid w:val="000C4885"/>
    <w:rsid w:val="000C657F"/>
    <w:rsid w:val="000D4599"/>
    <w:rsid w:val="000D644C"/>
    <w:rsid w:val="000E6218"/>
    <w:rsid w:val="000E702A"/>
    <w:rsid w:val="000F1F19"/>
    <w:rsid w:val="0010040F"/>
    <w:rsid w:val="00102A98"/>
    <w:rsid w:val="00103562"/>
    <w:rsid w:val="00107626"/>
    <w:rsid w:val="00122856"/>
    <w:rsid w:val="001274EC"/>
    <w:rsid w:val="001308DC"/>
    <w:rsid w:val="00132F5E"/>
    <w:rsid w:val="00141A4D"/>
    <w:rsid w:val="00141F75"/>
    <w:rsid w:val="001575BE"/>
    <w:rsid w:val="0016395E"/>
    <w:rsid w:val="00165200"/>
    <w:rsid w:val="00171227"/>
    <w:rsid w:val="001713A8"/>
    <w:rsid w:val="00173E2A"/>
    <w:rsid w:val="00175558"/>
    <w:rsid w:val="001760AB"/>
    <w:rsid w:val="00183668"/>
    <w:rsid w:val="00183DF7"/>
    <w:rsid w:val="00184CF9"/>
    <w:rsid w:val="00185D8B"/>
    <w:rsid w:val="0019014B"/>
    <w:rsid w:val="0019071D"/>
    <w:rsid w:val="00190CED"/>
    <w:rsid w:val="00192061"/>
    <w:rsid w:val="00192840"/>
    <w:rsid w:val="001B332E"/>
    <w:rsid w:val="001B5389"/>
    <w:rsid w:val="001C53D9"/>
    <w:rsid w:val="001C60F3"/>
    <w:rsid w:val="001D14EA"/>
    <w:rsid w:val="001D2C4F"/>
    <w:rsid w:val="001D587D"/>
    <w:rsid w:val="001E4E79"/>
    <w:rsid w:val="001F1055"/>
    <w:rsid w:val="001F23BF"/>
    <w:rsid w:val="001F65A4"/>
    <w:rsid w:val="001F7C34"/>
    <w:rsid w:val="0020019B"/>
    <w:rsid w:val="0020263B"/>
    <w:rsid w:val="00206623"/>
    <w:rsid w:val="002103B8"/>
    <w:rsid w:val="002123B0"/>
    <w:rsid w:val="00212FC5"/>
    <w:rsid w:val="00214EF2"/>
    <w:rsid w:val="002168D6"/>
    <w:rsid w:val="00223A10"/>
    <w:rsid w:val="0022425B"/>
    <w:rsid w:val="002302DA"/>
    <w:rsid w:val="0023071C"/>
    <w:rsid w:val="00230E83"/>
    <w:rsid w:val="00235CD1"/>
    <w:rsid w:val="00240436"/>
    <w:rsid w:val="0024298E"/>
    <w:rsid w:val="002431B7"/>
    <w:rsid w:val="00244B2F"/>
    <w:rsid w:val="00245112"/>
    <w:rsid w:val="00246200"/>
    <w:rsid w:val="0024720A"/>
    <w:rsid w:val="0024729C"/>
    <w:rsid w:val="002512D8"/>
    <w:rsid w:val="00255E8C"/>
    <w:rsid w:val="002568E6"/>
    <w:rsid w:val="00256E3C"/>
    <w:rsid w:val="00261632"/>
    <w:rsid w:val="00272577"/>
    <w:rsid w:val="00277327"/>
    <w:rsid w:val="00277D66"/>
    <w:rsid w:val="002835C6"/>
    <w:rsid w:val="0028507D"/>
    <w:rsid w:val="00285B54"/>
    <w:rsid w:val="002870D6"/>
    <w:rsid w:val="00292728"/>
    <w:rsid w:val="00292EF5"/>
    <w:rsid w:val="002939CC"/>
    <w:rsid w:val="0029535E"/>
    <w:rsid w:val="002A219F"/>
    <w:rsid w:val="002A3F3E"/>
    <w:rsid w:val="002C012C"/>
    <w:rsid w:val="002C1347"/>
    <w:rsid w:val="002C1CE5"/>
    <w:rsid w:val="002C6009"/>
    <w:rsid w:val="002D0778"/>
    <w:rsid w:val="002D4ED9"/>
    <w:rsid w:val="002D538D"/>
    <w:rsid w:val="002D6989"/>
    <w:rsid w:val="002E17CC"/>
    <w:rsid w:val="002E2215"/>
    <w:rsid w:val="002E501B"/>
    <w:rsid w:val="002E5E09"/>
    <w:rsid w:val="002E694D"/>
    <w:rsid w:val="002E79A8"/>
    <w:rsid w:val="002E7A47"/>
    <w:rsid w:val="002F0EC0"/>
    <w:rsid w:val="002F500A"/>
    <w:rsid w:val="002F79AC"/>
    <w:rsid w:val="003007FE"/>
    <w:rsid w:val="00304471"/>
    <w:rsid w:val="0030454D"/>
    <w:rsid w:val="0030540A"/>
    <w:rsid w:val="003101CE"/>
    <w:rsid w:val="003148B6"/>
    <w:rsid w:val="00317AB9"/>
    <w:rsid w:val="00325FEE"/>
    <w:rsid w:val="003267AA"/>
    <w:rsid w:val="003326CB"/>
    <w:rsid w:val="0033680E"/>
    <w:rsid w:val="00337B93"/>
    <w:rsid w:val="00337F6A"/>
    <w:rsid w:val="00343904"/>
    <w:rsid w:val="00351C23"/>
    <w:rsid w:val="0035493A"/>
    <w:rsid w:val="00356ED6"/>
    <w:rsid w:val="003579A0"/>
    <w:rsid w:val="0036011C"/>
    <w:rsid w:val="0036018D"/>
    <w:rsid w:val="003633F4"/>
    <w:rsid w:val="003640CB"/>
    <w:rsid w:val="00366F64"/>
    <w:rsid w:val="00371C5A"/>
    <w:rsid w:val="00375463"/>
    <w:rsid w:val="003754FF"/>
    <w:rsid w:val="003812B3"/>
    <w:rsid w:val="0038248C"/>
    <w:rsid w:val="00386148"/>
    <w:rsid w:val="00391AF7"/>
    <w:rsid w:val="00393034"/>
    <w:rsid w:val="0039697A"/>
    <w:rsid w:val="003A17B3"/>
    <w:rsid w:val="003B2FA3"/>
    <w:rsid w:val="003B5718"/>
    <w:rsid w:val="003B6479"/>
    <w:rsid w:val="003C0EC6"/>
    <w:rsid w:val="003C72ED"/>
    <w:rsid w:val="003C745F"/>
    <w:rsid w:val="003D0913"/>
    <w:rsid w:val="003D0F30"/>
    <w:rsid w:val="003D3BC0"/>
    <w:rsid w:val="003E5E25"/>
    <w:rsid w:val="003E72B2"/>
    <w:rsid w:val="003F0A9F"/>
    <w:rsid w:val="003F2EAE"/>
    <w:rsid w:val="00401CF4"/>
    <w:rsid w:val="00402950"/>
    <w:rsid w:val="00404337"/>
    <w:rsid w:val="004115DE"/>
    <w:rsid w:val="00413B4A"/>
    <w:rsid w:val="00421926"/>
    <w:rsid w:val="00421DFB"/>
    <w:rsid w:val="0042234C"/>
    <w:rsid w:val="00425E31"/>
    <w:rsid w:val="00427EC7"/>
    <w:rsid w:val="00432C9E"/>
    <w:rsid w:val="004349F9"/>
    <w:rsid w:val="004400AE"/>
    <w:rsid w:val="0044086E"/>
    <w:rsid w:val="00443DB2"/>
    <w:rsid w:val="00444303"/>
    <w:rsid w:val="004452C0"/>
    <w:rsid w:val="00446545"/>
    <w:rsid w:val="00447968"/>
    <w:rsid w:val="004555B1"/>
    <w:rsid w:val="00455CC1"/>
    <w:rsid w:val="00460B18"/>
    <w:rsid w:val="00461D6F"/>
    <w:rsid w:val="00462DA3"/>
    <w:rsid w:val="004642FA"/>
    <w:rsid w:val="00470A33"/>
    <w:rsid w:val="00471CE7"/>
    <w:rsid w:val="004738CF"/>
    <w:rsid w:val="00474F6C"/>
    <w:rsid w:val="00486FD5"/>
    <w:rsid w:val="00492426"/>
    <w:rsid w:val="00494819"/>
    <w:rsid w:val="004A0E69"/>
    <w:rsid w:val="004A33DB"/>
    <w:rsid w:val="004A4E80"/>
    <w:rsid w:val="004B00F4"/>
    <w:rsid w:val="004B08A7"/>
    <w:rsid w:val="004B2216"/>
    <w:rsid w:val="004B32D6"/>
    <w:rsid w:val="004B61AD"/>
    <w:rsid w:val="004C025E"/>
    <w:rsid w:val="004C0DF5"/>
    <w:rsid w:val="004D1DF1"/>
    <w:rsid w:val="004D555C"/>
    <w:rsid w:val="004E06AB"/>
    <w:rsid w:val="004E0CE3"/>
    <w:rsid w:val="004E28A8"/>
    <w:rsid w:val="004E36D9"/>
    <w:rsid w:val="004E37B6"/>
    <w:rsid w:val="004E422A"/>
    <w:rsid w:val="004E5258"/>
    <w:rsid w:val="004F094E"/>
    <w:rsid w:val="004F0D76"/>
    <w:rsid w:val="004F0DE2"/>
    <w:rsid w:val="005049CD"/>
    <w:rsid w:val="00506F24"/>
    <w:rsid w:val="0051207D"/>
    <w:rsid w:val="00516913"/>
    <w:rsid w:val="0051783A"/>
    <w:rsid w:val="00521FCC"/>
    <w:rsid w:val="0052205B"/>
    <w:rsid w:val="0052211B"/>
    <w:rsid w:val="00525549"/>
    <w:rsid w:val="005256DD"/>
    <w:rsid w:val="00533476"/>
    <w:rsid w:val="00533E44"/>
    <w:rsid w:val="0053752C"/>
    <w:rsid w:val="00537CE6"/>
    <w:rsid w:val="005407C8"/>
    <w:rsid w:val="00540DC0"/>
    <w:rsid w:val="00541729"/>
    <w:rsid w:val="005452EC"/>
    <w:rsid w:val="0054593D"/>
    <w:rsid w:val="00547FD0"/>
    <w:rsid w:val="0055629F"/>
    <w:rsid w:val="00556EED"/>
    <w:rsid w:val="00561F80"/>
    <w:rsid w:val="005621BC"/>
    <w:rsid w:val="00564DA5"/>
    <w:rsid w:val="00572027"/>
    <w:rsid w:val="00580FE3"/>
    <w:rsid w:val="005814F9"/>
    <w:rsid w:val="005851C2"/>
    <w:rsid w:val="005857D2"/>
    <w:rsid w:val="00585820"/>
    <w:rsid w:val="00590671"/>
    <w:rsid w:val="00593892"/>
    <w:rsid w:val="005942FA"/>
    <w:rsid w:val="0059613C"/>
    <w:rsid w:val="005A00FD"/>
    <w:rsid w:val="005A24CF"/>
    <w:rsid w:val="005A4319"/>
    <w:rsid w:val="005A5029"/>
    <w:rsid w:val="005A5592"/>
    <w:rsid w:val="005A5A16"/>
    <w:rsid w:val="005A6CFD"/>
    <w:rsid w:val="005A7192"/>
    <w:rsid w:val="005B4D5C"/>
    <w:rsid w:val="005C3DB9"/>
    <w:rsid w:val="005C546A"/>
    <w:rsid w:val="005C7981"/>
    <w:rsid w:val="005D0F35"/>
    <w:rsid w:val="005D308F"/>
    <w:rsid w:val="005D41CE"/>
    <w:rsid w:val="005D511F"/>
    <w:rsid w:val="005E57C7"/>
    <w:rsid w:val="005E79B8"/>
    <w:rsid w:val="005F37AA"/>
    <w:rsid w:val="005F469C"/>
    <w:rsid w:val="005F4B74"/>
    <w:rsid w:val="005F63FB"/>
    <w:rsid w:val="005F7D6D"/>
    <w:rsid w:val="006030CD"/>
    <w:rsid w:val="00604071"/>
    <w:rsid w:val="0061442A"/>
    <w:rsid w:val="00615403"/>
    <w:rsid w:val="006165C3"/>
    <w:rsid w:val="006166B3"/>
    <w:rsid w:val="00616BED"/>
    <w:rsid w:val="00617A02"/>
    <w:rsid w:val="00620919"/>
    <w:rsid w:val="00622098"/>
    <w:rsid w:val="00622E07"/>
    <w:rsid w:val="0062520A"/>
    <w:rsid w:val="006301D0"/>
    <w:rsid w:val="00633524"/>
    <w:rsid w:val="00635EF3"/>
    <w:rsid w:val="0063698A"/>
    <w:rsid w:val="00637E7B"/>
    <w:rsid w:val="006421B9"/>
    <w:rsid w:val="00643ED9"/>
    <w:rsid w:val="0064418E"/>
    <w:rsid w:val="0064433C"/>
    <w:rsid w:val="0065061A"/>
    <w:rsid w:val="00653C03"/>
    <w:rsid w:val="00655AC3"/>
    <w:rsid w:val="00657172"/>
    <w:rsid w:val="00665FE8"/>
    <w:rsid w:val="0066729F"/>
    <w:rsid w:val="00672733"/>
    <w:rsid w:val="006755A4"/>
    <w:rsid w:val="00675FED"/>
    <w:rsid w:val="0068441B"/>
    <w:rsid w:val="006855B8"/>
    <w:rsid w:val="0068711E"/>
    <w:rsid w:val="006901CD"/>
    <w:rsid w:val="0069145B"/>
    <w:rsid w:val="0069308B"/>
    <w:rsid w:val="00695031"/>
    <w:rsid w:val="00696296"/>
    <w:rsid w:val="00697394"/>
    <w:rsid w:val="006976C7"/>
    <w:rsid w:val="00697DCF"/>
    <w:rsid w:val="006A21B7"/>
    <w:rsid w:val="006A2205"/>
    <w:rsid w:val="006A38A3"/>
    <w:rsid w:val="006B4CC1"/>
    <w:rsid w:val="006B58DE"/>
    <w:rsid w:val="006C1489"/>
    <w:rsid w:val="006C1A7E"/>
    <w:rsid w:val="006D0D66"/>
    <w:rsid w:val="006D5D14"/>
    <w:rsid w:val="006D69AA"/>
    <w:rsid w:val="006E15C6"/>
    <w:rsid w:val="006E2C7B"/>
    <w:rsid w:val="006E2F6B"/>
    <w:rsid w:val="006F43F2"/>
    <w:rsid w:val="006F5542"/>
    <w:rsid w:val="00711E60"/>
    <w:rsid w:val="00712059"/>
    <w:rsid w:val="00712560"/>
    <w:rsid w:val="007151C5"/>
    <w:rsid w:val="00715D28"/>
    <w:rsid w:val="00717C95"/>
    <w:rsid w:val="00717FFB"/>
    <w:rsid w:val="007303F3"/>
    <w:rsid w:val="00730AAE"/>
    <w:rsid w:val="00734447"/>
    <w:rsid w:val="007373EA"/>
    <w:rsid w:val="0073748C"/>
    <w:rsid w:val="00745D66"/>
    <w:rsid w:val="00765DF7"/>
    <w:rsid w:val="007752A2"/>
    <w:rsid w:val="00775916"/>
    <w:rsid w:val="007860DE"/>
    <w:rsid w:val="007861C7"/>
    <w:rsid w:val="00786875"/>
    <w:rsid w:val="00791260"/>
    <w:rsid w:val="00791764"/>
    <w:rsid w:val="00793C97"/>
    <w:rsid w:val="00794655"/>
    <w:rsid w:val="007960A8"/>
    <w:rsid w:val="00797E83"/>
    <w:rsid w:val="007A119A"/>
    <w:rsid w:val="007A41AE"/>
    <w:rsid w:val="007A51A6"/>
    <w:rsid w:val="007A5A9C"/>
    <w:rsid w:val="007A630E"/>
    <w:rsid w:val="007A7184"/>
    <w:rsid w:val="007B2943"/>
    <w:rsid w:val="007B3C18"/>
    <w:rsid w:val="007B709F"/>
    <w:rsid w:val="007B742C"/>
    <w:rsid w:val="007B79A6"/>
    <w:rsid w:val="007B7C4B"/>
    <w:rsid w:val="007C0ECC"/>
    <w:rsid w:val="007C5E7D"/>
    <w:rsid w:val="007C72B4"/>
    <w:rsid w:val="007C7AA8"/>
    <w:rsid w:val="007D105C"/>
    <w:rsid w:val="007D1299"/>
    <w:rsid w:val="007D2237"/>
    <w:rsid w:val="007D3913"/>
    <w:rsid w:val="007D5A28"/>
    <w:rsid w:val="007D5F21"/>
    <w:rsid w:val="007E2EC6"/>
    <w:rsid w:val="007E535E"/>
    <w:rsid w:val="007F435B"/>
    <w:rsid w:val="007F4A51"/>
    <w:rsid w:val="007F528B"/>
    <w:rsid w:val="007F6739"/>
    <w:rsid w:val="00804EA7"/>
    <w:rsid w:val="00806E7D"/>
    <w:rsid w:val="00811B6E"/>
    <w:rsid w:val="00812798"/>
    <w:rsid w:val="00813545"/>
    <w:rsid w:val="0081356A"/>
    <w:rsid w:val="008152B9"/>
    <w:rsid w:val="008154C4"/>
    <w:rsid w:val="00815DD6"/>
    <w:rsid w:val="00816089"/>
    <w:rsid w:val="00817683"/>
    <w:rsid w:val="008256DC"/>
    <w:rsid w:val="00826388"/>
    <w:rsid w:val="00826D47"/>
    <w:rsid w:val="00831017"/>
    <w:rsid w:val="00831868"/>
    <w:rsid w:val="0083380F"/>
    <w:rsid w:val="008402F2"/>
    <w:rsid w:val="00841C8C"/>
    <w:rsid w:val="0084202C"/>
    <w:rsid w:val="0084224C"/>
    <w:rsid w:val="00842F37"/>
    <w:rsid w:val="008539AE"/>
    <w:rsid w:val="00861017"/>
    <w:rsid w:val="00862B2F"/>
    <w:rsid w:val="00865A90"/>
    <w:rsid w:val="0086628F"/>
    <w:rsid w:val="00871247"/>
    <w:rsid w:val="008724C8"/>
    <w:rsid w:val="00874E84"/>
    <w:rsid w:val="00876F4E"/>
    <w:rsid w:val="00881ED8"/>
    <w:rsid w:val="00884A52"/>
    <w:rsid w:val="00884B2E"/>
    <w:rsid w:val="008905E7"/>
    <w:rsid w:val="00893121"/>
    <w:rsid w:val="00896323"/>
    <w:rsid w:val="008A5590"/>
    <w:rsid w:val="008A7440"/>
    <w:rsid w:val="008A7DEE"/>
    <w:rsid w:val="008B19FE"/>
    <w:rsid w:val="008B1CF9"/>
    <w:rsid w:val="008B30B3"/>
    <w:rsid w:val="008B67A0"/>
    <w:rsid w:val="008C7CA3"/>
    <w:rsid w:val="008E0200"/>
    <w:rsid w:val="008E1D52"/>
    <w:rsid w:val="008F1BE5"/>
    <w:rsid w:val="008F1C30"/>
    <w:rsid w:val="008F2756"/>
    <w:rsid w:val="008F3D27"/>
    <w:rsid w:val="008F3F34"/>
    <w:rsid w:val="008F509B"/>
    <w:rsid w:val="00902EB4"/>
    <w:rsid w:val="00915EDC"/>
    <w:rsid w:val="00917AD6"/>
    <w:rsid w:val="00917EC5"/>
    <w:rsid w:val="00925A2F"/>
    <w:rsid w:val="00926DB2"/>
    <w:rsid w:val="00927155"/>
    <w:rsid w:val="00930C2B"/>
    <w:rsid w:val="00930E66"/>
    <w:rsid w:val="00931762"/>
    <w:rsid w:val="00934F65"/>
    <w:rsid w:val="00935E3B"/>
    <w:rsid w:val="009374A8"/>
    <w:rsid w:val="00937FA9"/>
    <w:rsid w:val="009404D5"/>
    <w:rsid w:val="00940938"/>
    <w:rsid w:val="009447BE"/>
    <w:rsid w:val="00945817"/>
    <w:rsid w:val="00950EF8"/>
    <w:rsid w:val="0095117A"/>
    <w:rsid w:val="00954579"/>
    <w:rsid w:val="00955FD4"/>
    <w:rsid w:val="009564D2"/>
    <w:rsid w:val="00967C3F"/>
    <w:rsid w:val="00967D35"/>
    <w:rsid w:val="0097092D"/>
    <w:rsid w:val="00973C20"/>
    <w:rsid w:val="00976BEC"/>
    <w:rsid w:val="00977B65"/>
    <w:rsid w:val="009809C6"/>
    <w:rsid w:val="00983693"/>
    <w:rsid w:val="00984BE4"/>
    <w:rsid w:val="009862B4"/>
    <w:rsid w:val="00987E3E"/>
    <w:rsid w:val="0099201A"/>
    <w:rsid w:val="00992F2D"/>
    <w:rsid w:val="0099384E"/>
    <w:rsid w:val="00994037"/>
    <w:rsid w:val="00994DD4"/>
    <w:rsid w:val="009A0D26"/>
    <w:rsid w:val="009A4BE8"/>
    <w:rsid w:val="009A55CC"/>
    <w:rsid w:val="009B0093"/>
    <w:rsid w:val="009B1C09"/>
    <w:rsid w:val="009B6910"/>
    <w:rsid w:val="009C6A03"/>
    <w:rsid w:val="009E0F9E"/>
    <w:rsid w:val="009E14E6"/>
    <w:rsid w:val="009E255C"/>
    <w:rsid w:val="009E2A85"/>
    <w:rsid w:val="009E318C"/>
    <w:rsid w:val="009F5435"/>
    <w:rsid w:val="009F603C"/>
    <w:rsid w:val="00A00EE7"/>
    <w:rsid w:val="00A00FE3"/>
    <w:rsid w:val="00A01472"/>
    <w:rsid w:val="00A04BB6"/>
    <w:rsid w:val="00A05F53"/>
    <w:rsid w:val="00A07DE8"/>
    <w:rsid w:val="00A104CA"/>
    <w:rsid w:val="00A14B6C"/>
    <w:rsid w:val="00A17E56"/>
    <w:rsid w:val="00A20874"/>
    <w:rsid w:val="00A20EB1"/>
    <w:rsid w:val="00A21144"/>
    <w:rsid w:val="00A22578"/>
    <w:rsid w:val="00A26004"/>
    <w:rsid w:val="00A26CE1"/>
    <w:rsid w:val="00A366C5"/>
    <w:rsid w:val="00A369F1"/>
    <w:rsid w:val="00A3729D"/>
    <w:rsid w:val="00A43B94"/>
    <w:rsid w:val="00A45E6E"/>
    <w:rsid w:val="00A47B89"/>
    <w:rsid w:val="00A535F8"/>
    <w:rsid w:val="00A549B6"/>
    <w:rsid w:val="00A56CBE"/>
    <w:rsid w:val="00A57CB9"/>
    <w:rsid w:val="00A61619"/>
    <w:rsid w:val="00A704CE"/>
    <w:rsid w:val="00A70955"/>
    <w:rsid w:val="00A74AC8"/>
    <w:rsid w:val="00A75B26"/>
    <w:rsid w:val="00A80647"/>
    <w:rsid w:val="00A82887"/>
    <w:rsid w:val="00A86356"/>
    <w:rsid w:val="00A94770"/>
    <w:rsid w:val="00A94A18"/>
    <w:rsid w:val="00A9642A"/>
    <w:rsid w:val="00AA3263"/>
    <w:rsid w:val="00AB022E"/>
    <w:rsid w:val="00AB3057"/>
    <w:rsid w:val="00AC168A"/>
    <w:rsid w:val="00AC759A"/>
    <w:rsid w:val="00AD05B0"/>
    <w:rsid w:val="00AD0CFF"/>
    <w:rsid w:val="00AD7B17"/>
    <w:rsid w:val="00AE52C9"/>
    <w:rsid w:val="00AE6AA6"/>
    <w:rsid w:val="00AF08EF"/>
    <w:rsid w:val="00AF6514"/>
    <w:rsid w:val="00AF75F4"/>
    <w:rsid w:val="00B0367C"/>
    <w:rsid w:val="00B054BF"/>
    <w:rsid w:val="00B06EDE"/>
    <w:rsid w:val="00B073CA"/>
    <w:rsid w:val="00B10E87"/>
    <w:rsid w:val="00B11823"/>
    <w:rsid w:val="00B11898"/>
    <w:rsid w:val="00B126FD"/>
    <w:rsid w:val="00B14363"/>
    <w:rsid w:val="00B223EF"/>
    <w:rsid w:val="00B2748F"/>
    <w:rsid w:val="00B31B5A"/>
    <w:rsid w:val="00B36EBE"/>
    <w:rsid w:val="00B45AA0"/>
    <w:rsid w:val="00B5100B"/>
    <w:rsid w:val="00B51748"/>
    <w:rsid w:val="00B53B1F"/>
    <w:rsid w:val="00B54604"/>
    <w:rsid w:val="00B56DFE"/>
    <w:rsid w:val="00B575E3"/>
    <w:rsid w:val="00B5795B"/>
    <w:rsid w:val="00B608AE"/>
    <w:rsid w:val="00B61DA4"/>
    <w:rsid w:val="00B631B8"/>
    <w:rsid w:val="00B65C5B"/>
    <w:rsid w:val="00B66D49"/>
    <w:rsid w:val="00B752C6"/>
    <w:rsid w:val="00B80093"/>
    <w:rsid w:val="00B87699"/>
    <w:rsid w:val="00B91CEA"/>
    <w:rsid w:val="00B942BA"/>
    <w:rsid w:val="00B954B6"/>
    <w:rsid w:val="00B96CD9"/>
    <w:rsid w:val="00BA4E76"/>
    <w:rsid w:val="00BB08E0"/>
    <w:rsid w:val="00BB5EA3"/>
    <w:rsid w:val="00BB5EF0"/>
    <w:rsid w:val="00BC037C"/>
    <w:rsid w:val="00BC33D2"/>
    <w:rsid w:val="00BC33E9"/>
    <w:rsid w:val="00BC72FC"/>
    <w:rsid w:val="00BD156B"/>
    <w:rsid w:val="00BD72EF"/>
    <w:rsid w:val="00BE08F7"/>
    <w:rsid w:val="00BE1D09"/>
    <w:rsid w:val="00BE2C3D"/>
    <w:rsid w:val="00BE4054"/>
    <w:rsid w:val="00BE7467"/>
    <w:rsid w:val="00BF17A6"/>
    <w:rsid w:val="00BF7901"/>
    <w:rsid w:val="00C04180"/>
    <w:rsid w:val="00C079F5"/>
    <w:rsid w:val="00C1131A"/>
    <w:rsid w:val="00C119D7"/>
    <w:rsid w:val="00C1208D"/>
    <w:rsid w:val="00C137BE"/>
    <w:rsid w:val="00C13DBB"/>
    <w:rsid w:val="00C13F8F"/>
    <w:rsid w:val="00C16D10"/>
    <w:rsid w:val="00C21F9F"/>
    <w:rsid w:val="00C22BCB"/>
    <w:rsid w:val="00C251A7"/>
    <w:rsid w:val="00C30636"/>
    <w:rsid w:val="00C30BD9"/>
    <w:rsid w:val="00C32F64"/>
    <w:rsid w:val="00C33027"/>
    <w:rsid w:val="00C40025"/>
    <w:rsid w:val="00C44A13"/>
    <w:rsid w:val="00C4614C"/>
    <w:rsid w:val="00C464AF"/>
    <w:rsid w:val="00C4695B"/>
    <w:rsid w:val="00C562AB"/>
    <w:rsid w:val="00C61C80"/>
    <w:rsid w:val="00C66638"/>
    <w:rsid w:val="00C676D6"/>
    <w:rsid w:val="00C708F1"/>
    <w:rsid w:val="00C71373"/>
    <w:rsid w:val="00C720CC"/>
    <w:rsid w:val="00C84218"/>
    <w:rsid w:val="00C9036B"/>
    <w:rsid w:val="00C90DD9"/>
    <w:rsid w:val="00C91401"/>
    <w:rsid w:val="00C93A18"/>
    <w:rsid w:val="00C942C9"/>
    <w:rsid w:val="00C94892"/>
    <w:rsid w:val="00C94F60"/>
    <w:rsid w:val="00CA0CBC"/>
    <w:rsid w:val="00CA11B7"/>
    <w:rsid w:val="00CA1580"/>
    <w:rsid w:val="00CA2832"/>
    <w:rsid w:val="00CA5363"/>
    <w:rsid w:val="00CB02F0"/>
    <w:rsid w:val="00CB790F"/>
    <w:rsid w:val="00CC020B"/>
    <w:rsid w:val="00CC0271"/>
    <w:rsid w:val="00CC1897"/>
    <w:rsid w:val="00CD0A5C"/>
    <w:rsid w:val="00CD5BD7"/>
    <w:rsid w:val="00CD65E9"/>
    <w:rsid w:val="00CE188E"/>
    <w:rsid w:val="00CE430B"/>
    <w:rsid w:val="00CE7CE9"/>
    <w:rsid w:val="00CE7F3C"/>
    <w:rsid w:val="00CF4DE1"/>
    <w:rsid w:val="00D02863"/>
    <w:rsid w:val="00D0293C"/>
    <w:rsid w:val="00D02AE7"/>
    <w:rsid w:val="00D055EA"/>
    <w:rsid w:val="00D0580C"/>
    <w:rsid w:val="00D05B59"/>
    <w:rsid w:val="00D06B2C"/>
    <w:rsid w:val="00D135EF"/>
    <w:rsid w:val="00D177B4"/>
    <w:rsid w:val="00D20B98"/>
    <w:rsid w:val="00D26DAB"/>
    <w:rsid w:val="00D27C62"/>
    <w:rsid w:val="00D32765"/>
    <w:rsid w:val="00D33535"/>
    <w:rsid w:val="00D33658"/>
    <w:rsid w:val="00D42873"/>
    <w:rsid w:val="00D43CAB"/>
    <w:rsid w:val="00D43D71"/>
    <w:rsid w:val="00D441AD"/>
    <w:rsid w:val="00D47A14"/>
    <w:rsid w:val="00D51D91"/>
    <w:rsid w:val="00D53E3F"/>
    <w:rsid w:val="00D62BDD"/>
    <w:rsid w:val="00D65FDD"/>
    <w:rsid w:val="00D672BC"/>
    <w:rsid w:val="00D7580A"/>
    <w:rsid w:val="00D76C80"/>
    <w:rsid w:val="00D87F5B"/>
    <w:rsid w:val="00D904BB"/>
    <w:rsid w:val="00D9181B"/>
    <w:rsid w:val="00D93D40"/>
    <w:rsid w:val="00D94417"/>
    <w:rsid w:val="00D94B93"/>
    <w:rsid w:val="00D96351"/>
    <w:rsid w:val="00DA3991"/>
    <w:rsid w:val="00DB18E4"/>
    <w:rsid w:val="00DB1B2D"/>
    <w:rsid w:val="00DB2669"/>
    <w:rsid w:val="00DB3C06"/>
    <w:rsid w:val="00DB52D4"/>
    <w:rsid w:val="00DB7C95"/>
    <w:rsid w:val="00DC37BF"/>
    <w:rsid w:val="00DC5D85"/>
    <w:rsid w:val="00DE53BC"/>
    <w:rsid w:val="00DF1B2F"/>
    <w:rsid w:val="00DF1E68"/>
    <w:rsid w:val="00DF4880"/>
    <w:rsid w:val="00E019DC"/>
    <w:rsid w:val="00E02931"/>
    <w:rsid w:val="00E0569D"/>
    <w:rsid w:val="00E11CCE"/>
    <w:rsid w:val="00E12F5E"/>
    <w:rsid w:val="00E133D8"/>
    <w:rsid w:val="00E156AD"/>
    <w:rsid w:val="00E2166F"/>
    <w:rsid w:val="00E243D4"/>
    <w:rsid w:val="00E2776C"/>
    <w:rsid w:val="00E31643"/>
    <w:rsid w:val="00E3288B"/>
    <w:rsid w:val="00E35663"/>
    <w:rsid w:val="00E3626A"/>
    <w:rsid w:val="00E40168"/>
    <w:rsid w:val="00E41A9B"/>
    <w:rsid w:val="00E4634E"/>
    <w:rsid w:val="00E5076A"/>
    <w:rsid w:val="00E52379"/>
    <w:rsid w:val="00E533A2"/>
    <w:rsid w:val="00E5342E"/>
    <w:rsid w:val="00E61CFB"/>
    <w:rsid w:val="00E620FB"/>
    <w:rsid w:val="00E71BA4"/>
    <w:rsid w:val="00E72104"/>
    <w:rsid w:val="00E72FE9"/>
    <w:rsid w:val="00E74247"/>
    <w:rsid w:val="00E828F1"/>
    <w:rsid w:val="00E84000"/>
    <w:rsid w:val="00E8405E"/>
    <w:rsid w:val="00E86871"/>
    <w:rsid w:val="00E920F9"/>
    <w:rsid w:val="00E939FE"/>
    <w:rsid w:val="00E97A26"/>
    <w:rsid w:val="00EA0420"/>
    <w:rsid w:val="00EA30F8"/>
    <w:rsid w:val="00EA3279"/>
    <w:rsid w:val="00EA4030"/>
    <w:rsid w:val="00EB4913"/>
    <w:rsid w:val="00EB5C81"/>
    <w:rsid w:val="00EC00C4"/>
    <w:rsid w:val="00EC07AA"/>
    <w:rsid w:val="00EC1765"/>
    <w:rsid w:val="00EC1E56"/>
    <w:rsid w:val="00ED41FA"/>
    <w:rsid w:val="00EE0BE3"/>
    <w:rsid w:val="00EF1C4B"/>
    <w:rsid w:val="00EF25A1"/>
    <w:rsid w:val="00EF6B15"/>
    <w:rsid w:val="00F0518E"/>
    <w:rsid w:val="00F0787E"/>
    <w:rsid w:val="00F078FE"/>
    <w:rsid w:val="00F07CED"/>
    <w:rsid w:val="00F13B5E"/>
    <w:rsid w:val="00F157A2"/>
    <w:rsid w:val="00F15A1D"/>
    <w:rsid w:val="00F1736E"/>
    <w:rsid w:val="00F17ACC"/>
    <w:rsid w:val="00F2228C"/>
    <w:rsid w:val="00F252E0"/>
    <w:rsid w:val="00F3113F"/>
    <w:rsid w:val="00F32056"/>
    <w:rsid w:val="00F33D75"/>
    <w:rsid w:val="00F341DE"/>
    <w:rsid w:val="00F34557"/>
    <w:rsid w:val="00F35783"/>
    <w:rsid w:val="00F36A18"/>
    <w:rsid w:val="00F43630"/>
    <w:rsid w:val="00F43BB1"/>
    <w:rsid w:val="00F46386"/>
    <w:rsid w:val="00F47957"/>
    <w:rsid w:val="00F51758"/>
    <w:rsid w:val="00F5305A"/>
    <w:rsid w:val="00F56323"/>
    <w:rsid w:val="00F56B3B"/>
    <w:rsid w:val="00F57531"/>
    <w:rsid w:val="00F60C7D"/>
    <w:rsid w:val="00F63E25"/>
    <w:rsid w:val="00F64FAA"/>
    <w:rsid w:val="00F65EC8"/>
    <w:rsid w:val="00F66318"/>
    <w:rsid w:val="00F67105"/>
    <w:rsid w:val="00F67265"/>
    <w:rsid w:val="00F7026D"/>
    <w:rsid w:val="00F708BB"/>
    <w:rsid w:val="00F72DDB"/>
    <w:rsid w:val="00F731AB"/>
    <w:rsid w:val="00F73B1F"/>
    <w:rsid w:val="00F75AEE"/>
    <w:rsid w:val="00F80BEC"/>
    <w:rsid w:val="00F85507"/>
    <w:rsid w:val="00F87F94"/>
    <w:rsid w:val="00F9227F"/>
    <w:rsid w:val="00F95567"/>
    <w:rsid w:val="00FA0947"/>
    <w:rsid w:val="00FA0F9B"/>
    <w:rsid w:val="00FA14EB"/>
    <w:rsid w:val="00FA1537"/>
    <w:rsid w:val="00FA4DB0"/>
    <w:rsid w:val="00FA4EB0"/>
    <w:rsid w:val="00FA4FFA"/>
    <w:rsid w:val="00FA6306"/>
    <w:rsid w:val="00FA695F"/>
    <w:rsid w:val="00FB19C5"/>
    <w:rsid w:val="00FB2774"/>
    <w:rsid w:val="00FC2923"/>
    <w:rsid w:val="00FC5313"/>
    <w:rsid w:val="00FC57B5"/>
    <w:rsid w:val="00FC753C"/>
    <w:rsid w:val="00FD0AF2"/>
    <w:rsid w:val="00FD0F30"/>
    <w:rsid w:val="00FD2F86"/>
    <w:rsid w:val="00FD5AC9"/>
    <w:rsid w:val="00FD6305"/>
    <w:rsid w:val="00FD6702"/>
    <w:rsid w:val="00FE00B9"/>
    <w:rsid w:val="00FE481F"/>
    <w:rsid w:val="00FE66BE"/>
    <w:rsid w:val="00FF0A5A"/>
    <w:rsid w:val="00FF1196"/>
    <w:rsid w:val="00FF4E89"/>
    <w:rsid w:val="00FF5693"/>
    <w:rsid w:val="00FF5E47"/>
    <w:rsid w:val="00FF6C16"/>
    <w:rsid w:val="00FF7EA8"/>
    <w:rsid w:val="03FF3EDF"/>
    <w:rsid w:val="050424E4"/>
    <w:rsid w:val="06153C5B"/>
    <w:rsid w:val="071F0864"/>
    <w:rsid w:val="0737435B"/>
    <w:rsid w:val="07FD383D"/>
    <w:rsid w:val="087F32C8"/>
    <w:rsid w:val="0CAD2EB4"/>
    <w:rsid w:val="0CB952B6"/>
    <w:rsid w:val="0D027108"/>
    <w:rsid w:val="0D882F3D"/>
    <w:rsid w:val="0D9A4FF0"/>
    <w:rsid w:val="0DF6AAC2"/>
    <w:rsid w:val="11C95F9C"/>
    <w:rsid w:val="14051AC8"/>
    <w:rsid w:val="14A847D6"/>
    <w:rsid w:val="16465CB0"/>
    <w:rsid w:val="16FE6F6D"/>
    <w:rsid w:val="17525A02"/>
    <w:rsid w:val="17B73D5C"/>
    <w:rsid w:val="180B5807"/>
    <w:rsid w:val="185E54A6"/>
    <w:rsid w:val="18DE025B"/>
    <w:rsid w:val="19BA5B02"/>
    <w:rsid w:val="1A974E89"/>
    <w:rsid w:val="1BC60178"/>
    <w:rsid w:val="1CD3634C"/>
    <w:rsid w:val="1D344258"/>
    <w:rsid w:val="1F5F6CC3"/>
    <w:rsid w:val="1F755632"/>
    <w:rsid w:val="1F7A08D5"/>
    <w:rsid w:val="1FDF6E5F"/>
    <w:rsid w:val="202A102F"/>
    <w:rsid w:val="209E05F3"/>
    <w:rsid w:val="21585AAE"/>
    <w:rsid w:val="21D762A5"/>
    <w:rsid w:val="22A358A9"/>
    <w:rsid w:val="22A6306D"/>
    <w:rsid w:val="22D56CF9"/>
    <w:rsid w:val="22F74909"/>
    <w:rsid w:val="246B5B58"/>
    <w:rsid w:val="24B03FBE"/>
    <w:rsid w:val="24E0001C"/>
    <w:rsid w:val="262E2533"/>
    <w:rsid w:val="2920429C"/>
    <w:rsid w:val="2A7E5E06"/>
    <w:rsid w:val="2AC325EA"/>
    <w:rsid w:val="2B656F4C"/>
    <w:rsid w:val="2BD13F16"/>
    <w:rsid w:val="2BE9306B"/>
    <w:rsid w:val="2ECB6A58"/>
    <w:rsid w:val="2F662C24"/>
    <w:rsid w:val="2F75CBF3"/>
    <w:rsid w:val="307D6477"/>
    <w:rsid w:val="30987B7D"/>
    <w:rsid w:val="30B534F8"/>
    <w:rsid w:val="31FB0D85"/>
    <w:rsid w:val="332134B7"/>
    <w:rsid w:val="339A2DF1"/>
    <w:rsid w:val="34D80120"/>
    <w:rsid w:val="352077B2"/>
    <w:rsid w:val="376363A2"/>
    <w:rsid w:val="37FD07A9"/>
    <w:rsid w:val="38303372"/>
    <w:rsid w:val="38CC718B"/>
    <w:rsid w:val="39D533A8"/>
    <w:rsid w:val="39DA3208"/>
    <w:rsid w:val="39E6508D"/>
    <w:rsid w:val="3A4C242B"/>
    <w:rsid w:val="3A564905"/>
    <w:rsid w:val="3B126DE4"/>
    <w:rsid w:val="3B9B00C3"/>
    <w:rsid w:val="3BE81E74"/>
    <w:rsid w:val="3CA31CB9"/>
    <w:rsid w:val="3D10719F"/>
    <w:rsid w:val="3DAA5777"/>
    <w:rsid w:val="3DEC4CFE"/>
    <w:rsid w:val="3EFC2728"/>
    <w:rsid w:val="3F5B626D"/>
    <w:rsid w:val="3F802BF1"/>
    <w:rsid w:val="3FB9C56D"/>
    <w:rsid w:val="3FBD2BF1"/>
    <w:rsid w:val="404D19C2"/>
    <w:rsid w:val="40FC6716"/>
    <w:rsid w:val="41AA4BF2"/>
    <w:rsid w:val="42254279"/>
    <w:rsid w:val="42B766F8"/>
    <w:rsid w:val="439F7DEF"/>
    <w:rsid w:val="43A13DFB"/>
    <w:rsid w:val="43ED0DC6"/>
    <w:rsid w:val="47E71C35"/>
    <w:rsid w:val="4922164E"/>
    <w:rsid w:val="49E9329C"/>
    <w:rsid w:val="4A065CCD"/>
    <w:rsid w:val="4AD169AB"/>
    <w:rsid w:val="4C7A3B96"/>
    <w:rsid w:val="4CBD0059"/>
    <w:rsid w:val="4E5754AF"/>
    <w:rsid w:val="4FEED521"/>
    <w:rsid w:val="50EE68AA"/>
    <w:rsid w:val="52036385"/>
    <w:rsid w:val="54D541E9"/>
    <w:rsid w:val="55CD0803"/>
    <w:rsid w:val="55F36710"/>
    <w:rsid w:val="569818A1"/>
    <w:rsid w:val="57DD22FF"/>
    <w:rsid w:val="58066629"/>
    <w:rsid w:val="5943118D"/>
    <w:rsid w:val="59662975"/>
    <w:rsid w:val="5E9C16C8"/>
    <w:rsid w:val="5ED9B593"/>
    <w:rsid w:val="5EEF24FC"/>
    <w:rsid w:val="5F3F29C6"/>
    <w:rsid w:val="5F7F3B12"/>
    <w:rsid w:val="5F813F54"/>
    <w:rsid w:val="60157FFC"/>
    <w:rsid w:val="60543B97"/>
    <w:rsid w:val="60730B79"/>
    <w:rsid w:val="61B50FE7"/>
    <w:rsid w:val="61EF6695"/>
    <w:rsid w:val="61FB18AB"/>
    <w:rsid w:val="63147CC6"/>
    <w:rsid w:val="63A02C5B"/>
    <w:rsid w:val="643308EA"/>
    <w:rsid w:val="6588151D"/>
    <w:rsid w:val="65AD7F87"/>
    <w:rsid w:val="65DC0F6F"/>
    <w:rsid w:val="675609A4"/>
    <w:rsid w:val="679E2C96"/>
    <w:rsid w:val="69B2232F"/>
    <w:rsid w:val="6AA749F5"/>
    <w:rsid w:val="6D45564C"/>
    <w:rsid w:val="6D9F4580"/>
    <w:rsid w:val="6E9E1203"/>
    <w:rsid w:val="6F2D7AE6"/>
    <w:rsid w:val="6F382C07"/>
    <w:rsid w:val="6FAC19B2"/>
    <w:rsid w:val="6FBC1364"/>
    <w:rsid w:val="704C4F43"/>
    <w:rsid w:val="719627C4"/>
    <w:rsid w:val="721D0945"/>
    <w:rsid w:val="722F40F3"/>
    <w:rsid w:val="72F21DD2"/>
    <w:rsid w:val="733B50D0"/>
    <w:rsid w:val="73FBD59A"/>
    <w:rsid w:val="74F830C4"/>
    <w:rsid w:val="7521699E"/>
    <w:rsid w:val="75A80A6F"/>
    <w:rsid w:val="762D531E"/>
    <w:rsid w:val="763B3A90"/>
    <w:rsid w:val="76634D94"/>
    <w:rsid w:val="767A21D3"/>
    <w:rsid w:val="76F32421"/>
    <w:rsid w:val="76FF7329"/>
    <w:rsid w:val="77CB291E"/>
    <w:rsid w:val="77DBB27B"/>
    <w:rsid w:val="78BD678B"/>
    <w:rsid w:val="78EF01D3"/>
    <w:rsid w:val="79766B8D"/>
    <w:rsid w:val="79AE4579"/>
    <w:rsid w:val="79CF181A"/>
    <w:rsid w:val="79FA0F49"/>
    <w:rsid w:val="7A1461DB"/>
    <w:rsid w:val="7A4E3E64"/>
    <w:rsid w:val="7A8157E9"/>
    <w:rsid w:val="7C2428D0"/>
    <w:rsid w:val="7C4B2553"/>
    <w:rsid w:val="7C565940"/>
    <w:rsid w:val="7CC82E0B"/>
    <w:rsid w:val="7D221505"/>
    <w:rsid w:val="7DFB1E0C"/>
    <w:rsid w:val="7E226F38"/>
    <w:rsid w:val="7ED7BAC2"/>
    <w:rsid w:val="7EF5D433"/>
    <w:rsid w:val="7F155DFD"/>
    <w:rsid w:val="7F34079E"/>
    <w:rsid w:val="7FA7942D"/>
    <w:rsid w:val="7FE3FEEF"/>
    <w:rsid w:val="7FFCDC19"/>
    <w:rsid w:val="7FFFDA4D"/>
    <w:rsid w:val="94A4CA3D"/>
    <w:rsid w:val="97FB472C"/>
    <w:rsid w:val="9EA7FAEE"/>
    <w:rsid w:val="AF3FCA2C"/>
    <w:rsid w:val="BB7B06B5"/>
    <w:rsid w:val="BCF2F003"/>
    <w:rsid w:val="BF39F6A1"/>
    <w:rsid w:val="BFEFE541"/>
    <w:rsid w:val="CFEBD836"/>
    <w:rsid w:val="D1753A9A"/>
    <w:rsid w:val="D7FF4D0E"/>
    <w:rsid w:val="DBDE9E8D"/>
    <w:rsid w:val="DBF79754"/>
    <w:rsid w:val="DFEF93B3"/>
    <w:rsid w:val="E577552E"/>
    <w:rsid w:val="E9E666B5"/>
    <w:rsid w:val="EFED5192"/>
    <w:rsid w:val="EFF37099"/>
    <w:rsid w:val="F1F61E45"/>
    <w:rsid w:val="F35F338C"/>
    <w:rsid w:val="F7BB0466"/>
    <w:rsid w:val="F7F36B03"/>
    <w:rsid w:val="F9EF83A6"/>
    <w:rsid w:val="FAFF7A1F"/>
    <w:rsid w:val="FBBDFE6C"/>
    <w:rsid w:val="FEFF8CCD"/>
    <w:rsid w:val="FF55FC30"/>
    <w:rsid w:val="FF7EB650"/>
    <w:rsid w:val="FFBF9310"/>
    <w:rsid w:val="FFBFEE26"/>
    <w:rsid w:val="FFDE7E42"/>
    <w:rsid w:val="FFDFFA9D"/>
    <w:rsid w:val="FFFB51F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仿宋_GB2312"/>
      <w:bCs/>
      <w:kern w:val="2"/>
      <w:sz w:val="28"/>
      <w:szCs w:val="22"/>
      <w:lang w:val="en-US" w:eastAsia="zh-CN" w:bidi="ar-SA"/>
    </w:rPr>
  </w:style>
  <w:style w:type="paragraph" w:styleId="2">
    <w:name w:val="heading 1"/>
    <w:basedOn w:val="1"/>
    <w:next w:val="1"/>
    <w:qFormat/>
    <w:uiPriority w:val="0"/>
    <w:pPr>
      <w:spacing w:line="578" w:lineRule="exact"/>
      <w:ind w:firstLine="420"/>
      <w:outlineLvl w:val="0"/>
    </w:pPr>
    <w:rPr>
      <w:rFonts w:ascii="黑体" w:hAnsi="黑体" w:eastAsia="黑体"/>
      <w:sz w:val="32"/>
      <w:szCs w:val="32"/>
    </w:rPr>
  </w:style>
  <w:style w:type="paragraph" w:styleId="3">
    <w:name w:val="heading 2"/>
    <w:basedOn w:val="1"/>
    <w:next w:val="1"/>
    <w:link w:val="23"/>
    <w:qFormat/>
    <w:uiPriority w:val="0"/>
    <w:pPr>
      <w:spacing w:line="578" w:lineRule="exact"/>
      <w:ind w:firstLine="420"/>
      <w:outlineLvl w:val="1"/>
    </w:pPr>
    <w:rPr>
      <w:rFonts w:ascii="楷体" w:hAnsi="楷体" w:eastAsia="楷体"/>
      <w:bCs w:val="0"/>
      <w:sz w:val="32"/>
      <w:szCs w:val="32"/>
    </w:rPr>
  </w:style>
  <w:style w:type="paragraph" w:styleId="4">
    <w:name w:val="heading 3"/>
    <w:basedOn w:val="1"/>
    <w:next w:val="1"/>
    <w:link w:val="24"/>
    <w:unhideWhenUsed/>
    <w:qFormat/>
    <w:uiPriority w:val="9"/>
    <w:pPr>
      <w:spacing w:line="578" w:lineRule="exact"/>
      <w:ind w:firstLine="420"/>
      <w:outlineLvl w:val="2"/>
    </w:pPr>
    <w:rPr>
      <w:rFonts w:hAnsi="仿宋_GB2312"/>
      <w:sz w:val="32"/>
      <w:szCs w:val="32"/>
    </w:rPr>
  </w:style>
  <w:style w:type="paragraph" w:styleId="5">
    <w:name w:val="heading 4"/>
    <w:basedOn w:val="1"/>
    <w:next w:val="1"/>
    <w:link w:val="25"/>
    <w:unhideWhenUsed/>
    <w:qFormat/>
    <w:uiPriority w:val="9"/>
    <w:pPr>
      <w:keepNext/>
      <w:keepLines/>
      <w:spacing w:line="560" w:lineRule="exact"/>
      <w:outlineLvl w:val="3"/>
    </w:pPr>
    <w:rPr>
      <w:rFonts w:hAnsi="仿宋_GB2312"/>
      <w:b/>
      <w:bCs w:val="0"/>
      <w:sz w:val="32"/>
      <w:szCs w:val="32"/>
    </w:rPr>
  </w:style>
  <w:style w:type="character" w:default="1" w:styleId="15">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6">
    <w:name w:val="annotation text"/>
    <w:basedOn w:val="1"/>
    <w:unhideWhenUsed/>
    <w:qFormat/>
    <w:uiPriority w:val="99"/>
    <w:pPr>
      <w:jc w:val="left"/>
    </w:pPr>
  </w:style>
  <w:style w:type="paragraph" w:styleId="7">
    <w:name w:val="Body Text"/>
    <w:basedOn w:val="1"/>
    <w:next w:val="8"/>
    <w:unhideWhenUsed/>
    <w:qFormat/>
    <w:uiPriority w:val="0"/>
    <w:pPr>
      <w:spacing w:after="120"/>
    </w:pPr>
  </w:style>
  <w:style w:type="paragraph" w:styleId="8">
    <w:name w:val="Title"/>
    <w:basedOn w:val="1"/>
    <w:next w:val="1"/>
    <w:qFormat/>
    <w:uiPriority w:val="10"/>
    <w:pPr>
      <w:spacing w:before="120" w:after="120" w:line="360" w:lineRule="auto"/>
      <w:outlineLvl w:val="1"/>
    </w:pPr>
    <w:rPr>
      <w:rFonts w:ascii="Times New Roman" w:eastAsia="黑体" w:cs="Times New Roman"/>
      <w:bCs w:val="0"/>
      <w:kern w:val="0"/>
      <w:sz w:val="32"/>
      <w:szCs w:val="32"/>
    </w:rPr>
  </w:style>
  <w:style w:type="paragraph" w:styleId="9">
    <w:name w:val="toc 3"/>
    <w:basedOn w:val="1"/>
    <w:next w:val="1"/>
    <w:unhideWhenUsed/>
    <w:qFormat/>
    <w:uiPriority w:val="39"/>
    <w:pPr>
      <w:ind w:left="840" w:leftChars="400"/>
    </w:pPr>
  </w:style>
  <w:style w:type="paragraph" w:styleId="10">
    <w:name w:val="Balloon Text"/>
    <w:basedOn w:val="1"/>
    <w:link w:val="26"/>
    <w:unhideWhenUsed/>
    <w:qFormat/>
    <w:uiPriority w:val="99"/>
    <w:rPr>
      <w:sz w:val="18"/>
      <w:szCs w:val="18"/>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character" w:styleId="16">
    <w:name w:val="Emphasis"/>
    <w:basedOn w:val="15"/>
    <w:qFormat/>
    <w:uiPriority w:val="0"/>
    <w:rPr>
      <w:i/>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unhideWhenUsed/>
    <w:qFormat/>
    <w:uiPriority w:val="99"/>
    <w:rPr>
      <w:sz w:val="21"/>
      <w:szCs w:val="21"/>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1">
    <w:name w:val="页眉 字符"/>
    <w:basedOn w:val="15"/>
    <w:link w:val="12"/>
    <w:qFormat/>
    <w:uiPriority w:val="99"/>
    <w:rPr>
      <w:sz w:val="18"/>
      <w:szCs w:val="18"/>
    </w:rPr>
  </w:style>
  <w:style w:type="character" w:customStyle="1" w:styleId="22">
    <w:name w:val="页脚 字符"/>
    <w:basedOn w:val="15"/>
    <w:link w:val="11"/>
    <w:qFormat/>
    <w:uiPriority w:val="99"/>
    <w:rPr>
      <w:sz w:val="18"/>
      <w:szCs w:val="18"/>
    </w:rPr>
  </w:style>
  <w:style w:type="character" w:customStyle="1" w:styleId="23">
    <w:name w:val="标题 2 字符"/>
    <w:basedOn w:val="15"/>
    <w:link w:val="3"/>
    <w:qFormat/>
    <w:uiPriority w:val="0"/>
    <w:rPr>
      <w:rFonts w:ascii="楷体" w:hAnsi="楷体" w:eastAsia="楷体"/>
      <w:sz w:val="32"/>
      <w:szCs w:val="32"/>
    </w:rPr>
  </w:style>
  <w:style w:type="character" w:customStyle="1" w:styleId="24">
    <w:name w:val="标题 3 字符"/>
    <w:basedOn w:val="15"/>
    <w:link w:val="4"/>
    <w:qFormat/>
    <w:uiPriority w:val="9"/>
    <w:rPr>
      <w:rFonts w:hAnsi="仿宋_GB2312"/>
      <w:sz w:val="32"/>
      <w:szCs w:val="32"/>
    </w:rPr>
  </w:style>
  <w:style w:type="character" w:customStyle="1" w:styleId="25">
    <w:name w:val="标题 4 字符"/>
    <w:basedOn w:val="15"/>
    <w:link w:val="5"/>
    <w:qFormat/>
    <w:uiPriority w:val="9"/>
    <w:rPr>
      <w:rFonts w:hAnsi="仿宋_GB2312"/>
      <w:b/>
      <w:sz w:val="32"/>
      <w:szCs w:val="32"/>
    </w:rPr>
  </w:style>
  <w:style w:type="character" w:customStyle="1" w:styleId="26">
    <w:name w:val="批注框文本 字符"/>
    <w:basedOn w:val="15"/>
    <w:link w:val="10"/>
    <w:semiHidden/>
    <w:qFormat/>
    <w:uiPriority w:val="99"/>
    <w:rPr>
      <w:rFonts w:asciiTheme="minorHAnsi" w:hAnsiTheme="minorHAnsi" w:eastAsiaTheme="minorEastAsia" w:cstheme="minorBidi"/>
      <w:kern w:val="2"/>
      <w:sz w:val="18"/>
      <w:szCs w:val="18"/>
    </w:rPr>
  </w:style>
  <w:style w:type="paragraph" w:customStyle="1" w:styleId="27">
    <w:name w:val="表格-正文"/>
    <w:basedOn w:val="1"/>
    <w:link w:val="28"/>
    <w:qFormat/>
    <w:uiPriority w:val="8"/>
    <w:pPr>
      <w:widowControl/>
      <w:adjustRightInd w:val="0"/>
      <w:snapToGrid w:val="0"/>
      <w:jc w:val="center"/>
    </w:pPr>
    <w:rPr>
      <w:rFonts w:ascii="Times New Roman" w:cs="Times New Roman"/>
      <w:bCs w:val="0"/>
      <w:color w:val="000000"/>
      <w:kern w:val="0"/>
      <w:sz w:val="24"/>
      <w:szCs w:val="21"/>
    </w:rPr>
  </w:style>
  <w:style w:type="character" w:customStyle="1" w:styleId="28">
    <w:name w:val="表格-正文 Char"/>
    <w:link w:val="27"/>
    <w:qFormat/>
    <w:uiPriority w:val="8"/>
    <w:rPr>
      <w:rFonts w:ascii="Times New Roman" w:cs="Times New Roman"/>
      <w:color w:val="000000"/>
      <w:sz w:val="24"/>
      <w:szCs w:val="21"/>
    </w:rPr>
  </w:style>
  <w:style w:type="paragraph" w:customStyle="1" w:styleId="29">
    <w:name w:val="Table Text"/>
    <w:basedOn w:val="1"/>
    <w:semiHidden/>
    <w:qFormat/>
    <w:uiPriority w:val="0"/>
    <w:rPr>
      <w:rFonts w:ascii="宋体" w:hAnsi="宋体" w:eastAsia="宋体" w:cs="宋体"/>
      <w:sz w:val="22"/>
      <w:lang w:eastAsia="en-US"/>
    </w:rPr>
  </w:style>
  <w:style w:type="table" w:customStyle="1" w:styleId="30">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4410</Words>
  <Characters>25140</Characters>
  <Lines>209</Lines>
  <Paragraphs>58</Paragraphs>
  <TotalTime>0</TotalTime>
  <ScaleCrop>false</ScaleCrop>
  <LinksUpToDate>false</LinksUpToDate>
  <CharactersWithSpaces>29492</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2025-03-13T06:48:00Z</dcterms:created>
  <dc:creator>申 文庄</dc:creator>
  <cp:lastModifiedBy>ggdhg</cp:lastModifiedBy>
  <cp:lastPrinted>2025-03-14T16:20:00Z</cp:lastPrinted>
  <dcterms:modified xsi:type="dcterms:W3CDTF">2025-11-06T08:54:03Z</dcterms:modified>
  <dc:title>三亚市海洋灾害应急预案</dc:title>
  <cp:revision>521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AA1E81AF80DF4E53A74366D5C38AEBB9_13</vt:lpwstr>
  </property>
  <property fmtid="{D5CDD505-2E9C-101B-9397-08002B2CF9AE}" pid="4" name="KSOTemplateDocerSaveRecord">
    <vt:lpwstr>eyJoZGlkIjoiMDNlMWRhZmIxYzc1YzI0YzQ4NmNhNDdhOGQzMTgzMWEiLCJ1c2VySWQiOiIyMzYwOTA4NzEifQ==</vt:lpwstr>
  </property>
</Properties>
</file>