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8" w:lineRule="exact"/>
        <w:ind w:firstLine="0" w:firstLineChars="0"/>
        <w:rPr>
          <w:rFonts w:ascii="黑体" w:hAnsi="黑体" w:eastAsia="黑体" w:cs="Times New Roman (Body CS)"/>
          <w:sz w:val="32"/>
          <w:szCs w:val="32"/>
        </w:rPr>
      </w:pPr>
      <w:r>
        <w:rPr>
          <w:rFonts w:ascii="黑体" w:hAnsi="黑体" w:eastAsia="黑体" w:cs="Times New Roman (Body CS)"/>
          <w:sz w:val="32"/>
          <w:szCs w:val="32"/>
        </w:rPr>
        <w:t>附件1</w:t>
      </w:r>
    </w:p>
    <w:p>
      <w:pPr>
        <w:widowControl/>
        <w:spacing w:line="578" w:lineRule="exact"/>
        <w:ind w:firstLine="0" w:firstLineChars="0"/>
        <w:rPr>
          <w:rFonts w:hint="eastAsia" w:ascii="黑体" w:hAnsi="黑体" w:eastAsia="黑体" w:cs="Times New Roman (Body CS)"/>
          <w:sz w:val="32"/>
          <w:szCs w:val="32"/>
        </w:rPr>
      </w:pPr>
    </w:p>
    <w:p>
      <w:pPr>
        <w:widowControl/>
        <w:spacing w:line="578" w:lineRule="exact"/>
        <w:ind w:firstLine="0" w:firstLineChars="0"/>
        <w:jc w:val="center"/>
        <w:rPr>
          <w:rFonts w:hint="eastAsia" w:ascii="Times New Roman" w:hAnsi="Times New Roman" w:eastAsia="方正小标宋简体" w:cs="Times New Roman (Body CS)"/>
          <w:sz w:val="44"/>
          <w:szCs w:val="44"/>
        </w:rPr>
      </w:pPr>
      <w:r>
        <w:rPr>
          <w:rFonts w:hint="eastAsia" w:ascii="Times New Roman" w:hAnsi="Times New Roman" w:eastAsia="方正小标宋简体" w:cs="Times New Roman (Body CS)"/>
          <w:sz w:val="44"/>
          <w:szCs w:val="44"/>
        </w:rPr>
        <w:t>三亚中央商务区管理局</w:t>
      </w:r>
    </w:p>
    <w:p>
      <w:pPr>
        <w:widowControl/>
        <w:spacing w:line="578" w:lineRule="exact"/>
        <w:ind w:firstLine="0" w:firstLineChars="0"/>
        <w:jc w:val="center"/>
        <w:rPr>
          <w:rFonts w:ascii="Times New Roman" w:hAnsi="Times New Roman" w:eastAsia="方正小标宋简体" w:cs="Times New Roman (Body CS)"/>
          <w:sz w:val="44"/>
          <w:szCs w:val="44"/>
        </w:rPr>
      </w:pPr>
      <w:r>
        <w:rPr>
          <w:rFonts w:hint="eastAsia" w:ascii="Times New Roman" w:hAnsi="Times New Roman" w:eastAsia="方正小标宋简体" w:cs="Times New Roman (Body CS)"/>
          <w:sz w:val="44"/>
          <w:szCs w:val="44"/>
        </w:rPr>
        <w:t>实施内部审计服务项目采购需求书</w:t>
      </w:r>
    </w:p>
    <w:p>
      <w:pPr>
        <w:adjustRightInd w:val="0"/>
        <w:snapToGrid w:val="0"/>
        <w:spacing w:line="578" w:lineRule="exact"/>
        <w:jc w:val="center"/>
        <w:rPr>
          <w:rFonts w:ascii="仿宋_GB2312" w:hAnsi="仿宋_GB2312" w:eastAsia="仿宋_GB2312" w:cs="仿宋_GB2312"/>
          <w:b/>
          <w:bCs/>
          <w:sz w:val="32"/>
          <w:szCs w:val="3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78"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项目概述</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三亚中央商务区管理局202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年审计项目计划安排，</w:t>
      </w:r>
      <w:r>
        <w:rPr>
          <w:rFonts w:hint="eastAsia" w:ascii="仿宋_GB2312" w:hAnsi="仿宋_GB2312" w:eastAsia="仿宋_GB2312" w:cs="仿宋_GB2312"/>
          <w:bCs/>
          <w:sz w:val="32"/>
          <w:szCs w:val="32"/>
        </w:rPr>
        <w:t>现启动</w:t>
      </w:r>
      <w:r>
        <w:rPr>
          <w:rFonts w:hint="eastAsia" w:ascii="仿宋_GB2312" w:hAnsi="仿宋_GB2312" w:eastAsia="仿宋_GB2312" w:cs="仿宋_GB2312"/>
          <w:sz w:val="32"/>
          <w:szCs w:val="32"/>
        </w:rPr>
        <w:t>三亚中央商务区管理局内部审计服务项目采购</w:t>
      </w:r>
      <w:r>
        <w:rPr>
          <w:rFonts w:hint="eastAsia" w:ascii="仿宋_GB2312" w:hAnsi="仿宋_GB2312" w:eastAsia="仿宋_GB2312" w:cs="仿宋_GB2312"/>
          <w:bCs/>
          <w:sz w:val="32"/>
          <w:szCs w:val="32"/>
        </w:rPr>
        <w:t>，诚邀符合资格条件的会计（审计）师事务所供应商参加比选。</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本次采购项目为</w:t>
      </w:r>
      <w:r>
        <w:rPr>
          <w:rFonts w:hint="eastAsia" w:ascii="仿宋_GB2312" w:hAnsi="仿宋_GB2312" w:eastAsia="仿宋_GB2312" w:cs="仿宋_GB2312"/>
          <w:sz w:val="32"/>
          <w:szCs w:val="32"/>
        </w:rPr>
        <w:t>三亚中央商务区管理局内部审计</w:t>
      </w:r>
      <w:r>
        <w:rPr>
          <w:rFonts w:hint="eastAsia" w:ascii="仿宋_GB2312" w:hAnsi="仿宋_GB2312" w:eastAsia="仿宋_GB2312" w:cs="仿宋_GB2312"/>
          <w:bCs/>
          <w:sz w:val="32"/>
          <w:szCs w:val="32"/>
        </w:rPr>
        <w:t>项目，项目采购</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为三亚中央商务区管理局，采购服务项目详见下表：</w:t>
      </w:r>
    </w:p>
    <w:tbl>
      <w:tblPr>
        <w:tblStyle w:val="8"/>
        <w:tblW w:w="8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3009"/>
        <w:gridCol w:w="1336"/>
        <w:gridCol w:w="900"/>
        <w:gridCol w:w="923"/>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729" w:type="dxa"/>
            <w:vMerge w:val="restart"/>
            <w:vAlign w:val="center"/>
          </w:tcPr>
          <w:p>
            <w:pPr>
              <w:widowControl/>
              <w:adjustRightInd w:val="0"/>
              <w:snapToGrid w:val="0"/>
              <w:spacing w:line="578" w:lineRule="exact"/>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rPr>
              <w:t>序号</w:t>
            </w:r>
          </w:p>
        </w:tc>
        <w:tc>
          <w:tcPr>
            <w:tcW w:w="3009" w:type="dxa"/>
            <w:vMerge w:val="restart"/>
            <w:vAlign w:val="center"/>
          </w:tcPr>
          <w:p>
            <w:pPr>
              <w:widowControl/>
              <w:adjustRightInd w:val="0"/>
              <w:snapToGrid w:val="0"/>
              <w:spacing w:line="578" w:lineRule="exact"/>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rPr>
              <w:t>审计项目名称</w:t>
            </w:r>
          </w:p>
        </w:tc>
        <w:tc>
          <w:tcPr>
            <w:tcW w:w="1336" w:type="dxa"/>
            <w:vMerge w:val="restart"/>
            <w:vAlign w:val="center"/>
          </w:tcPr>
          <w:p>
            <w:pPr>
              <w:widowControl/>
              <w:adjustRightInd w:val="0"/>
              <w:snapToGrid w:val="0"/>
              <w:spacing w:line="578" w:lineRule="exact"/>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rPr>
              <w:t>项目数量</w:t>
            </w:r>
          </w:p>
        </w:tc>
        <w:tc>
          <w:tcPr>
            <w:tcW w:w="1823" w:type="dxa"/>
            <w:gridSpan w:val="2"/>
            <w:noWrap/>
          </w:tcPr>
          <w:p>
            <w:pPr>
              <w:widowControl/>
              <w:adjustRightInd w:val="0"/>
              <w:snapToGrid w:val="0"/>
              <w:spacing w:line="578" w:lineRule="exact"/>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rPr>
              <w:t>审计时间安排</w:t>
            </w:r>
          </w:p>
        </w:tc>
        <w:tc>
          <w:tcPr>
            <w:tcW w:w="1753" w:type="dxa"/>
            <w:vMerge w:val="restart"/>
            <w:vAlign w:val="center"/>
          </w:tcPr>
          <w:p>
            <w:pPr>
              <w:widowControl/>
              <w:adjustRightInd w:val="0"/>
              <w:snapToGrid w:val="0"/>
              <w:spacing w:line="578" w:lineRule="exact"/>
              <w:jc w:val="center"/>
              <w:textAlignment w:val="center"/>
              <w:rPr>
                <w:rFonts w:ascii="宋体" w:hAnsi="宋体" w:eastAsia="宋体" w:cs="宋体"/>
                <w:color w:val="000000"/>
                <w:sz w:val="24"/>
              </w:rPr>
            </w:pPr>
            <w:r>
              <w:rPr>
                <w:rFonts w:hint="eastAsia" w:ascii="宋体" w:hAnsi="宋体" w:eastAsia="宋体" w:cs="宋体"/>
                <w:b/>
                <w:color w:val="000000"/>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729" w:type="dxa"/>
            <w:vMerge w:val="continue"/>
          </w:tcPr>
          <w:p>
            <w:pPr>
              <w:adjustRightInd w:val="0"/>
              <w:snapToGrid w:val="0"/>
              <w:spacing w:line="578" w:lineRule="exact"/>
              <w:jc w:val="center"/>
              <w:rPr>
                <w:rFonts w:ascii="宋体" w:hAnsi="宋体" w:eastAsia="宋体" w:cs="宋体"/>
                <w:b/>
                <w:color w:val="000000"/>
                <w:sz w:val="20"/>
                <w:szCs w:val="20"/>
              </w:rPr>
            </w:pPr>
          </w:p>
        </w:tc>
        <w:tc>
          <w:tcPr>
            <w:tcW w:w="3009" w:type="dxa"/>
            <w:vMerge w:val="continue"/>
          </w:tcPr>
          <w:p>
            <w:pPr>
              <w:adjustRightInd w:val="0"/>
              <w:snapToGrid w:val="0"/>
              <w:spacing w:line="578" w:lineRule="exact"/>
              <w:jc w:val="center"/>
              <w:rPr>
                <w:rFonts w:ascii="宋体" w:hAnsi="宋体" w:eastAsia="宋体" w:cs="宋体"/>
                <w:b/>
                <w:color w:val="000000"/>
                <w:sz w:val="20"/>
                <w:szCs w:val="20"/>
              </w:rPr>
            </w:pPr>
          </w:p>
        </w:tc>
        <w:tc>
          <w:tcPr>
            <w:tcW w:w="1336" w:type="dxa"/>
            <w:vMerge w:val="continue"/>
          </w:tcPr>
          <w:p>
            <w:pPr>
              <w:adjustRightInd w:val="0"/>
              <w:snapToGrid w:val="0"/>
              <w:spacing w:line="578" w:lineRule="exact"/>
              <w:jc w:val="center"/>
              <w:rPr>
                <w:rFonts w:ascii="宋体" w:hAnsi="宋体" w:eastAsia="宋体" w:cs="宋体"/>
                <w:b/>
                <w:color w:val="000000"/>
                <w:sz w:val="20"/>
                <w:szCs w:val="20"/>
              </w:rPr>
            </w:pPr>
          </w:p>
        </w:tc>
        <w:tc>
          <w:tcPr>
            <w:tcW w:w="900" w:type="dxa"/>
          </w:tcPr>
          <w:p>
            <w:pPr>
              <w:keepNext w:val="0"/>
              <w:keepLines w:val="0"/>
              <w:pageBreakBefore w:val="0"/>
              <w:widowControl/>
              <w:kinsoku/>
              <w:wordWrap/>
              <w:overflowPunct/>
              <w:topLinePunct w:val="0"/>
              <w:autoSpaceDE/>
              <w:autoSpaceDN/>
              <w:bidi w:val="0"/>
              <w:adjustRightInd w:val="0"/>
              <w:snapToGrid w:val="0"/>
              <w:spacing w:line="380" w:lineRule="exact"/>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val="en-US" w:eastAsia="zh-CN"/>
              </w:rPr>
              <w:t>预计</w:t>
            </w:r>
            <w:r>
              <w:rPr>
                <w:rFonts w:hint="eastAsia" w:ascii="宋体" w:hAnsi="宋体" w:eastAsia="宋体" w:cs="宋体"/>
                <w:b/>
                <w:color w:val="000000"/>
                <w:kern w:val="0"/>
                <w:sz w:val="20"/>
                <w:szCs w:val="20"/>
              </w:rPr>
              <w:t>开始时间</w:t>
            </w:r>
          </w:p>
        </w:tc>
        <w:tc>
          <w:tcPr>
            <w:tcW w:w="923" w:type="dxa"/>
          </w:tcPr>
          <w:p>
            <w:pPr>
              <w:keepNext w:val="0"/>
              <w:keepLines w:val="0"/>
              <w:pageBreakBefore w:val="0"/>
              <w:widowControl/>
              <w:kinsoku/>
              <w:wordWrap/>
              <w:overflowPunct/>
              <w:topLinePunct w:val="0"/>
              <w:autoSpaceDE/>
              <w:autoSpaceDN/>
              <w:bidi w:val="0"/>
              <w:adjustRightInd w:val="0"/>
              <w:snapToGrid w:val="0"/>
              <w:spacing w:line="380" w:lineRule="exact"/>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val="en-US" w:eastAsia="zh-CN"/>
              </w:rPr>
              <w:t>预计</w:t>
            </w:r>
            <w:r>
              <w:rPr>
                <w:rFonts w:hint="eastAsia" w:ascii="宋体" w:hAnsi="宋体" w:eastAsia="宋体" w:cs="宋体"/>
                <w:b/>
                <w:color w:val="000000"/>
                <w:kern w:val="0"/>
                <w:sz w:val="20"/>
                <w:szCs w:val="20"/>
              </w:rPr>
              <w:t>完成时间</w:t>
            </w:r>
          </w:p>
        </w:tc>
        <w:tc>
          <w:tcPr>
            <w:tcW w:w="1753" w:type="dxa"/>
            <w:vMerge w:val="continue"/>
          </w:tcPr>
          <w:p>
            <w:pPr>
              <w:adjustRightInd w:val="0"/>
              <w:snapToGrid w:val="0"/>
              <w:spacing w:line="578" w:lineRule="exact"/>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trPr>
        <w:tc>
          <w:tcPr>
            <w:tcW w:w="729" w:type="dxa"/>
            <w:vAlign w:val="center"/>
          </w:tcPr>
          <w:p>
            <w:pPr>
              <w:adjustRightInd w:val="0"/>
              <w:snapToGrid w:val="0"/>
              <w:spacing w:line="578" w:lineRule="exact"/>
              <w:jc w:val="center"/>
              <w:rPr>
                <w:rFonts w:hint="default" w:ascii="宋体" w:hAnsi="宋体" w:eastAsia="宋体" w:cs="宋体"/>
                <w:b/>
                <w:color w:val="000000"/>
                <w:sz w:val="20"/>
                <w:szCs w:val="20"/>
                <w:lang w:val="en-US" w:eastAsia="zh-CN"/>
              </w:rPr>
            </w:pPr>
            <w:r>
              <w:rPr>
                <w:rFonts w:hint="eastAsia" w:ascii="宋体" w:hAnsi="宋体" w:eastAsia="宋体" w:cs="宋体"/>
                <w:color w:val="000000"/>
                <w:kern w:val="0"/>
                <w:sz w:val="20"/>
                <w:szCs w:val="20"/>
                <w:lang w:val="en-US" w:eastAsia="zh-CN"/>
              </w:rPr>
              <w:t>1</w:t>
            </w:r>
          </w:p>
        </w:tc>
        <w:tc>
          <w:tcPr>
            <w:tcW w:w="3009" w:type="dxa"/>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color w:val="000000"/>
                <w:sz w:val="20"/>
                <w:szCs w:val="20"/>
                <w:lang w:eastAsia="zh-CN"/>
              </w:rPr>
            </w:pPr>
            <w:r>
              <w:rPr>
                <w:rFonts w:hint="eastAsia" w:ascii="宋体" w:hAnsi="宋体" w:eastAsia="宋体" w:cs="宋体"/>
                <w:color w:val="000000"/>
                <w:kern w:val="0"/>
                <w:sz w:val="20"/>
                <w:szCs w:val="20"/>
              </w:rPr>
              <w:t>海南三亚国际邮轮港一期</w:t>
            </w:r>
            <w:r>
              <w:rPr>
                <w:rFonts w:hint="eastAsia" w:ascii="宋体" w:hAnsi="宋体" w:eastAsia="宋体" w:cs="宋体"/>
                <w:color w:val="000000"/>
                <w:kern w:val="0"/>
                <w:sz w:val="20"/>
                <w:szCs w:val="20"/>
                <w:lang w:val="en-US" w:eastAsia="zh-CN"/>
              </w:rPr>
              <w:t>阶段性审计</w:t>
            </w:r>
            <w:r>
              <w:rPr>
                <w:rFonts w:hint="eastAsia" w:ascii="宋体" w:hAnsi="宋体" w:eastAsia="宋体" w:cs="宋体"/>
                <w:color w:val="000000"/>
                <w:kern w:val="0"/>
                <w:sz w:val="20"/>
                <w:szCs w:val="20"/>
              </w:rPr>
              <w:t>项目</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工程进度约50%</w:t>
            </w:r>
            <w:r>
              <w:rPr>
                <w:rFonts w:hint="eastAsia" w:ascii="宋体" w:hAnsi="宋体" w:eastAsia="宋体" w:cs="宋体"/>
                <w:color w:val="000000"/>
                <w:kern w:val="0"/>
                <w:sz w:val="20"/>
                <w:szCs w:val="20"/>
                <w:lang w:eastAsia="zh-CN"/>
              </w:rPr>
              <w:t>）</w:t>
            </w:r>
          </w:p>
        </w:tc>
        <w:tc>
          <w:tcPr>
            <w:tcW w:w="1336" w:type="dxa"/>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900" w:type="dxa"/>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6月</w:t>
            </w:r>
          </w:p>
        </w:tc>
        <w:tc>
          <w:tcPr>
            <w:tcW w:w="923" w:type="dxa"/>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7月中旬</w:t>
            </w:r>
          </w:p>
        </w:tc>
        <w:tc>
          <w:tcPr>
            <w:tcW w:w="1753" w:type="dxa"/>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项目进点时间及出点时间根据实际情况进行调整</w:t>
            </w:r>
          </w:p>
        </w:tc>
      </w:tr>
    </w:tbl>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ascii="仿宋_GB2312" w:hAnsi="仿宋_GB2312" w:eastAsia="仿宋_GB2312" w:cs="仿宋_GB2312"/>
          <w:bCs/>
          <w:sz w:val="32"/>
          <w:szCs w:val="3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78" w:lineRule="exact"/>
        <w:ind w:left="0" w:firstLine="640" w:firstLineChars="200"/>
        <w:textAlignment w:val="auto"/>
        <w:rPr>
          <w:rFonts w:ascii="黑体" w:hAnsi="黑体" w:eastAsia="黑体" w:cs="黑体"/>
          <w:sz w:val="32"/>
          <w:szCs w:val="32"/>
        </w:rPr>
      </w:pPr>
      <w:r>
        <w:rPr>
          <w:rFonts w:hint="eastAsia" w:ascii="黑体" w:hAnsi="黑体" w:eastAsia="黑体" w:cs="黑体"/>
          <w:sz w:val="32"/>
          <w:szCs w:val="32"/>
        </w:rPr>
        <w:t>项目采购内容及要求</w:t>
      </w:r>
    </w:p>
    <w:p>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578" w:lineRule="exact"/>
        <w:ind w:left="0" w:firstLine="640" w:firstLineChars="200"/>
        <w:jc w:val="left"/>
        <w:textAlignment w:val="auto"/>
        <w:rPr>
          <w:rFonts w:ascii="楷体_GB2312" w:hAnsi="楷体_GB2312" w:eastAsia="楷体_GB2312" w:cs="楷体_GB2312"/>
          <w:sz w:val="32"/>
          <w:szCs w:val="32"/>
          <w:lang w:val="en-US" w:eastAsia="zh-CN"/>
        </w:rPr>
      </w:pPr>
      <w:r>
        <w:rPr>
          <w:rFonts w:hint="eastAsia" w:ascii="楷体_GB2312" w:hAnsi="楷体_GB2312" w:eastAsia="楷体_GB2312" w:cs="楷体_GB2312"/>
          <w:sz w:val="32"/>
          <w:lang w:val="en-US" w:eastAsia="zh-CN"/>
        </w:rPr>
        <w:t>采购内容</w:t>
      </w:r>
    </w:p>
    <w:p>
      <w:pPr>
        <w:pStyle w:val="17"/>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highlight w:val="none"/>
          <w:lang w:val="en-US" w:eastAsia="zh-CN"/>
        </w:rPr>
        <w:t>海南三亚国际邮轮港一期阶段性审计，</w:t>
      </w:r>
      <w:r>
        <w:rPr>
          <w:rFonts w:hint="eastAsia" w:ascii="仿宋_GB2312" w:hAnsi="仿宋_GB2312" w:eastAsia="仿宋_GB2312" w:cs="仿宋_GB2312"/>
          <w:sz w:val="32"/>
          <w:szCs w:val="32"/>
          <w:lang w:val="en-US" w:eastAsia="zh-CN"/>
        </w:rPr>
        <w:t>包括以下审计内容：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640" w:firstLineChars="200"/>
        <w:jc w:val="left"/>
        <w:textAlignment w:val="auto"/>
        <w:rPr>
          <w:rFonts w:hint="default" w:ascii="仿宋_GB2312" w:hAnsi="仿宋_GB2312" w:eastAsia="仿宋_GB2312" w:cs="仿宋_GB2312"/>
          <w:kern w:val="2"/>
          <w:sz w:val="32"/>
          <w:szCs w:val="32"/>
          <w:lang w:val="en-US" w:eastAsia="zh-CN" w:bidi="zh-TW"/>
        </w:rPr>
      </w:pPr>
      <w:r>
        <w:rPr>
          <w:rFonts w:hint="eastAsia" w:ascii="仿宋_GB2312" w:hAnsi="仿宋_GB2312" w:eastAsia="仿宋_GB2312" w:cs="仿宋_GB2312"/>
          <w:sz w:val="32"/>
          <w:szCs w:val="32"/>
          <w:lang w:val="en-US" w:eastAsia="zh-CN" w:bidi="zh-TW"/>
        </w:rPr>
        <w:t>1.立项审批审计，</w:t>
      </w:r>
      <w:r>
        <w:rPr>
          <w:rFonts w:hint="eastAsia" w:ascii="仿宋_GB2312" w:hAnsi="仿宋_GB2312" w:eastAsia="仿宋_GB2312" w:cs="仿宋_GB2312"/>
          <w:kern w:val="2"/>
          <w:sz w:val="32"/>
          <w:szCs w:val="32"/>
          <w:lang w:val="en-US" w:eastAsia="zh-CN" w:bidi="zh-TW"/>
        </w:rPr>
        <w:t>审查立项文件是否完整（可研报告、环评批复等），验证审批程序合规性（备案程序及规划许可等），检查资金到位情况；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hint="eastAsia"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2.招投标审计，检查招标文件合规性（资质条件设置是否合理），检查开标过程材料，复核中标单位资质；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hint="default"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3.合同审计，对比合同条款和招标文件一致性，核查合同约定人员与实际在场人员，审查计价方式（固定总价/单价合同适用条件），核查风险条款（材料调差，变更签证约定）；</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hint="default"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4.资金管理审计，跟踪工程款支付进度（是否超合同约定比例），检查农民工工资专户运行，抽查大额资金流向（是否截留、挪用建设资金）；</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hint="eastAsia"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5.进度控制审计，对比施工计划和实际进度，核查施工日志与监理日志，审查是否存在延误工期及延误原因（设计变更和材料供应等）；</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hint="default"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6.质量安全审计，检查材料进场验收记录，复核第三方检测报告等；</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jc w:val="left"/>
        <w:textAlignment w:val="auto"/>
        <w:rPr>
          <w:rFonts w:hint="eastAsia" w:ascii="仿宋_GB2312" w:hAnsi="仿宋_GB2312" w:eastAsia="仿宋_GB2312" w:cs="仿宋_GB2312"/>
          <w:sz w:val="32"/>
          <w:szCs w:val="32"/>
          <w:lang w:bidi="zh-TW"/>
        </w:rPr>
      </w:pPr>
      <w:r>
        <w:rPr>
          <w:rFonts w:hint="eastAsia" w:ascii="仿宋_GB2312" w:hAnsi="仿宋_GB2312" w:eastAsia="仿宋_GB2312" w:cs="仿宋_GB2312"/>
          <w:sz w:val="32"/>
          <w:szCs w:val="32"/>
          <w:lang w:val="en-US" w:eastAsia="zh-CN" w:bidi="zh-TW"/>
        </w:rPr>
        <w:t>7.</w:t>
      </w:r>
      <w:r>
        <w:rPr>
          <w:rFonts w:hint="eastAsia" w:ascii="仿宋_GB2312" w:hAnsi="仿宋_GB2312" w:eastAsia="仿宋_GB2312" w:cs="仿宋_GB2312"/>
          <w:sz w:val="32"/>
          <w:szCs w:val="32"/>
          <w:lang w:bidi="zh-TW"/>
        </w:rPr>
        <w:t>其他需要审计的事项。</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（二）服务要求</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1.审计程序要求</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highlight w:val="none"/>
        </w:rPr>
        <w:t>完成</w:t>
      </w:r>
      <w:r>
        <w:rPr>
          <w:rFonts w:hint="eastAsia" w:ascii="仿宋_GB2312" w:hAnsi="仿宋_GB2312" w:eastAsia="仿宋_GB2312" w:cs="仿宋_GB2312"/>
          <w:sz w:val="32"/>
          <w:szCs w:val="32"/>
          <w:highlight w:val="none"/>
          <w:lang w:val="en-US" w:eastAsia="zh-CN"/>
        </w:rPr>
        <w:t>审计</w:t>
      </w:r>
      <w:r>
        <w:rPr>
          <w:rFonts w:hint="eastAsia" w:ascii="仿宋_GB2312" w:hAnsi="仿宋_GB2312" w:eastAsia="仿宋_GB2312" w:cs="仿宋_GB2312"/>
          <w:sz w:val="32"/>
          <w:szCs w:val="32"/>
          <w:highlight w:val="none"/>
        </w:rPr>
        <w:t>实施方案编制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根据《审计法》及</w:t>
      </w:r>
      <w:r>
        <w:rPr>
          <w:rFonts w:hint="eastAsia" w:ascii="仿宋_GB2312" w:hAnsi="仿宋_GB2312" w:eastAsia="仿宋_GB2312" w:cs="仿宋_GB2312"/>
          <w:sz w:val="32"/>
          <w:szCs w:val="32"/>
        </w:rPr>
        <w:t>三亚中央商务区管理</w:t>
      </w:r>
      <w:r>
        <w:rPr>
          <w:rFonts w:hint="eastAsia" w:ascii="仿宋_GB2312" w:hAnsi="仿宋_GB2312" w:eastAsia="仿宋_GB2312" w:cs="仿宋_GB2312"/>
          <w:sz w:val="32"/>
          <w:szCs w:val="32"/>
          <w:lang w:val="en-US" w:eastAsia="zh-CN"/>
        </w:rPr>
        <w:t>局相关规定的，在实施审计前向被审计单位送达审计通知书。编制审计实施方案，包括</w:t>
      </w:r>
      <w:r>
        <w:rPr>
          <w:rFonts w:hint="eastAsia" w:ascii="仿宋_GB2312" w:hAnsi="仿宋_GB2312" w:eastAsia="仿宋_GB2312" w:cs="仿宋_GB2312"/>
          <w:sz w:val="32"/>
          <w:szCs w:val="32"/>
        </w:rPr>
        <w:t>审计目标、审计范围、</w:t>
      </w:r>
      <w:r>
        <w:rPr>
          <w:rFonts w:hint="eastAsia" w:ascii="仿宋_GB2312" w:hAnsi="仿宋_GB2312" w:eastAsia="仿宋_GB2312" w:cs="仿宋_GB2312"/>
          <w:sz w:val="32"/>
          <w:szCs w:val="32"/>
          <w:lang w:val="en-US" w:eastAsia="zh-CN"/>
        </w:rPr>
        <w:t>审计工作要求、</w:t>
      </w:r>
      <w:r>
        <w:rPr>
          <w:rFonts w:hint="eastAsia" w:ascii="仿宋_GB2312" w:hAnsi="仿宋_GB2312" w:eastAsia="仿宋_GB2312" w:cs="仿宋_GB2312"/>
          <w:sz w:val="32"/>
          <w:szCs w:val="32"/>
        </w:rPr>
        <w:t>审计</w:t>
      </w:r>
      <w:r>
        <w:rPr>
          <w:rFonts w:hint="eastAsia" w:ascii="仿宋_GB2312" w:hAnsi="仿宋_GB2312" w:eastAsia="仿宋_GB2312" w:cs="仿宋_GB2312"/>
          <w:sz w:val="32"/>
          <w:szCs w:val="32"/>
          <w:lang w:val="en-US" w:eastAsia="zh-CN"/>
        </w:rPr>
        <w:t>内容、</w:t>
      </w:r>
      <w:r>
        <w:rPr>
          <w:rFonts w:hint="eastAsia" w:ascii="仿宋_GB2312" w:hAnsi="仿宋_GB2312" w:eastAsia="仿宋_GB2312" w:cs="仿宋_GB2312"/>
          <w:sz w:val="32"/>
          <w:szCs w:val="32"/>
        </w:rPr>
        <w:t>重点</w:t>
      </w:r>
      <w:r>
        <w:rPr>
          <w:rFonts w:hint="eastAsia" w:ascii="仿宋_GB2312" w:hAnsi="仿宋_GB2312" w:eastAsia="仿宋_GB2312" w:cs="仿宋_GB2312"/>
          <w:sz w:val="32"/>
          <w:szCs w:val="32"/>
          <w:lang w:val="en-US" w:eastAsia="zh-CN"/>
        </w:rPr>
        <w:t>及审计措施等，并在实施现场审计过程中完善实施方案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（2）完成现场审计。</w:t>
      </w:r>
      <w:r>
        <w:rPr>
          <w:rFonts w:hint="eastAsia" w:ascii="仿宋_GB2312" w:hAnsi="仿宋_GB2312" w:eastAsia="仿宋_GB2312" w:cs="仿宋_GB2312"/>
          <w:sz w:val="32"/>
          <w:szCs w:val="32"/>
          <w:highlight w:val="none"/>
        </w:rPr>
        <w:t>通过</w:t>
      </w:r>
      <w:r>
        <w:rPr>
          <w:rFonts w:hint="eastAsia" w:ascii="仿宋_GB2312" w:hAnsi="仿宋_GB2312" w:eastAsia="仿宋_GB2312" w:cs="仿宋_GB2312"/>
          <w:sz w:val="32"/>
          <w:szCs w:val="32"/>
          <w:highlight w:val="none"/>
          <w:lang w:val="en-US" w:eastAsia="zh-CN"/>
        </w:rPr>
        <w:t>现场踏勘</w:t>
      </w:r>
      <w:r>
        <w:rPr>
          <w:rFonts w:hint="eastAsia" w:ascii="仿宋_GB2312" w:hAnsi="仿宋_GB2312" w:eastAsia="仿宋_GB2312" w:cs="仿宋_GB2312"/>
          <w:sz w:val="32"/>
          <w:szCs w:val="32"/>
        </w:rPr>
        <w:t>，查阅有关文件、</w:t>
      </w:r>
      <w:r>
        <w:rPr>
          <w:rFonts w:hint="eastAsia" w:ascii="仿宋_GB2312" w:hAnsi="仿宋_GB2312" w:eastAsia="仿宋_GB2312" w:cs="仿宋_GB2312"/>
          <w:sz w:val="32"/>
          <w:szCs w:val="32"/>
          <w:lang w:val="en-US" w:eastAsia="zh-CN"/>
        </w:rPr>
        <w:t>会议纪要、</w:t>
      </w:r>
      <w:r>
        <w:rPr>
          <w:rFonts w:hint="eastAsia" w:ascii="仿宋_GB2312" w:hAnsi="仿宋_GB2312" w:eastAsia="仿宋_GB2312" w:cs="仿宋_GB2312"/>
          <w:sz w:val="32"/>
          <w:szCs w:val="32"/>
        </w:rPr>
        <w:t>重要合同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会计凭证</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向有关单位和个人调查取证等方式，编制审计取证单和</w:t>
      </w:r>
      <w:r>
        <w:rPr>
          <w:rFonts w:hint="eastAsia" w:ascii="仿宋_GB2312" w:hAnsi="仿宋_GB2312" w:eastAsia="仿宋_GB2312" w:cs="仿宋_GB2312"/>
          <w:sz w:val="32"/>
          <w:szCs w:val="32"/>
          <w:lang w:val="en-US" w:eastAsia="zh-CN"/>
        </w:rPr>
        <w:t>审计</w:t>
      </w:r>
      <w:r>
        <w:rPr>
          <w:rFonts w:hint="eastAsia" w:ascii="仿宋_GB2312" w:hAnsi="仿宋_GB2312" w:eastAsia="仿宋_GB2312" w:cs="仿宋_GB2312"/>
          <w:sz w:val="32"/>
          <w:szCs w:val="32"/>
        </w:rPr>
        <w:t>工作底稿。</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报告出具</w:t>
      </w:r>
      <w:r>
        <w:rPr>
          <w:rFonts w:hint="eastAsia" w:ascii="仿宋_GB2312" w:hAnsi="仿宋_GB2312" w:eastAsia="仿宋_GB2312" w:cs="仿宋_GB2312"/>
          <w:sz w:val="32"/>
          <w:szCs w:val="32"/>
        </w:rPr>
        <w:t>阶段。</w:t>
      </w:r>
      <w:r>
        <w:rPr>
          <w:rFonts w:hint="eastAsia" w:ascii="仿宋_GB2312" w:hAnsi="仿宋_GB2312" w:eastAsia="仿宋_GB2312" w:cs="仿宋_GB2312"/>
          <w:sz w:val="32"/>
          <w:szCs w:val="32"/>
          <w:lang w:val="en-US" w:eastAsia="zh-CN"/>
        </w:rPr>
        <w:t>编制审计报告（征求意见稿），</w:t>
      </w:r>
      <w:r>
        <w:rPr>
          <w:rFonts w:hint="eastAsia" w:ascii="仿宋_GB2312" w:hAnsi="仿宋_GB2312" w:eastAsia="仿宋_GB2312" w:cs="仿宋_GB2312"/>
          <w:sz w:val="32"/>
          <w:szCs w:val="32"/>
        </w:rPr>
        <w:t>征求被审计对象意见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对被审计对象的反馈意见出具核实说明，编制</w:t>
      </w:r>
      <w:r>
        <w:rPr>
          <w:rFonts w:hint="eastAsia" w:ascii="仿宋_GB2312" w:hAnsi="仿宋_GB2312" w:eastAsia="仿宋_GB2312" w:cs="仿宋_GB2312"/>
          <w:sz w:val="32"/>
          <w:szCs w:val="32"/>
        </w:rPr>
        <w:t>审计报告，最终出具正式审计报告。</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（4）审计材料归档。</w:t>
      </w:r>
      <w:r>
        <w:rPr>
          <w:rFonts w:hint="eastAsia" w:ascii="仿宋_GB2312" w:hAnsi="仿宋_GB2312" w:eastAsia="仿宋_GB2312" w:cs="仿宋_GB2312"/>
          <w:sz w:val="32"/>
          <w:szCs w:val="32"/>
          <w:lang w:val="en-US" w:eastAsia="zh-CN"/>
        </w:rPr>
        <w:t>参照《审计机关审计档案管理规定》（审计署 国家档案局令第10号）相关要求，审计项目文件材料应当</w:t>
      </w:r>
      <w:r>
        <w:rPr>
          <w:rFonts w:hint="default" w:ascii="仿宋_GB2312" w:hAnsi="仿宋_GB2312" w:eastAsia="仿宋_GB2312" w:cs="仿宋_GB2312"/>
          <w:sz w:val="32"/>
          <w:szCs w:val="32"/>
          <w:lang w:val="en-US" w:eastAsia="zh-CN"/>
        </w:rPr>
        <w:t>真实、完整、有效、规范，并做到遵循文件材料的形成规律和特点，保持文件材料之间的有机联系，区别不同价值，</w:t>
      </w:r>
      <w:r>
        <w:rPr>
          <w:rFonts w:hint="eastAsia" w:ascii="仿宋_GB2312" w:hAnsi="仿宋_GB2312" w:eastAsia="仿宋_GB2312" w:cs="仿宋_GB2312"/>
          <w:sz w:val="32"/>
          <w:szCs w:val="32"/>
          <w:lang w:val="en-US" w:eastAsia="zh-CN"/>
        </w:rPr>
        <w:t>整理完毕后交接给审计部工作人员</w:t>
      </w:r>
      <w:r>
        <w:rPr>
          <w:rFonts w:hint="default" w:ascii="仿宋_GB2312" w:hAnsi="仿宋_GB2312" w:eastAsia="仿宋_GB2312" w:cs="仿宋_GB2312"/>
          <w:sz w:val="32"/>
          <w:szCs w:val="32"/>
          <w:lang w:val="en-US" w:eastAsia="zh-CN"/>
        </w:rPr>
        <w:t>保管。</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（5）审计保密要求。审计组成员签署《保密承诺书》，未经管理局相关批准，不得擅自发表涉及未公开审计工作内容的文章、著作和言论等，审计工作结束后，</w:t>
      </w:r>
      <w:r>
        <w:rPr>
          <w:rFonts w:hint="default" w:ascii="仿宋_GB2312" w:hAnsi="仿宋_GB2312" w:eastAsia="仿宋_GB2312" w:cs="仿宋_GB2312"/>
          <w:sz w:val="32"/>
          <w:szCs w:val="32"/>
          <w:highlight w:val="none"/>
          <w:lang w:eastAsia="zh-CN"/>
        </w:rPr>
        <w:t>将审计过程中涉及的</w:t>
      </w:r>
      <w:r>
        <w:rPr>
          <w:rFonts w:hint="eastAsia" w:ascii="仿宋_GB2312" w:hAnsi="仿宋_GB2312" w:eastAsia="仿宋_GB2312" w:cs="仿宋_GB2312"/>
          <w:sz w:val="32"/>
          <w:szCs w:val="32"/>
          <w:lang w:val="en-US" w:eastAsia="zh-CN"/>
        </w:rPr>
        <w:t>所有审计资料全部交还审计部工作人员处理。</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2.审计组成员要求</w:t>
      </w:r>
    </w:p>
    <w:p>
      <w:pPr>
        <w:pStyle w:val="6"/>
        <w:keepNext w:val="0"/>
        <w:keepLines w:val="0"/>
        <w:pageBreakBefore w:val="0"/>
        <w:kinsoku/>
        <w:wordWrap/>
        <w:overflowPunct/>
        <w:topLinePunct w:val="0"/>
        <w:autoSpaceDE/>
        <w:autoSpaceDN/>
        <w:bidi w:val="0"/>
        <w:adjustRightInd w:val="0"/>
        <w:snapToGrid w:val="0"/>
        <w:spacing w:before="0" w:beforeAutospacing="0" w:after="0" w:afterAutospacing="0" w:line="578" w:lineRule="exact"/>
        <w:ind w:left="0"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highlight w:val="none"/>
          <w:lang w:val="en-US" w:eastAsia="zh-CN"/>
        </w:rPr>
        <w:t>项目组须5人或5人以上</w:t>
      </w:r>
      <w:r>
        <w:rPr>
          <w:rFonts w:hint="eastAsia" w:ascii="仿宋_GB2312" w:hAnsi="仿宋_GB2312" w:eastAsia="仿宋_GB2312" w:cs="仿宋_GB2312"/>
          <w:sz w:val="32"/>
          <w:szCs w:val="32"/>
          <w:lang w:val="en-US" w:eastAsia="zh-CN"/>
        </w:rPr>
        <w:t>，含</w:t>
      </w:r>
      <w:r>
        <w:rPr>
          <w:rFonts w:hint="eastAsia" w:ascii="仿宋_GB2312" w:hAnsi="仿宋_GB2312" w:eastAsia="仿宋_GB2312" w:cs="仿宋_GB2312"/>
          <w:sz w:val="32"/>
          <w:szCs w:val="32"/>
        </w:rPr>
        <w:t>造价工程师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rPr>
        <w:t>会计师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工程职称</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项目负责人</w:t>
      </w:r>
      <w:r>
        <w:rPr>
          <w:rFonts w:hint="eastAsia" w:ascii="仿宋_GB2312" w:hAnsi="仿宋_GB2312" w:eastAsia="仿宋_GB2312" w:cs="仿宋_GB2312"/>
          <w:kern w:val="2"/>
          <w:sz w:val="32"/>
          <w:szCs w:val="32"/>
        </w:rPr>
        <w:t>员须具备</w:t>
      </w:r>
      <w:r>
        <w:rPr>
          <w:rFonts w:hint="eastAsia" w:ascii="仿宋_GB2312" w:hAnsi="仿宋_GB2312" w:eastAsia="仿宋_GB2312" w:cs="仿宋_GB2312"/>
          <w:sz w:val="32"/>
          <w:szCs w:val="32"/>
          <w:lang w:val="en-US" w:eastAsia="zh-CN"/>
        </w:rPr>
        <w:t>工程</w:t>
      </w:r>
      <w:r>
        <w:rPr>
          <w:rFonts w:hint="eastAsia" w:ascii="仿宋_GB2312" w:hAnsi="仿宋_GB2312" w:eastAsia="仿宋_GB2312" w:cs="仿宋_GB2312"/>
          <w:sz w:val="32"/>
          <w:szCs w:val="32"/>
        </w:rPr>
        <w:t>审计</w:t>
      </w:r>
      <w:r>
        <w:rPr>
          <w:rFonts w:hint="eastAsia" w:ascii="仿宋_GB2312" w:hAnsi="仿宋_GB2312" w:eastAsia="仿宋_GB2312" w:cs="仿宋_GB2312"/>
          <w:kern w:val="2"/>
          <w:sz w:val="32"/>
          <w:szCs w:val="32"/>
        </w:rPr>
        <w:t>工作</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年以上的经验。</w:t>
      </w:r>
    </w:p>
    <w:p>
      <w:pPr>
        <w:pStyle w:val="6"/>
        <w:keepNext w:val="0"/>
        <w:keepLines w:val="0"/>
        <w:pageBreakBefore w:val="0"/>
        <w:kinsoku/>
        <w:wordWrap/>
        <w:overflowPunct/>
        <w:topLinePunct w:val="0"/>
        <w:autoSpaceDE/>
        <w:autoSpaceDN/>
        <w:bidi w:val="0"/>
        <w:adjustRightInd w:val="0"/>
        <w:snapToGrid w:val="0"/>
        <w:spacing w:before="0" w:beforeAutospacing="0" w:after="0" w:afterAutospacing="0" w:line="578" w:lineRule="exact"/>
        <w:ind w:left="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成交供应商现场项目负责人员和实施人员须与响应文件所列人员一致，未经采购</w:t>
      </w:r>
      <w:r>
        <w:rPr>
          <w:rFonts w:hint="eastAsia" w:ascii="仿宋_GB2312" w:hAnsi="仿宋_GB2312" w:eastAsia="仿宋_GB2312" w:cs="仿宋_GB2312"/>
          <w:kern w:val="2"/>
          <w:sz w:val="32"/>
          <w:szCs w:val="32"/>
          <w:lang w:val="en-US" w:eastAsia="zh-CN"/>
        </w:rPr>
        <w:t>方</w:t>
      </w:r>
      <w:r>
        <w:rPr>
          <w:rFonts w:hint="eastAsia" w:ascii="仿宋_GB2312" w:hAnsi="仿宋_GB2312" w:eastAsia="仿宋_GB2312" w:cs="仿宋_GB2312"/>
          <w:kern w:val="2"/>
          <w:sz w:val="32"/>
          <w:szCs w:val="32"/>
        </w:rPr>
        <w:t>同意不得更换。</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rPr>
        <w:t>（2）审计组成员在从事审计活动时，应当</w:t>
      </w:r>
      <w:r>
        <w:rPr>
          <w:rFonts w:hint="eastAsia" w:ascii="仿宋_GB2312" w:hAnsi="仿宋_GB2312" w:eastAsia="仿宋_GB2312" w:cs="仿宋_GB2312"/>
          <w:color w:val="000000" w:themeColor="text1"/>
          <w:sz w:val="32"/>
          <w:szCs w:val="32"/>
        </w:rPr>
        <w:t>依法审计、勤勉尽责、客观公正、实事求是、遵循保密</w:t>
      </w:r>
      <w:r>
        <w:rPr>
          <w:rFonts w:hint="eastAsia" w:ascii="仿宋_GB2312" w:hAnsi="仿宋_GB2312" w:eastAsia="仿宋_GB2312" w:cs="仿宋_GB2312"/>
          <w:color w:val="000000" w:themeColor="text1"/>
          <w:sz w:val="32"/>
          <w:szCs w:val="32"/>
          <w:lang w:val="en-US" w:eastAsia="zh-CN"/>
        </w:rPr>
        <w:t>要求</w:t>
      </w:r>
      <w:r>
        <w:rPr>
          <w:rFonts w:hint="eastAsia" w:ascii="仿宋_GB2312" w:hAnsi="仿宋_GB2312" w:eastAsia="仿宋_GB2312" w:cs="仿宋_GB2312"/>
          <w:color w:val="000000" w:themeColor="text1"/>
          <w:sz w:val="32"/>
          <w:szCs w:val="32"/>
        </w:rPr>
        <w:t>，按照规定使用其在履行职责时所获取的信息。</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（3）审计组成员应熟悉国家、省、市等有关政府采购和政府投资项目资金管理有关法律法规。</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3.时间及审计质量要求</w:t>
      </w:r>
    </w:p>
    <w:p>
      <w:pPr>
        <w:keepNext w:val="0"/>
        <w:keepLines w:val="0"/>
        <w:pageBreakBefore w:val="0"/>
        <w:kinsoku/>
        <w:wordWrap/>
        <w:overflowPunct/>
        <w:topLinePunct w:val="0"/>
        <w:autoSpaceDE/>
        <w:autoSpaceDN/>
        <w:bidi w:val="0"/>
        <w:adjustRightInd w:val="0"/>
        <w:snapToGrid w:val="0"/>
        <w:spacing w:line="578" w:lineRule="exact"/>
        <w:ind w:left="0" w:firstLine="640" w:firstLineChars="200"/>
        <w:textAlignment w:val="auto"/>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服务商</w:t>
      </w:r>
      <w:r>
        <w:rPr>
          <w:rFonts w:hint="eastAsia" w:ascii="仿宋_GB2312" w:hAnsi="仿宋_GB2312" w:eastAsia="仿宋_GB2312" w:cs="仿宋_GB2312"/>
          <w:sz w:val="32"/>
          <w:szCs w:val="32"/>
        </w:rPr>
        <w:t>应当按照规定时间保质保量完成，</w:t>
      </w:r>
      <w:r>
        <w:rPr>
          <w:rFonts w:hint="eastAsia" w:ascii="仿宋_GB2312" w:hAnsi="仿宋_GB2312" w:eastAsia="仿宋_GB2312" w:cs="仿宋_GB2312"/>
          <w:color w:val="000000" w:themeColor="text1"/>
          <w:sz w:val="32"/>
          <w:szCs w:val="32"/>
        </w:rPr>
        <w:t>并对服务成果负责。如遇复杂、疑难审计事项需专题研究讨论，并需要推迟服务时限的，应提前通报</w:t>
      </w:r>
      <w:r>
        <w:rPr>
          <w:rFonts w:hint="default" w:ascii="仿宋_GB2312" w:hAnsi="仿宋_GB2312" w:eastAsia="仿宋_GB2312" w:cs="仿宋_GB2312"/>
          <w:sz w:val="32"/>
          <w:szCs w:val="32"/>
        </w:rPr>
        <w:t>采购</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color w:val="000000" w:themeColor="text1"/>
          <w:sz w:val="32"/>
          <w:szCs w:val="32"/>
        </w:rPr>
        <w:t>并征得同意。</w:t>
      </w:r>
    </w:p>
    <w:p>
      <w:pPr>
        <w:keepNext w:val="0"/>
        <w:keepLines w:val="0"/>
        <w:pageBreakBefore w:val="0"/>
        <w:numPr>
          <w:ilvl w:val="0"/>
          <w:numId w:val="1"/>
        </w:numPr>
        <w:kinsoku/>
        <w:wordWrap/>
        <w:overflowPunct/>
        <w:topLinePunct w:val="0"/>
        <w:autoSpaceDE/>
        <w:autoSpaceDN/>
        <w:bidi w:val="0"/>
        <w:adjustRightInd w:val="0"/>
        <w:snapToGrid w:val="0"/>
        <w:spacing w:line="578"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供应商资质要求</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rPr>
        <w:t>（一）</w:t>
      </w:r>
      <w:r>
        <w:rPr>
          <w:rFonts w:hint="eastAsia" w:ascii="仿宋_GB2312" w:hAnsi="仿宋_GB2312" w:eastAsia="仿宋_GB2312" w:cs="仿宋_GB2312"/>
          <w:sz w:val="32"/>
          <w:szCs w:val="32"/>
        </w:rPr>
        <w:t>中华人民共和国注册成立的</w:t>
      </w:r>
      <w:r>
        <w:rPr>
          <w:rFonts w:hint="eastAsia" w:ascii="仿宋_GB2312" w:hAnsi="仿宋_GB2312" w:eastAsia="仿宋_GB2312" w:cs="仿宋_GB2312"/>
          <w:sz w:val="32"/>
          <w:szCs w:val="32"/>
          <w:lang w:val="en-US" w:eastAsia="zh-CN"/>
        </w:rPr>
        <w:t>工程管理有限公司或</w:t>
      </w:r>
      <w:r>
        <w:rPr>
          <w:rFonts w:hint="eastAsia" w:ascii="仿宋_GB2312" w:hAnsi="仿宋_GB2312" w:eastAsia="仿宋_GB2312" w:cs="仿宋_GB2312"/>
          <w:sz w:val="32"/>
          <w:szCs w:val="32"/>
        </w:rPr>
        <w:t>会计师事务所，提供本次采购服务，具备独立法人资格，且须具备</w:t>
      </w:r>
      <w:r>
        <w:rPr>
          <w:rFonts w:hint="eastAsia" w:ascii="仿宋_GB2312" w:hAnsi="仿宋_GB2312" w:eastAsia="仿宋_GB2312" w:cs="仿宋_GB2312"/>
          <w:sz w:val="32"/>
          <w:szCs w:val="32"/>
          <w:lang w:val="en-US" w:eastAsia="zh-CN"/>
        </w:rPr>
        <w:t>工程管理公司或</w:t>
      </w:r>
      <w:r>
        <w:rPr>
          <w:rFonts w:hint="eastAsia" w:ascii="仿宋_GB2312" w:hAnsi="仿宋_GB2312" w:eastAsia="仿宋_GB2312" w:cs="仿宋_GB2312"/>
          <w:sz w:val="32"/>
          <w:szCs w:val="32"/>
        </w:rPr>
        <w:t>会计师事务所资质</w:t>
      </w:r>
      <w:r>
        <w:rPr>
          <w:rFonts w:hint="eastAsia" w:ascii="仿宋_GB2312" w:hAnsi="仿宋_GB2312" w:eastAsia="仿宋_GB2312" w:cs="仿宋_GB2312"/>
          <w:kern w:val="2"/>
          <w:sz w:val="32"/>
          <w:szCs w:val="32"/>
        </w:rPr>
        <w:t>，</w:t>
      </w:r>
      <w:r>
        <w:rPr>
          <w:rFonts w:hint="eastAsia" w:ascii="仿宋_GB2312" w:hAnsi="仿宋_GB2312" w:eastAsia="仿宋_GB2312" w:cs="仿宋_GB2312"/>
          <w:sz w:val="32"/>
          <w:szCs w:val="32"/>
        </w:rPr>
        <w:t>具有有效的</w:t>
      </w:r>
      <w:r>
        <w:rPr>
          <w:rFonts w:hint="eastAsia" w:ascii="仿宋_GB2312" w:hAnsi="仿宋_GB2312" w:eastAsia="仿宋_GB2312" w:cs="仿宋_GB2312"/>
          <w:color w:val="000000" w:themeColor="text1"/>
          <w:sz w:val="32"/>
          <w:szCs w:val="32"/>
        </w:rPr>
        <w:t>执业证书，执业许可证的经营许可时间及年审状态正常</w:t>
      </w:r>
      <w:r>
        <w:rPr>
          <w:rFonts w:hint="default"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参加采购活动前三年内在经营活动中没有重大违法记录和不良信用记录。对在“信用中国”网站(www.creditchina.gov.cn)、中国政府采购(www.ccgp.gov.cn)等渠道列入失信被执行人、重大税收违法案件当事人名单、政府采购严重违法失信行为记录名单的供应商，将被拒绝参与本次采购活动。</w:t>
      </w:r>
    </w:p>
    <w:p>
      <w:pPr>
        <w:keepNext w:val="0"/>
        <w:keepLines w:val="0"/>
        <w:pageBreakBefore w:val="0"/>
        <w:numPr>
          <w:ilvl w:val="0"/>
          <w:numId w:val="1"/>
        </w:numPr>
        <w:kinsoku/>
        <w:wordWrap/>
        <w:overflowPunct/>
        <w:topLinePunct w:val="0"/>
        <w:autoSpaceDE/>
        <w:autoSpaceDN/>
        <w:bidi w:val="0"/>
        <w:adjustRightInd w:val="0"/>
        <w:snapToGrid w:val="0"/>
        <w:spacing w:line="578"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项目控制价</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（一）项目控制价为</w:t>
      </w:r>
      <w:bookmarkStart w:id="0" w:name="_GoBack"/>
      <w:r>
        <w:rPr>
          <w:rFonts w:hint="default" w:ascii="Times New Roman" w:hAnsi="Times New Roman" w:eastAsia="仿宋_GB2312" w:cs="Times New Roman"/>
          <w:sz w:val="32"/>
          <w:szCs w:val="32"/>
          <w:lang w:val="en-US" w:eastAsia="zh-CN"/>
        </w:rPr>
        <w:t>12.66</w:t>
      </w:r>
      <w:bookmarkEnd w:id="0"/>
      <w:r>
        <w:rPr>
          <w:rFonts w:hint="eastAsia" w:ascii="仿宋_GB2312" w:hAnsi="仿宋_GB2312" w:eastAsia="仿宋_GB2312" w:cs="仿宋_GB2312"/>
          <w:sz w:val="32"/>
          <w:szCs w:val="32"/>
        </w:rPr>
        <w:t>万元。超出最高限价的报价按无效竞价处理。</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（二）合同金额及支付方式：以签订合同为准。</w:t>
      </w:r>
    </w:p>
    <w:p>
      <w:pPr>
        <w:keepNext w:val="0"/>
        <w:keepLines w:val="0"/>
        <w:pageBreakBefore w:val="0"/>
        <w:widowControl/>
        <w:kinsoku/>
        <w:wordWrap/>
        <w:overflowPunct/>
        <w:topLinePunct w:val="0"/>
        <w:autoSpaceDE/>
        <w:autoSpaceDN/>
        <w:bidi w:val="0"/>
        <w:spacing w:line="578" w:lineRule="exact"/>
        <w:ind w:firstLine="640" w:firstLineChars="200"/>
        <w:textAlignment w:val="auto"/>
        <w:rPr>
          <w:rFonts w:ascii="Times New Roman" w:hAnsi="Times New Roman" w:eastAsia="黑体" w:cs="Times New Roman (Body CS)"/>
          <w:sz w:val="32"/>
          <w:szCs w:val="32"/>
        </w:rPr>
      </w:pPr>
      <w:r>
        <w:rPr>
          <w:rFonts w:ascii="Times New Roman" w:hAnsi="Times New Roman" w:eastAsia="黑体" w:cs="Times New Roman (Body CS)"/>
          <w:sz w:val="32"/>
          <w:szCs w:val="32"/>
        </w:rPr>
        <w:t>五、评分方案（详见附件3评分说明）</w:t>
      </w:r>
    </w:p>
    <w:p>
      <w:pPr>
        <w:keepNext w:val="0"/>
        <w:keepLines w:val="0"/>
        <w:pageBreakBefore w:val="0"/>
        <w:widowControl/>
        <w:kinsoku/>
        <w:wordWrap/>
        <w:overflowPunct/>
        <w:topLinePunct w:val="0"/>
        <w:autoSpaceDE/>
        <w:autoSpaceDN/>
        <w:bidi w:val="0"/>
        <w:spacing w:line="578" w:lineRule="exact"/>
        <w:ind w:firstLine="640" w:firstLineChars="200"/>
        <w:textAlignment w:val="auto"/>
        <w:rPr>
          <w:rFonts w:ascii="Times New Roman" w:hAnsi="Times New Roman" w:eastAsia="黑体" w:cs="Times New Roman (Body CS)"/>
          <w:sz w:val="32"/>
          <w:szCs w:val="32"/>
        </w:rPr>
      </w:pPr>
      <w:r>
        <w:rPr>
          <w:rFonts w:ascii="Times New Roman" w:hAnsi="Times New Roman" w:eastAsia="黑体" w:cs="Times New Roman (Body CS)"/>
          <w:sz w:val="32"/>
          <w:szCs w:val="32"/>
        </w:rPr>
        <w:t>六、评标方法</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综合评分。</w:t>
      </w:r>
    </w:p>
    <w:p>
      <w:pPr>
        <w:keepNext w:val="0"/>
        <w:keepLines w:val="0"/>
        <w:pageBreakBefore w:val="0"/>
        <w:widowControl/>
        <w:kinsoku/>
        <w:wordWrap/>
        <w:overflowPunct/>
        <w:topLinePunct w:val="0"/>
        <w:autoSpaceDE/>
        <w:autoSpaceDN/>
        <w:bidi w:val="0"/>
        <w:spacing w:line="578" w:lineRule="exact"/>
        <w:ind w:firstLine="640" w:firstLineChars="200"/>
        <w:textAlignment w:val="auto"/>
        <w:rPr>
          <w:rFonts w:ascii="Times New Roman" w:hAnsi="Times New Roman" w:eastAsia="黑体" w:cs="Times New Roman (Body CS)"/>
          <w:sz w:val="32"/>
          <w:szCs w:val="32"/>
        </w:rPr>
      </w:pPr>
      <w:r>
        <w:rPr>
          <w:rFonts w:ascii="Times New Roman" w:hAnsi="Times New Roman" w:eastAsia="黑体" w:cs="Times New Roman (Body CS)"/>
          <w:sz w:val="32"/>
          <w:szCs w:val="32"/>
        </w:rPr>
        <w:t>七、服务需求时间</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自合同签订生效之日起算。</w:t>
      </w:r>
    </w:p>
    <w:p>
      <w:pPr>
        <w:keepNext w:val="0"/>
        <w:keepLines w:val="0"/>
        <w:pageBreakBefore w:val="0"/>
        <w:widowControl/>
        <w:kinsoku/>
        <w:wordWrap/>
        <w:overflowPunct/>
        <w:topLinePunct w:val="0"/>
        <w:autoSpaceDE/>
        <w:autoSpaceDN/>
        <w:bidi w:val="0"/>
        <w:spacing w:line="578" w:lineRule="exact"/>
        <w:ind w:firstLine="640" w:firstLineChars="200"/>
        <w:textAlignment w:val="auto"/>
        <w:rPr>
          <w:rFonts w:ascii="Times New Roman" w:hAnsi="Times New Roman" w:eastAsia="黑体" w:cs="Times New Roman (Body CS)"/>
          <w:sz w:val="32"/>
          <w:szCs w:val="32"/>
        </w:rPr>
      </w:pPr>
      <w:r>
        <w:rPr>
          <w:rFonts w:ascii="Times New Roman" w:hAnsi="Times New Roman" w:eastAsia="黑体" w:cs="Times New Roman (Body CS)"/>
          <w:sz w:val="32"/>
          <w:szCs w:val="32"/>
        </w:rPr>
        <w:t>八、提供材料</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（一）企业营业执照；</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（二）法定代表人身份证明；</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（三）授权委托书原件，经办人身份证明（经办人为法定代表人则不需要此材料）；</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（四）报价表</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（五）企业情况简介；</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val="en-US" w:eastAsia="zh-CN"/>
        </w:rPr>
        <w:t>企业在本次招采类似</w:t>
      </w:r>
      <w:r>
        <w:rPr>
          <w:rFonts w:hint="eastAsia" w:ascii="仿宋_GB2312" w:hAnsi="仿宋_GB2312" w:eastAsia="仿宋_GB2312" w:cs="仿宋_GB2312"/>
          <w:sz w:val="32"/>
          <w:szCs w:val="32"/>
        </w:rPr>
        <w:t>业务领域</w:t>
      </w:r>
      <w:r>
        <w:rPr>
          <w:rFonts w:hint="eastAsia" w:ascii="仿宋_GB2312" w:hAnsi="仿宋_GB2312" w:eastAsia="仿宋_GB2312" w:cs="仿宋_GB2312"/>
          <w:sz w:val="32"/>
          <w:szCs w:val="32"/>
          <w:lang w:val="en-US" w:eastAsia="zh-CN"/>
        </w:rPr>
        <w:t>工作简介</w:t>
      </w:r>
      <w:r>
        <w:rPr>
          <w:rFonts w:hint="eastAsia" w:ascii="仿宋_GB2312" w:hAnsi="仿宋_GB2312" w:eastAsia="仿宋_GB2312" w:cs="仿宋_GB2312"/>
          <w:sz w:val="32"/>
          <w:szCs w:val="32"/>
        </w:rPr>
        <w:t>、取得的成果或荣誉、未受过行业处分证明等；</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（七）其他可提供的材料（如拟安排实施审计组成员的简介、业绩及荣誉等材料）；</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（八）企业无重大违法记录声明函</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供应商提供的信息应真实有效，如有虚假隐瞒情况，取消供应商竞价资格；若中选，则取消中选资格。</w:t>
      </w:r>
    </w:p>
    <w:p>
      <w:pPr>
        <w:adjustRightInd w:val="0"/>
        <w:snapToGrid w:val="0"/>
        <w:spacing w:line="578" w:lineRule="exact"/>
        <w:jc w:val="right"/>
        <w:rPr>
          <w:rFonts w:ascii="仿宋_GB2312" w:hAnsi="仿宋_GB2312" w:eastAsia="仿宋_GB2312" w:cs="仿宋_GB2312"/>
          <w:sz w:val="32"/>
          <w:szCs w:val="32"/>
        </w:rPr>
      </w:pPr>
    </w:p>
    <w:p>
      <w:pPr>
        <w:adjustRightInd w:val="0"/>
        <w:snapToGrid w:val="0"/>
        <w:spacing w:line="578" w:lineRule="exact"/>
        <w:jc w:val="right"/>
        <w:rPr>
          <w:rFonts w:ascii="仿宋_GB2312" w:hAnsi="仿宋_GB2312" w:eastAsia="仿宋_GB2312" w:cs="仿宋_GB2312"/>
          <w:sz w:val="32"/>
          <w:szCs w:val="32"/>
        </w:rPr>
      </w:pPr>
    </w:p>
    <w:p>
      <w:pPr>
        <w:adjustRightInd w:val="0"/>
        <w:snapToGrid w:val="0"/>
        <w:spacing w:line="578" w:lineRule="exact"/>
        <w:jc w:val="right"/>
        <w:rPr>
          <w:rFonts w:ascii="仿宋_GB2312" w:hAnsi="仿宋_GB2312" w:eastAsia="仿宋_GB2312" w:cs="仿宋_GB2312"/>
          <w:sz w:val="32"/>
          <w:szCs w:val="32"/>
        </w:rPr>
      </w:pPr>
    </w:p>
    <w:p>
      <w:pPr>
        <w:wordWrap w:val="0"/>
        <w:adjustRightInd w:val="0"/>
        <w:snapToGrid w:val="0"/>
        <w:spacing w:line="578"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dy CS)">
    <w:altName w:val="Times New Roman"/>
    <w:panose1 w:val="020B0604020202020204"/>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
    </w:sdtPr>
    <w:sdtContent>
      <w:sdt>
        <w:sdtPr>
          <w:id w:val="1728636285"/>
        </w:sdtPr>
        <w:sdtContent>
          <w:p>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1406B7"/>
    <w:multiLevelType w:val="singleLevel"/>
    <w:tmpl w:val="CF1406B7"/>
    <w:lvl w:ilvl="0" w:tentative="0">
      <w:start w:val="1"/>
      <w:numFmt w:val="chineseCounting"/>
      <w:suff w:val="nothing"/>
      <w:lvlText w:val="（%1）"/>
      <w:lvlJc w:val="left"/>
      <w:pPr>
        <w:ind w:left="230"/>
      </w:pPr>
      <w:rPr>
        <w:rFonts w:hint="eastAsia"/>
      </w:rPr>
    </w:lvl>
  </w:abstractNum>
  <w:abstractNum w:abstractNumId="1">
    <w:nsid w:val="D473DEE0"/>
    <w:multiLevelType w:val="singleLevel"/>
    <w:tmpl w:val="D473DEE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c4MWRhMDRmNWYxZDVhY2M0YWJmYjAxMTlmOTBlODIifQ=="/>
  </w:docVars>
  <w:rsids>
    <w:rsidRoot w:val="745437A5"/>
    <w:rsid w:val="00083B08"/>
    <w:rsid w:val="000B7374"/>
    <w:rsid w:val="000E55A4"/>
    <w:rsid w:val="001908FB"/>
    <w:rsid w:val="00367D89"/>
    <w:rsid w:val="003D0AAA"/>
    <w:rsid w:val="0042562B"/>
    <w:rsid w:val="0047444D"/>
    <w:rsid w:val="0055336C"/>
    <w:rsid w:val="0056043B"/>
    <w:rsid w:val="005D2A1F"/>
    <w:rsid w:val="0063330C"/>
    <w:rsid w:val="006B5843"/>
    <w:rsid w:val="006D2066"/>
    <w:rsid w:val="006D35C1"/>
    <w:rsid w:val="006E46F9"/>
    <w:rsid w:val="00703164"/>
    <w:rsid w:val="0070531B"/>
    <w:rsid w:val="00716779"/>
    <w:rsid w:val="00763B10"/>
    <w:rsid w:val="007E2E6B"/>
    <w:rsid w:val="007F0ECA"/>
    <w:rsid w:val="00886F5B"/>
    <w:rsid w:val="008873E4"/>
    <w:rsid w:val="008E3A94"/>
    <w:rsid w:val="008F7403"/>
    <w:rsid w:val="00911CE2"/>
    <w:rsid w:val="00937799"/>
    <w:rsid w:val="00966353"/>
    <w:rsid w:val="00A67562"/>
    <w:rsid w:val="00A814AE"/>
    <w:rsid w:val="00AB07E5"/>
    <w:rsid w:val="00AF7E61"/>
    <w:rsid w:val="00B12AA2"/>
    <w:rsid w:val="00B33E5E"/>
    <w:rsid w:val="00CD2147"/>
    <w:rsid w:val="00D07CFB"/>
    <w:rsid w:val="00D8424E"/>
    <w:rsid w:val="00DF17A4"/>
    <w:rsid w:val="00E825BB"/>
    <w:rsid w:val="00EB27F7"/>
    <w:rsid w:val="00EF512A"/>
    <w:rsid w:val="00F1225C"/>
    <w:rsid w:val="00F65716"/>
    <w:rsid w:val="00FC02EF"/>
    <w:rsid w:val="00FE0FEE"/>
    <w:rsid w:val="013B61F4"/>
    <w:rsid w:val="015426A7"/>
    <w:rsid w:val="017E5B15"/>
    <w:rsid w:val="01F2050F"/>
    <w:rsid w:val="047D2912"/>
    <w:rsid w:val="04D87339"/>
    <w:rsid w:val="068D286F"/>
    <w:rsid w:val="087430AF"/>
    <w:rsid w:val="0BC40DC4"/>
    <w:rsid w:val="0C3E7964"/>
    <w:rsid w:val="0D84090C"/>
    <w:rsid w:val="0DD810D4"/>
    <w:rsid w:val="0E643832"/>
    <w:rsid w:val="1042292D"/>
    <w:rsid w:val="113C725A"/>
    <w:rsid w:val="11F9237B"/>
    <w:rsid w:val="144A38AC"/>
    <w:rsid w:val="14A45999"/>
    <w:rsid w:val="14F22E41"/>
    <w:rsid w:val="16C3745D"/>
    <w:rsid w:val="178607AE"/>
    <w:rsid w:val="18037B45"/>
    <w:rsid w:val="1C8002BF"/>
    <w:rsid w:val="1D847BC3"/>
    <w:rsid w:val="1E2C0E8C"/>
    <w:rsid w:val="20EC0CB8"/>
    <w:rsid w:val="21350EE6"/>
    <w:rsid w:val="25221BD8"/>
    <w:rsid w:val="25E05F0A"/>
    <w:rsid w:val="261C6428"/>
    <w:rsid w:val="26F67895"/>
    <w:rsid w:val="2A637F2A"/>
    <w:rsid w:val="2B1F4E94"/>
    <w:rsid w:val="2D424CB8"/>
    <w:rsid w:val="2E8D0042"/>
    <w:rsid w:val="2ED97F37"/>
    <w:rsid w:val="31B47DCA"/>
    <w:rsid w:val="324A5666"/>
    <w:rsid w:val="33EC1717"/>
    <w:rsid w:val="360F0E1E"/>
    <w:rsid w:val="36D44B32"/>
    <w:rsid w:val="3A0F5FA8"/>
    <w:rsid w:val="3A4A3801"/>
    <w:rsid w:val="3B666F88"/>
    <w:rsid w:val="3BCB2216"/>
    <w:rsid w:val="3C0E157B"/>
    <w:rsid w:val="3CA91BEB"/>
    <w:rsid w:val="3E567873"/>
    <w:rsid w:val="416521F5"/>
    <w:rsid w:val="41EE7590"/>
    <w:rsid w:val="44515548"/>
    <w:rsid w:val="44E70EBC"/>
    <w:rsid w:val="460D36EC"/>
    <w:rsid w:val="46665BD5"/>
    <w:rsid w:val="486D7A2D"/>
    <w:rsid w:val="4A5022EF"/>
    <w:rsid w:val="4B100E00"/>
    <w:rsid w:val="4F9E0722"/>
    <w:rsid w:val="4FB82301"/>
    <w:rsid w:val="502E52C3"/>
    <w:rsid w:val="51EA66E0"/>
    <w:rsid w:val="534704CF"/>
    <w:rsid w:val="54EC394E"/>
    <w:rsid w:val="55B33392"/>
    <w:rsid w:val="561D6BBA"/>
    <w:rsid w:val="562923F7"/>
    <w:rsid w:val="58E52996"/>
    <w:rsid w:val="59B168E5"/>
    <w:rsid w:val="59FF13C7"/>
    <w:rsid w:val="5A363BC4"/>
    <w:rsid w:val="5C515477"/>
    <w:rsid w:val="5DD809AF"/>
    <w:rsid w:val="5EC44042"/>
    <w:rsid w:val="624B0E3C"/>
    <w:rsid w:val="63345F3C"/>
    <w:rsid w:val="64F5443F"/>
    <w:rsid w:val="657B21AE"/>
    <w:rsid w:val="66025186"/>
    <w:rsid w:val="66B4354C"/>
    <w:rsid w:val="694F4380"/>
    <w:rsid w:val="69DA257E"/>
    <w:rsid w:val="69F44CD9"/>
    <w:rsid w:val="6A4D6E5C"/>
    <w:rsid w:val="6AA27896"/>
    <w:rsid w:val="6C6D7E8A"/>
    <w:rsid w:val="6DAC3B98"/>
    <w:rsid w:val="70E8503B"/>
    <w:rsid w:val="72E51995"/>
    <w:rsid w:val="745437A5"/>
    <w:rsid w:val="77E80989"/>
    <w:rsid w:val="78412BE5"/>
    <w:rsid w:val="79A915D8"/>
    <w:rsid w:val="7D6F53CE"/>
    <w:rsid w:val="7E477D7B"/>
    <w:rsid w:val="7E8C0BF4"/>
    <w:rsid w:val="7ECE755A"/>
    <w:rsid w:val="7EDF1072"/>
    <w:rsid w:val="7EF02469"/>
    <w:rsid w:val="7F933733"/>
    <w:rsid w:val="E826E44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6"/>
    <w:qFormat/>
    <w:uiPriority w:val="99"/>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 w:type="character" w:styleId="13">
    <w:name w:val="annotation reference"/>
    <w:basedOn w:val="9"/>
    <w:qFormat/>
    <w:uiPriority w:val="0"/>
    <w:rPr>
      <w:sz w:val="21"/>
      <w:szCs w:val="21"/>
    </w:rPr>
  </w:style>
  <w:style w:type="paragraph" w:styleId="14">
    <w:name w:val="List Paragraph"/>
    <w:qFormat/>
    <w:uiPriority w:val="34"/>
    <w:pPr>
      <w:adjustRightInd w:val="0"/>
      <w:snapToGrid w:val="0"/>
      <w:spacing w:after="200"/>
      <w:ind w:firstLine="420" w:firstLineChars="200"/>
    </w:pPr>
    <w:rPr>
      <w:rFonts w:ascii="Tahoma" w:hAnsi="Tahoma" w:eastAsia="微软雅黑" w:cs="Times New Roman"/>
      <w:sz w:val="22"/>
      <w:szCs w:val="22"/>
      <w:lang w:val="en-US" w:eastAsia="zh-CN" w:bidi="ar-SA"/>
    </w:rPr>
  </w:style>
  <w:style w:type="character" w:customStyle="1" w:styleId="15">
    <w:name w:val="页眉 Char"/>
    <w:basedOn w:val="9"/>
    <w:link w:val="5"/>
    <w:qFormat/>
    <w:uiPriority w:val="0"/>
    <w:rPr>
      <w:rFonts w:asciiTheme="minorHAnsi" w:hAnsiTheme="minorHAnsi" w:eastAsiaTheme="minorEastAsia" w:cstheme="minorBidi"/>
      <w:kern w:val="2"/>
      <w:sz w:val="18"/>
      <w:szCs w:val="18"/>
    </w:rPr>
  </w:style>
  <w:style w:type="character" w:customStyle="1" w:styleId="16">
    <w:name w:val="页脚 Char"/>
    <w:basedOn w:val="9"/>
    <w:link w:val="4"/>
    <w:qFormat/>
    <w:uiPriority w:val="99"/>
    <w:rPr>
      <w:rFonts w:asciiTheme="minorHAnsi" w:hAnsiTheme="minorHAnsi" w:eastAsiaTheme="minorEastAsia" w:cstheme="minorBidi"/>
      <w:kern w:val="2"/>
      <w:sz w:val="18"/>
      <w:szCs w:val="18"/>
    </w:rPr>
  </w:style>
  <w:style w:type="paragraph" w:customStyle="1" w:styleId="17">
    <w:name w:val="Body text|1"/>
    <w:basedOn w:val="1"/>
    <w:qFormat/>
    <w:uiPriority w:val="0"/>
    <w:pPr>
      <w:spacing w:line="437" w:lineRule="auto"/>
      <w:ind w:firstLine="400"/>
    </w:pPr>
    <w:rPr>
      <w:rFonts w:ascii="宋体" w:hAnsi="宋体" w:eastAsia="宋体" w:cs="宋体"/>
      <w:sz w:val="28"/>
      <w:szCs w:val="28"/>
      <w:lang w:val="zh-TW" w:eastAsia="zh-TW" w:bidi="zh-TW"/>
    </w:rPr>
  </w:style>
  <w:style w:type="character" w:customStyle="1" w:styleId="18">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崖州区</Company>
  <Pages>5</Pages>
  <Words>1993</Words>
  <Characters>2052</Characters>
  <Lines>18</Lines>
  <Paragraphs>5</Paragraphs>
  <TotalTime>48</TotalTime>
  <ScaleCrop>false</ScaleCrop>
  <LinksUpToDate>false</LinksUpToDate>
  <CharactersWithSpaces>2058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2022-06-08T15:40:00Z</dcterms:created>
  <dc:creator>张威</dc:creator>
  <cp:lastModifiedBy>林倩</cp:lastModifiedBy>
  <dcterms:modified xsi:type="dcterms:W3CDTF">2026-04-20T02:45:43Z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D4E43AF4C8654300803503AC4389ADEE_13</vt:lpwstr>
  </property>
  <property fmtid="{D5CDD505-2E9C-101B-9397-08002B2CF9AE}" pid="4" name="woTemplateTypoMode" linkTarget="0">
    <vt:lpwstr>web</vt:lpwstr>
  </property>
  <property fmtid="{D5CDD505-2E9C-101B-9397-08002B2CF9AE}" pid="5" name="woTemplate" linkTarget="0">
    <vt:i4>1</vt:i4>
  </property>
  <property fmtid="{D5CDD505-2E9C-101B-9397-08002B2CF9AE}" pid="6" name="KSOTemplateDocerSaveRecord">
    <vt:lpwstr>eyJoZGlkIjoiMWU3MWYxNmNlOGMzYWQ3MjQxNjU1NDEyNzRiOGRmOTMiLCJ1c2VySWQiOiIzNzczOTgzMDQifQ==</vt:lpwstr>
  </property>
</Properties>
</file>