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1"/>
        <w:keepNext w:val="0"/>
        <w:keepLines w:val="0"/>
        <w:pageBreakBefore w:val="0"/>
        <w:widowControl w:val="0"/>
        <w:shd w:val="clear"/>
        <w:kinsoku/>
        <w:wordWrap/>
        <w:overflowPunct/>
        <w:topLinePunct w:val="0"/>
        <w:autoSpaceDE/>
        <w:autoSpaceDN/>
        <w:bidi w:val="0"/>
        <w:adjustRightInd w:val="0"/>
        <w:snapToGrid w:val="0"/>
        <w:spacing w:line="320" w:lineRule="exact"/>
        <w:ind w:firstLine="0" w:firstLineChars="0"/>
        <w:textAlignment w:val="auto"/>
        <w:rPr>
          <w:rFonts w:hint="default" w:ascii="黑体" w:hAnsi="黑体" w:eastAsia="黑体" w:cs="黑体"/>
          <w:color w:val="auto"/>
          <w:spacing w:val="40"/>
          <w:sz w:val="28"/>
          <w:szCs w:val="28"/>
          <w:highlight w:val="none"/>
          <w:lang w:eastAsia="zh-CN"/>
        </w:rPr>
      </w:pPr>
    </w:p>
    <w:p>
      <w:pPr>
        <w:pStyle w:val="31"/>
        <w:keepNext w:val="0"/>
        <w:keepLines w:val="0"/>
        <w:pageBreakBefore w:val="0"/>
        <w:widowControl w:val="0"/>
        <w:shd w:val="clear"/>
        <w:kinsoku/>
        <w:wordWrap/>
        <w:overflowPunct/>
        <w:topLinePunct w:val="0"/>
        <w:autoSpaceDE/>
        <w:autoSpaceDN/>
        <w:bidi w:val="0"/>
        <w:adjustRightInd w:val="0"/>
        <w:snapToGrid w:val="0"/>
        <w:spacing w:line="320" w:lineRule="exact"/>
        <w:ind w:firstLine="0" w:firstLineChars="0"/>
        <w:textAlignment w:val="auto"/>
        <w:rPr>
          <w:rFonts w:hint="eastAsia" w:ascii="黑体" w:hAnsi="黑体" w:eastAsia="黑体" w:cs="黑体"/>
          <w:color w:val="auto"/>
          <w:highlight w:val="none"/>
          <w:lang w:eastAsia="zh-CN"/>
        </w:rPr>
      </w:pPr>
    </w:p>
    <w:p>
      <w:pPr>
        <w:pStyle w:val="31"/>
        <w:pageBreakBefore w:val="0"/>
        <w:shd w:val="clear"/>
        <w:kinsoku/>
        <w:wordWrap/>
        <w:overflowPunct/>
        <w:topLinePunct w:val="0"/>
        <w:bidi w:val="0"/>
        <w:ind w:firstLine="0" w:firstLineChars="0"/>
        <w:textAlignment w:val="auto"/>
        <w:rPr>
          <w:color w:val="auto"/>
          <w:highlight w:val="none"/>
        </w:rPr>
      </w:pPr>
    </w:p>
    <w:p>
      <w:pPr>
        <w:pStyle w:val="31"/>
        <w:pageBreakBefore w:val="0"/>
        <w:shd w:val="clear"/>
        <w:kinsoku/>
        <w:wordWrap/>
        <w:overflowPunct/>
        <w:topLinePunct w:val="0"/>
        <w:bidi w:val="0"/>
        <w:textAlignment w:val="auto"/>
        <w:rPr>
          <w:color w:val="auto"/>
          <w:highlight w:val="none"/>
        </w:rPr>
      </w:pPr>
    </w:p>
    <w:p>
      <w:pPr>
        <w:pStyle w:val="31"/>
        <w:pageBreakBefore w:val="0"/>
        <w:shd w:val="clear"/>
        <w:kinsoku/>
        <w:wordWrap/>
        <w:overflowPunct/>
        <w:topLinePunct w:val="0"/>
        <w:bidi w:val="0"/>
        <w:ind w:firstLine="720"/>
        <w:textAlignment w:val="auto"/>
        <w:rPr>
          <w:color w:val="auto"/>
          <w:sz w:val="36"/>
          <w:szCs w:val="36"/>
          <w:highlight w:val="none"/>
        </w:rPr>
      </w:pPr>
    </w:p>
    <w:p>
      <w:pPr>
        <w:pageBreakBefore w:val="0"/>
        <w:shd w:val="clear"/>
        <w:kinsoku/>
        <w:wordWrap/>
        <w:overflowPunct/>
        <w:topLinePunct w:val="0"/>
        <w:bidi w:val="0"/>
        <w:spacing w:line="360" w:lineRule="auto"/>
        <w:jc w:val="center"/>
        <w:textAlignment w:val="auto"/>
        <w:rPr>
          <w:rFonts w:ascii="Times New Roman" w:hAnsi="Times New Roman" w:eastAsia="方正小标宋_GBK" w:cs="方正小标宋_GBK"/>
          <w:color w:val="auto"/>
          <w:spacing w:val="17"/>
          <w:sz w:val="52"/>
          <w:szCs w:val="56"/>
          <w:highlight w:val="none"/>
        </w:rPr>
      </w:pPr>
      <w:r>
        <w:rPr>
          <w:rFonts w:hint="eastAsia" w:ascii="Times New Roman" w:hAnsi="Times New Roman" w:eastAsia="方正小标宋_GBK" w:cs="方正小标宋_GBK"/>
          <w:color w:val="auto"/>
          <w:spacing w:val="17"/>
          <w:sz w:val="52"/>
          <w:szCs w:val="56"/>
          <w:highlight w:val="none"/>
        </w:rPr>
        <w:t>三亚市国民经济和社会发展</w:t>
      </w:r>
    </w:p>
    <w:p>
      <w:pPr>
        <w:pageBreakBefore w:val="0"/>
        <w:shd w:val="clear"/>
        <w:kinsoku/>
        <w:wordWrap/>
        <w:overflowPunct/>
        <w:topLinePunct w:val="0"/>
        <w:bidi w:val="0"/>
        <w:spacing w:line="360" w:lineRule="auto"/>
        <w:jc w:val="center"/>
        <w:textAlignment w:val="auto"/>
        <w:rPr>
          <w:rFonts w:ascii="Times New Roman" w:hAnsi="Times New Roman" w:eastAsia="方正黑体_GBK"/>
          <w:color w:val="auto"/>
          <w:spacing w:val="17"/>
          <w:sz w:val="52"/>
          <w:szCs w:val="56"/>
          <w:highlight w:val="none"/>
        </w:rPr>
      </w:pPr>
      <w:r>
        <w:rPr>
          <w:rFonts w:hint="eastAsia" w:ascii="Times New Roman" w:hAnsi="Times New Roman" w:eastAsia="方正小标宋_GBK" w:cs="方正小标宋_GBK"/>
          <w:color w:val="auto"/>
          <w:spacing w:val="17"/>
          <w:sz w:val="52"/>
          <w:szCs w:val="56"/>
          <w:highlight w:val="none"/>
        </w:rPr>
        <w:t>第十五个五年规划纲要</w:t>
      </w:r>
    </w:p>
    <w:p>
      <w:pPr>
        <w:pageBreakBefore w:val="0"/>
        <w:shd w:val="clear"/>
        <w:kinsoku/>
        <w:wordWrap/>
        <w:overflowPunct/>
        <w:topLinePunct w:val="0"/>
        <w:bidi w:val="0"/>
        <w:jc w:val="center"/>
        <w:textAlignment w:val="auto"/>
        <w:rPr>
          <w:rFonts w:hint="eastAsia" w:ascii="方正楷体简体" w:hAnsi="方正楷体简体" w:eastAsia="方正楷体简体" w:cs="方正楷体简体"/>
          <w:color w:val="auto"/>
          <w:sz w:val="32"/>
          <w:szCs w:val="32"/>
          <w:highlight w:val="none"/>
          <w:lang w:eastAsia="zh-CN"/>
        </w:rPr>
      </w:pPr>
    </w:p>
    <w:p>
      <w:pPr>
        <w:pStyle w:val="31"/>
        <w:keepNext w:val="0"/>
        <w:keepLines w:val="0"/>
        <w:pageBreakBefore w:val="0"/>
        <w:widowControl w:val="0"/>
        <w:shd w:val="clear"/>
        <w:kinsoku/>
        <w:wordWrap/>
        <w:overflowPunct/>
        <w:topLinePunct w:val="0"/>
        <w:autoSpaceDE/>
        <w:autoSpaceDN/>
        <w:bidi w:val="0"/>
        <w:spacing w:line="400" w:lineRule="exact"/>
        <w:textAlignment w:val="auto"/>
        <w:rPr>
          <w:color w:val="auto"/>
          <w:highlight w:val="none"/>
        </w:rPr>
      </w:pPr>
    </w:p>
    <w:p>
      <w:pPr>
        <w:pStyle w:val="31"/>
        <w:keepNext w:val="0"/>
        <w:keepLines w:val="0"/>
        <w:pageBreakBefore w:val="0"/>
        <w:widowControl w:val="0"/>
        <w:shd w:val="clear"/>
        <w:kinsoku/>
        <w:wordWrap/>
        <w:overflowPunct/>
        <w:topLinePunct w:val="0"/>
        <w:autoSpaceDE/>
        <w:autoSpaceDN/>
        <w:bidi w:val="0"/>
        <w:spacing w:line="400" w:lineRule="exact"/>
        <w:textAlignment w:val="auto"/>
        <w:rPr>
          <w:color w:val="auto"/>
          <w:highlight w:val="none"/>
        </w:rPr>
      </w:pPr>
    </w:p>
    <w:p>
      <w:pPr>
        <w:pStyle w:val="31"/>
        <w:keepNext w:val="0"/>
        <w:keepLines w:val="0"/>
        <w:pageBreakBefore w:val="0"/>
        <w:widowControl w:val="0"/>
        <w:shd w:val="clear"/>
        <w:kinsoku/>
        <w:wordWrap/>
        <w:overflowPunct/>
        <w:topLinePunct w:val="0"/>
        <w:autoSpaceDE/>
        <w:autoSpaceDN/>
        <w:bidi w:val="0"/>
        <w:spacing w:line="400" w:lineRule="exact"/>
        <w:textAlignment w:val="auto"/>
        <w:rPr>
          <w:color w:val="auto"/>
          <w:highlight w:val="none"/>
        </w:rPr>
      </w:pPr>
    </w:p>
    <w:p>
      <w:pPr>
        <w:pStyle w:val="31"/>
        <w:keepNext w:val="0"/>
        <w:keepLines w:val="0"/>
        <w:pageBreakBefore w:val="0"/>
        <w:widowControl w:val="0"/>
        <w:shd w:val="clear"/>
        <w:kinsoku/>
        <w:wordWrap/>
        <w:overflowPunct/>
        <w:topLinePunct w:val="0"/>
        <w:autoSpaceDE/>
        <w:autoSpaceDN/>
        <w:bidi w:val="0"/>
        <w:spacing w:line="400" w:lineRule="exact"/>
        <w:textAlignment w:val="auto"/>
        <w:rPr>
          <w:color w:val="auto"/>
          <w:highlight w:val="none"/>
        </w:rPr>
      </w:pPr>
    </w:p>
    <w:p>
      <w:pPr>
        <w:pStyle w:val="31"/>
        <w:keepNext w:val="0"/>
        <w:keepLines w:val="0"/>
        <w:pageBreakBefore w:val="0"/>
        <w:widowControl w:val="0"/>
        <w:shd w:val="clear"/>
        <w:kinsoku/>
        <w:wordWrap/>
        <w:overflowPunct/>
        <w:topLinePunct w:val="0"/>
        <w:autoSpaceDE/>
        <w:autoSpaceDN/>
        <w:bidi w:val="0"/>
        <w:spacing w:line="400" w:lineRule="exact"/>
        <w:textAlignment w:val="auto"/>
        <w:rPr>
          <w:color w:val="auto"/>
          <w:highlight w:val="none"/>
        </w:rPr>
      </w:pPr>
    </w:p>
    <w:p>
      <w:pPr>
        <w:pStyle w:val="31"/>
        <w:keepNext w:val="0"/>
        <w:keepLines w:val="0"/>
        <w:pageBreakBefore w:val="0"/>
        <w:widowControl w:val="0"/>
        <w:shd w:val="clear"/>
        <w:kinsoku/>
        <w:wordWrap/>
        <w:overflowPunct/>
        <w:topLinePunct w:val="0"/>
        <w:autoSpaceDE/>
        <w:autoSpaceDN/>
        <w:bidi w:val="0"/>
        <w:spacing w:line="400" w:lineRule="exact"/>
        <w:textAlignment w:val="auto"/>
        <w:rPr>
          <w:color w:val="auto"/>
          <w:highlight w:val="none"/>
        </w:rPr>
      </w:pPr>
    </w:p>
    <w:p>
      <w:pPr>
        <w:pStyle w:val="31"/>
        <w:keepNext w:val="0"/>
        <w:keepLines w:val="0"/>
        <w:pageBreakBefore w:val="0"/>
        <w:widowControl w:val="0"/>
        <w:shd w:val="clear"/>
        <w:kinsoku/>
        <w:wordWrap/>
        <w:overflowPunct/>
        <w:topLinePunct w:val="0"/>
        <w:autoSpaceDE/>
        <w:autoSpaceDN/>
        <w:bidi w:val="0"/>
        <w:spacing w:line="400" w:lineRule="exact"/>
        <w:textAlignment w:val="auto"/>
        <w:rPr>
          <w:color w:val="auto"/>
          <w:highlight w:val="none"/>
        </w:rPr>
      </w:pPr>
    </w:p>
    <w:p>
      <w:pPr>
        <w:pStyle w:val="31"/>
        <w:keepNext w:val="0"/>
        <w:keepLines w:val="0"/>
        <w:pageBreakBefore w:val="0"/>
        <w:widowControl w:val="0"/>
        <w:shd w:val="clear"/>
        <w:kinsoku/>
        <w:wordWrap/>
        <w:overflowPunct/>
        <w:topLinePunct w:val="0"/>
        <w:autoSpaceDE/>
        <w:autoSpaceDN/>
        <w:bidi w:val="0"/>
        <w:spacing w:line="400" w:lineRule="exact"/>
        <w:textAlignment w:val="auto"/>
        <w:rPr>
          <w:color w:val="auto"/>
          <w:highlight w:val="none"/>
        </w:rPr>
      </w:pPr>
    </w:p>
    <w:p>
      <w:pPr>
        <w:pStyle w:val="31"/>
        <w:keepNext w:val="0"/>
        <w:keepLines w:val="0"/>
        <w:pageBreakBefore w:val="0"/>
        <w:widowControl w:val="0"/>
        <w:shd w:val="clear"/>
        <w:kinsoku/>
        <w:wordWrap/>
        <w:overflowPunct/>
        <w:topLinePunct w:val="0"/>
        <w:autoSpaceDE/>
        <w:autoSpaceDN/>
        <w:bidi w:val="0"/>
        <w:spacing w:line="400" w:lineRule="exact"/>
        <w:textAlignment w:val="auto"/>
        <w:rPr>
          <w:color w:val="auto"/>
          <w:highlight w:val="none"/>
        </w:rPr>
      </w:pPr>
    </w:p>
    <w:p>
      <w:pPr>
        <w:pStyle w:val="31"/>
        <w:keepNext w:val="0"/>
        <w:keepLines w:val="0"/>
        <w:pageBreakBefore w:val="0"/>
        <w:widowControl w:val="0"/>
        <w:shd w:val="clear"/>
        <w:kinsoku/>
        <w:wordWrap/>
        <w:overflowPunct/>
        <w:topLinePunct w:val="0"/>
        <w:autoSpaceDE/>
        <w:autoSpaceDN/>
        <w:bidi w:val="0"/>
        <w:spacing w:line="400" w:lineRule="exact"/>
        <w:textAlignment w:val="auto"/>
        <w:rPr>
          <w:color w:val="auto"/>
          <w:highlight w:val="none"/>
        </w:rPr>
      </w:pPr>
    </w:p>
    <w:p>
      <w:pPr>
        <w:pStyle w:val="31"/>
        <w:keepNext w:val="0"/>
        <w:keepLines w:val="0"/>
        <w:pageBreakBefore w:val="0"/>
        <w:widowControl w:val="0"/>
        <w:shd w:val="clear"/>
        <w:kinsoku/>
        <w:wordWrap/>
        <w:overflowPunct/>
        <w:topLinePunct w:val="0"/>
        <w:autoSpaceDE/>
        <w:autoSpaceDN/>
        <w:bidi w:val="0"/>
        <w:spacing w:line="400" w:lineRule="exact"/>
        <w:textAlignment w:val="auto"/>
        <w:rPr>
          <w:color w:val="auto"/>
          <w:highlight w:val="none"/>
        </w:rPr>
      </w:pPr>
    </w:p>
    <w:p>
      <w:pPr>
        <w:pStyle w:val="31"/>
        <w:keepNext w:val="0"/>
        <w:keepLines w:val="0"/>
        <w:pageBreakBefore w:val="0"/>
        <w:widowControl w:val="0"/>
        <w:shd w:val="clear"/>
        <w:kinsoku/>
        <w:wordWrap/>
        <w:overflowPunct/>
        <w:topLinePunct w:val="0"/>
        <w:autoSpaceDE/>
        <w:autoSpaceDN/>
        <w:bidi w:val="0"/>
        <w:spacing w:line="400" w:lineRule="exact"/>
        <w:textAlignment w:val="auto"/>
        <w:rPr>
          <w:color w:val="auto"/>
          <w:highlight w:val="none"/>
        </w:rPr>
      </w:pPr>
    </w:p>
    <w:p>
      <w:pPr>
        <w:pStyle w:val="31"/>
        <w:keepNext w:val="0"/>
        <w:keepLines w:val="0"/>
        <w:pageBreakBefore w:val="0"/>
        <w:widowControl w:val="0"/>
        <w:shd w:val="clear"/>
        <w:kinsoku/>
        <w:wordWrap/>
        <w:overflowPunct/>
        <w:topLinePunct w:val="0"/>
        <w:autoSpaceDE/>
        <w:autoSpaceDN/>
        <w:bidi w:val="0"/>
        <w:spacing w:line="400" w:lineRule="exact"/>
        <w:textAlignment w:val="auto"/>
        <w:rPr>
          <w:color w:val="auto"/>
          <w:highlight w:val="none"/>
        </w:rPr>
      </w:pPr>
    </w:p>
    <w:p>
      <w:pPr>
        <w:pStyle w:val="31"/>
        <w:keepNext w:val="0"/>
        <w:keepLines w:val="0"/>
        <w:pageBreakBefore w:val="0"/>
        <w:widowControl w:val="0"/>
        <w:shd w:val="clear"/>
        <w:kinsoku/>
        <w:wordWrap/>
        <w:overflowPunct/>
        <w:topLinePunct w:val="0"/>
        <w:autoSpaceDE/>
        <w:autoSpaceDN/>
        <w:bidi w:val="0"/>
        <w:spacing w:line="400" w:lineRule="exact"/>
        <w:textAlignment w:val="auto"/>
        <w:rPr>
          <w:color w:val="auto"/>
          <w:highlight w:val="none"/>
        </w:rPr>
      </w:pPr>
    </w:p>
    <w:p>
      <w:pPr>
        <w:pStyle w:val="31"/>
        <w:keepNext w:val="0"/>
        <w:keepLines w:val="0"/>
        <w:pageBreakBefore w:val="0"/>
        <w:widowControl w:val="0"/>
        <w:shd w:val="clear"/>
        <w:kinsoku/>
        <w:wordWrap/>
        <w:overflowPunct/>
        <w:topLinePunct w:val="0"/>
        <w:autoSpaceDE/>
        <w:autoSpaceDN/>
        <w:bidi w:val="0"/>
        <w:spacing w:line="400" w:lineRule="exact"/>
        <w:textAlignment w:val="auto"/>
        <w:rPr>
          <w:color w:val="auto"/>
          <w:highlight w:val="none"/>
        </w:rPr>
      </w:pPr>
    </w:p>
    <w:p>
      <w:pPr>
        <w:pStyle w:val="31"/>
        <w:keepNext w:val="0"/>
        <w:keepLines w:val="0"/>
        <w:pageBreakBefore w:val="0"/>
        <w:widowControl w:val="0"/>
        <w:shd w:val="clear"/>
        <w:kinsoku/>
        <w:wordWrap/>
        <w:overflowPunct/>
        <w:topLinePunct w:val="0"/>
        <w:autoSpaceDE/>
        <w:autoSpaceDN/>
        <w:bidi w:val="0"/>
        <w:spacing w:line="400" w:lineRule="exact"/>
        <w:textAlignment w:val="auto"/>
        <w:rPr>
          <w:color w:val="auto"/>
          <w:highlight w:val="none"/>
        </w:rPr>
      </w:pPr>
    </w:p>
    <w:p>
      <w:pPr>
        <w:pStyle w:val="31"/>
        <w:keepNext w:val="0"/>
        <w:keepLines w:val="0"/>
        <w:pageBreakBefore w:val="0"/>
        <w:widowControl w:val="0"/>
        <w:shd w:val="clear"/>
        <w:kinsoku/>
        <w:wordWrap/>
        <w:overflowPunct/>
        <w:topLinePunct w:val="0"/>
        <w:autoSpaceDE/>
        <w:autoSpaceDN/>
        <w:bidi w:val="0"/>
        <w:spacing w:line="400" w:lineRule="exact"/>
        <w:textAlignment w:val="auto"/>
        <w:rPr>
          <w:color w:val="auto"/>
          <w:highlight w:val="none"/>
        </w:rPr>
      </w:pPr>
    </w:p>
    <w:p>
      <w:pPr>
        <w:keepNext w:val="0"/>
        <w:keepLines w:val="0"/>
        <w:pageBreakBefore w:val="0"/>
        <w:widowControl w:val="0"/>
        <w:shd w:val="clear"/>
        <w:kinsoku/>
        <w:wordWrap/>
        <w:overflowPunct/>
        <w:topLinePunct w:val="0"/>
        <w:autoSpaceDE/>
        <w:autoSpaceDN/>
        <w:bidi w:val="0"/>
        <w:spacing w:line="400" w:lineRule="exact"/>
        <w:jc w:val="center"/>
        <w:textAlignment w:val="auto"/>
        <w:rPr>
          <w:rFonts w:ascii="Times New Roman" w:hAnsi="Times New Roman" w:eastAsia="方正仿宋_GBK"/>
          <w:color w:val="auto"/>
          <w:highlight w:val="none"/>
        </w:rPr>
      </w:pPr>
    </w:p>
    <w:p>
      <w:pPr>
        <w:pageBreakBefore w:val="0"/>
        <w:shd w:val="clear"/>
        <w:kinsoku/>
        <w:wordWrap/>
        <w:overflowPunct/>
        <w:topLinePunct w:val="0"/>
        <w:bidi w:val="0"/>
        <w:jc w:val="center"/>
        <w:textAlignment w:val="auto"/>
        <w:rPr>
          <w:rFonts w:hint="eastAsia" w:ascii="方正楷体简体" w:hAnsi="方正楷体简体" w:eastAsia="方正楷体简体" w:cs="方正楷体简体"/>
          <w:color w:val="auto"/>
          <w:sz w:val="36"/>
          <w:szCs w:val="36"/>
          <w:highlight w:val="none"/>
          <w:lang w:eastAsia="zh-CN"/>
        </w:rPr>
      </w:pPr>
      <w:r>
        <w:rPr>
          <w:rFonts w:hint="eastAsia" w:ascii="方正楷体简体" w:hAnsi="方正楷体简体" w:eastAsia="方正楷体简体" w:cs="方正楷体简体"/>
          <w:color w:val="auto"/>
          <w:sz w:val="36"/>
          <w:szCs w:val="36"/>
          <w:highlight w:val="none"/>
          <w:lang w:eastAsia="zh-CN"/>
        </w:rPr>
        <w:t>三亚市人民政府</w:t>
      </w:r>
    </w:p>
    <w:p>
      <w:pPr>
        <w:pStyle w:val="2"/>
        <w:rPr>
          <w:rFonts w:hint="eastAsia" w:ascii="方正楷体简体" w:hAnsi="方正楷体简体" w:eastAsia="方正楷体简体" w:cs="方正楷体简体"/>
          <w:color w:val="auto"/>
          <w:sz w:val="36"/>
          <w:szCs w:val="36"/>
          <w:highlight w:val="none"/>
        </w:rPr>
      </w:pPr>
    </w:p>
    <w:p>
      <w:pPr>
        <w:rPr>
          <w:rFonts w:hint="eastAsia"/>
        </w:rPr>
        <w:sectPr>
          <w:footerReference r:id="rId5" w:type="default"/>
          <w:pgSz w:w="11906" w:h="16838"/>
          <w:pgMar w:top="1701" w:right="1531" w:bottom="1701" w:left="1531" w:header="851" w:footer="992" w:gutter="0"/>
          <w:pgNumType w:fmt="decimal" w:start="6"/>
          <w:cols w:space="0" w:num="1"/>
          <w:rtlGutter w:val="0"/>
          <w:docGrid w:type="lines" w:linePitch="312" w:charSpace="0"/>
        </w:sectPr>
      </w:pPr>
    </w:p>
    <w:p>
      <w:pPr>
        <w:pageBreakBefore w:val="0"/>
        <w:shd w:val="clear"/>
        <w:kinsoku/>
        <w:wordWrap/>
        <w:overflowPunct/>
        <w:topLinePunct w:val="0"/>
        <w:bidi w:val="0"/>
        <w:jc w:val="center"/>
        <w:textAlignment w:val="auto"/>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sz w:val="40"/>
          <w:szCs w:val="40"/>
          <w:highlight w:val="none"/>
        </w:rPr>
        <w:t>目  录</w:t>
      </w:r>
    </w:p>
    <w:p>
      <w:pPr>
        <w:pStyle w:val="5"/>
        <w:rPr>
          <w:rFonts w:hint="eastAsia"/>
        </w:rPr>
      </w:pPr>
    </w:p>
    <w:p>
      <w:pPr>
        <w:pStyle w:val="5"/>
        <w:rPr>
          <w:rFonts w:hint="eastAsia" w:ascii="黑体" w:hAnsi="黑体" w:eastAsia="黑体" w:cs="黑体"/>
          <w:sz w:val="30"/>
          <w:szCs w:val="30"/>
        </w:rPr>
      </w:pPr>
      <w:r>
        <w:rPr>
          <w:rFonts w:hint="eastAsia" w:ascii="黑体" w:hAnsi="黑体" w:eastAsia="黑体" w:cs="黑体"/>
          <w:sz w:val="30"/>
          <w:szCs w:val="30"/>
        </w:rPr>
        <w:t>前言</w:t>
      </w:r>
    </w:p>
    <w:p>
      <w:pPr>
        <w:pStyle w:val="5"/>
        <w:rPr>
          <w:rFonts w:hint="eastAsia" w:ascii="方正楷体简体" w:hAnsi="方正楷体简体" w:eastAsia="方正楷体简体" w:cs="方正楷体简体"/>
          <w:sz w:val="30"/>
          <w:szCs w:val="30"/>
          <w:lang w:eastAsia="zh-CN"/>
        </w:rPr>
      </w:pPr>
      <w:r>
        <w:rPr>
          <w:rFonts w:hint="eastAsia" w:ascii="黑体" w:hAnsi="黑体" w:eastAsia="黑体" w:cs="黑体"/>
          <w:sz w:val="30"/>
          <w:szCs w:val="30"/>
        </w:rPr>
        <w:t>第一章  “十四五”回顾和“十五五”展望</w:t>
      </w:r>
      <w:r>
        <w:rPr>
          <w:rFonts w:hint="eastAsia" w:ascii="方正楷体简体" w:hAnsi="方正楷体简体" w:eastAsia="方正楷体简体" w:cs="方正楷体简体"/>
          <w:sz w:val="30"/>
          <w:szCs w:val="30"/>
        </w:rPr>
        <w:t>………………………</w:t>
      </w:r>
      <w:r>
        <w:rPr>
          <w:rFonts w:hint="eastAsia" w:ascii="方正楷体简体" w:hAnsi="方正楷体简体" w:eastAsia="方正楷体简体" w:cs="方正楷体简体"/>
          <w:sz w:val="30"/>
          <w:szCs w:val="30"/>
          <w:lang w:val="en-US" w:eastAsia="zh-CN"/>
        </w:rPr>
        <w:t>1</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eastAsia" w:ascii="方正楷体简体" w:hAnsi="方正楷体简体" w:eastAsia="方正楷体简体" w:cs="方正楷体简体"/>
          <w:sz w:val="30"/>
          <w:szCs w:val="30"/>
          <w:lang w:val="en-US" w:eastAsia="zh-CN"/>
        </w:rPr>
      </w:pPr>
      <w:r>
        <w:rPr>
          <w:rFonts w:hint="eastAsia" w:ascii="方正楷体简体" w:hAnsi="方正楷体简体" w:eastAsia="方正楷体简体" w:cs="方正楷体简体"/>
          <w:sz w:val="30"/>
          <w:szCs w:val="30"/>
        </w:rPr>
        <w:t>第一节  发展成就…………………………………………………</w:t>
      </w:r>
      <w:r>
        <w:rPr>
          <w:rFonts w:hint="eastAsia" w:ascii="方正楷体简体" w:hAnsi="方正楷体简体" w:eastAsia="方正楷体简体" w:cs="方正楷体简体"/>
          <w:sz w:val="30"/>
          <w:szCs w:val="30"/>
          <w:lang w:val="en-US" w:eastAsia="zh-CN"/>
        </w:rPr>
        <w:t>1</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eastAsia" w:ascii="方正楷体简体" w:hAnsi="方正楷体简体" w:eastAsia="方正楷体简体" w:cs="方正楷体简体"/>
          <w:sz w:val="30"/>
          <w:szCs w:val="30"/>
        </w:rPr>
      </w:pPr>
      <w:r>
        <w:rPr>
          <w:rFonts w:hint="eastAsia" w:ascii="方正楷体简体" w:hAnsi="方正楷体简体" w:eastAsia="方正楷体简体" w:cs="方正楷体简体"/>
          <w:sz w:val="30"/>
          <w:szCs w:val="30"/>
        </w:rPr>
        <w:t>第二节  机遇挑战…………………………………………………</w:t>
      </w:r>
      <w:r>
        <w:rPr>
          <w:rFonts w:hint="eastAsia" w:ascii="方正楷体简体" w:hAnsi="方正楷体简体" w:eastAsia="方正楷体简体" w:cs="方正楷体简体"/>
          <w:sz w:val="30"/>
          <w:szCs w:val="30"/>
          <w:lang w:val="en-US" w:eastAsia="zh-CN"/>
        </w:rPr>
        <w:t>6</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eastAsia" w:ascii="方正楷体简体" w:hAnsi="方正楷体简体" w:eastAsia="方正楷体简体" w:cs="方正楷体简体"/>
          <w:sz w:val="30"/>
          <w:szCs w:val="30"/>
        </w:rPr>
      </w:pPr>
      <w:r>
        <w:rPr>
          <w:rFonts w:hint="eastAsia" w:ascii="方正楷体简体" w:hAnsi="方正楷体简体" w:eastAsia="方正楷体简体" w:cs="方正楷体简体"/>
          <w:sz w:val="30"/>
          <w:szCs w:val="30"/>
        </w:rPr>
        <w:t>第三节  指导思想…………………………………………………</w:t>
      </w:r>
      <w:r>
        <w:rPr>
          <w:rFonts w:hint="eastAsia" w:ascii="方正楷体简体" w:hAnsi="方正楷体简体" w:eastAsia="方正楷体简体" w:cs="方正楷体简体"/>
          <w:sz w:val="30"/>
          <w:szCs w:val="30"/>
          <w:lang w:val="en-US" w:eastAsia="zh-CN"/>
        </w:rPr>
        <w:t>8</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eastAsia" w:ascii="方正楷体简体" w:hAnsi="方正楷体简体" w:eastAsia="方正楷体简体" w:cs="方正楷体简体"/>
          <w:sz w:val="30"/>
          <w:szCs w:val="30"/>
        </w:rPr>
      </w:pPr>
      <w:r>
        <w:rPr>
          <w:rFonts w:hint="eastAsia" w:ascii="方正楷体简体" w:hAnsi="方正楷体简体" w:eastAsia="方正楷体简体" w:cs="方正楷体简体"/>
          <w:sz w:val="30"/>
          <w:szCs w:val="30"/>
        </w:rPr>
        <w:t>第四节  基本原则…………………………………………………</w:t>
      </w:r>
      <w:r>
        <w:rPr>
          <w:rFonts w:hint="eastAsia" w:ascii="方正楷体简体" w:hAnsi="方正楷体简体" w:eastAsia="方正楷体简体" w:cs="方正楷体简体"/>
          <w:sz w:val="30"/>
          <w:szCs w:val="30"/>
          <w:lang w:val="en-US" w:eastAsia="zh-CN"/>
        </w:rPr>
        <w:t>8</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第五节  发展目标…………………………………………………</w:t>
      </w:r>
      <w:r>
        <w:rPr>
          <w:rFonts w:hint="eastAsia" w:ascii="方正楷体简体" w:hAnsi="方正楷体简体" w:eastAsia="方正楷体简体" w:cs="方正楷体简体"/>
          <w:sz w:val="30"/>
          <w:szCs w:val="30"/>
          <w:lang w:val="en-US" w:eastAsia="zh-CN"/>
        </w:rPr>
        <w:t>10</w:t>
      </w:r>
    </w:p>
    <w:p>
      <w:pPr>
        <w:pStyle w:val="5"/>
        <w:keepNext w:val="0"/>
        <w:pageBreakBefore w:val="0"/>
        <w:widowControl w:val="0"/>
        <w:kinsoku/>
        <w:wordWrap/>
        <w:overflowPunct/>
        <w:topLinePunct w:val="0"/>
        <w:autoSpaceDE/>
        <w:autoSpaceDN/>
        <w:bidi w:val="0"/>
        <w:adjustRightInd/>
        <w:snapToGrid/>
        <w:textAlignment w:val="auto"/>
        <w:rPr>
          <w:rFonts w:hint="default" w:ascii="方正楷体简体" w:hAnsi="方正楷体简体" w:eastAsia="方正楷体简体" w:cs="方正楷体简体"/>
          <w:sz w:val="30"/>
          <w:szCs w:val="30"/>
          <w:lang w:val="en-US"/>
        </w:rPr>
      </w:pPr>
      <w:r>
        <w:rPr>
          <w:rFonts w:hint="eastAsia" w:ascii="黑体" w:hAnsi="黑体" w:eastAsia="黑体" w:cs="黑体"/>
          <w:sz w:val="30"/>
          <w:szCs w:val="30"/>
        </w:rPr>
        <w:t>第二章  打造中国特色自由贸易港标杆</w:t>
      </w:r>
      <w:r>
        <w:rPr>
          <w:rFonts w:hint="eastAsia" w:ascii="方正楷体简体" w:hAnsi="方正楷体简体" w:eastAsia="方正楷体简体" w:cs="方正楷体简体"/>
          <w:sz w:val="30"/>
          <w:szCs w:val="30"/>
        </w:rPr>
        <w:t>……………………………</w:t>
      </w:r>
      <w:r>
        <w:rPr>
          <w:rFonts w:hint="eastAsia" w:ascii="方正楷体简体" w:hAnsi="方正楷体简体" w:eastAsia="方正楷体简体" w:cs="方正楷体简体"/>
          <w:sz w:val="30"/>
          <w:szCs w:val="30"/>
          <w:lang w:val="en-US" w:eastAsia="zh-CN"/>
        </w:rPr>
        <w:t>14</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第一节  扎实有序推进自贸港建设………………………………</w:t>
      </w:r>
      <w:r>
        <w:rPr>
          <w:rFonts w:hint="eastAsia" w:ascii="方正楷体简体" w:hAnsi="方正楷体简体" w:eastAsia="方正楷体简体" w:cs="方正楷体简体"/>
          <w:sz w:val="30"/>
          <w:szCs w:val="30"/>
          <w:lang w:val="en-US" w:eastAsia="zh-CN"/>
        </w:rPr>
        <w:t>14</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第二节  构建衔接双循环的开放合作格局………………………</w:t>
      </w:r>
      <w:r>
        <w:rPr>
          <w:rFonts w:hint="eastAsia" w:ascii="方正楷体简体" w:hAnsi="方正楷体简体" w:eastAsia="方正楷体简体" w:cs="方正楷体简体"/>
          <w:sz w:val="30"/>
          <w:szCs w:val="30"/>
          <w:lang w:val="en-US" w:eastAsia="zh-CN"/>
        </w:rPr>
        <w:t>15</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第三节  推动开放型经济量质齐升………………………………</w:t>
      </w:r>
      <w:r>
        <w:rPr>
          <w:rFonts w:hint="eastAsia" w:ascii="方正楷体简体" w:hAnsi="方正楷体简体" w:eastAsia="方正楷体简体" w:cs="方正楷体简体"/>
          <w:sz w:val="30"/>
          <w:szCs w:val="30"/>
          <w:lang w:val="en-US" w:eastAsia="zh-CN"/>
        </w:rPr>
        <w:t>16</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第四节  塑造营商环境三亚品牌…………………………………</w:t>
      </w:r>
      <w:r>
        <w:rPr>
          <w:rFonts w:hint="eastAsia" w:ascii="方正楷体简体" w:hAnsi="方正楷体简体" w:eastAsia="方正楷体简体" w:cs="方正楷体简体"/>
          <w:sz w:val="30"/>
          <w:szCs w:val="30"/>
          <w:lang w:val="en-US" w:eastAsia="zh-CN"/>
        </w:rPr>
        <w:t>18</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第五节  全面深化重点领域改革…………………………………</w:t>
      </w:r>
      <w:r>
        <w:rPr>
          <w:rFonts w:hint="eastAsia" w:ascii="方正楷体简体" w:hAnsi="方正楷体简体" w:eastAsia="方正楷体简体" w:cs="方正楷体简体"/>
          <w:sz w:val="30"/>
          <w:szCs w:val="30"/>
          <w:lang w:val="en-US" w:eastAsia="zh-CN"/>
        </w:rPr>
        <w:t>20</w:t>
      </w:r>
    </w:p>
    <w:p>
      <w:pPr>
        <w:pStyle w:val="5"/>
        <w:keepNext w:val="0"/>
        <w:pageBreakBefore w:val="0"/>
        <w:widowControl w:val="0"/>
        <w:kinsoku/>
        <w:wordWrap/>
        <w:overflowPunct/>
        <w:topLinePunct w:val="0"/>
        <w:autoSpaceDE/>
        <w:autoSpaceDN/>
        <w:bidi w:val="0"/>
        <w:adjustRightInd/>
        <w:snapToGrid/>
        <w:textAlignment w:val="auto"/>
        <w:rPr>
          <w:rFonts w:hint="default" w:ascii="方正楷体简体" w:hAnsi="方正楷体简体" w:eastAsia="方正楷体简体" w:cs="方正楷体简体"/>
          <w:sz w:val="30"/>
          <w:szCs w:val="30"/>
          <w:lang w:val="en-US"/>
        </w:rPr>
      </w:pPr>
      <w:r>
        <w:rPr>
          <w:rFonts w:hint="eastAsia" w:ascii="黑体" w:hAnsi="黑体" w:eastAsia="黑体" w:cs="黑体"/>
          <w:sz w:val="30"/>
          <w:szCs w:val="30"/>
        </w:rPr>
        <w:t>第三章  加快建设国家重大战略服务保障区</w:t>
      </w:r>
      <w:r>
        <w:rPr>
          <w:rFonts w:hint="eastAsia" w:ascii="方正楷体简体" w:hAnsi="方正楷体简体" w:eastAsia="方正楷体简体" w:cs="方正楷体简体"/>
          <w:sz w:val="30"/>
          <w:szCs w:val="30"/>
        </w:rPr>
        <w:t>………………………</w:t>
      </w:r>
      <w:r>
        <w:rPr>
          <w:rFonts w:hint="eastAsia" w:ascii="方正楷体简体" w:hAnsi="方正楷体简体" w:eastAsia="方正楷体简体" w:cs="方正楷体简体"/>
          <w:sz w:val="30"/>
          <w:szCs w:val="30"/>
          <w:lang w:val="en-US" w:eastAsia="zh-CN"/>
        </w:rPr>
        <w:t>22</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第一节  持续深化军地协调发展…………………………………</w:t>
      </w:r>
      <w:r>
        <w:rPr>
          <w:rFonts w:hint="eastAsia" w:ascii="方正楷体简体" w:hAnsi="方正楷体简体" w:eastAsia="方正楷体简体" w:cs="方正楷体简体"/>
          <w:sz w:val="30"/>
          <w:szCs w:val="30"/>
          <w:lang w:val="en-US" w:eastAsia="zh-CN"/>
        </w:rPr>
        <w:t>22</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第二节  服务和推进海洋资源开发………………………………</w:t>
      </w:r>
      <w:r>
        <w:rPr>
          <w:rFonts w:hint="eastAsia" w:ascii="方正楷体简体" w:hAnsi="方正楷体简体" w:eastAsia="方正楷体简体" w:cs="方正楷体简体"/>
          <w:sz w:val="30"/>
          <w:szCs w:val="30"/>
          <w:lang w:val="en-US" w:eastAsia="zh-CN"/>
        </w:rPr>
        <w:t>23</w:t>
      </w:r>
    </w:p>
    <w:p>
      <w:pPr>
        <w:pStyle w:val="5"/>
        <w:keepNext w:val="0"/>
        <w:pageBreakBefore w:val="0"/>
        <w:widowControl w:val="0"/>
        <w:kinsoku/>
        <w:wordWrap/>
        <w:overflowPunct/>
        <w:topLinePunct w:val="0"/>
        <w:autoSpaceDE/>
        <w:autoSpaceDN/>
        <w:bidi w:val="0"/>
        <w:adjustRightInd/>
        <w:snapToGrid/>
        <w:textAlignment w:val="auto"/>
        <w:rPr>
          <w:rFonts w:hint="default" w:ascii="方正楷体简体" w:hAnsi="方正楷体简体" w:eastAsia="方正楷体简体" w:cs="方正楷体简体"/>
          <w:sz w:val="30"/>
          <w:szCs w:val="30"/>
          <w:lang w:val="en-US"/>
        </w:rPr>
      </w:pPr>
      <w:r>
        <w:rPr>
          <w:rFonts w:hint="eastAsia" w:ascii="黑体" w:hAnsi="黑体" w:eastAsia="黑体" w:cs="黑体"/>
          <w:sz w:val="30"/>
          <w:szCs w:val="30"/>
        </w:rPr>
        <w:t>第四章  推动美丽中国先行区建设</w:t>
      </w:r>
      <w:r>
        <w:rPr>
          <w:rFonts w:hint="eastAsia" w:ascii="方正楷体简体" w:hAnsi="方正楷体简体" w:eastAsia="方正楷体简体" w:cs="方正楷体简体"/>
          <w:sz w:val="30"/>
          <w:szCs w:val="30"/>
        </w:rPr>
        <w:t>…………………………………</w:t>
      </w:r>
      <w:r>
        <w:rPr>
          <w:rFonts w:hint="eastAsia" w:ascii="方正楷体简体" w:hAnsi="方正楷体简体" w:eastAsia="方正楷体简体" w:cs="方正楷体简体"/>
          <w:sz w:val="30"/>
          <w:szCs w:val="30"/>
          <w:lang w:val="en-US" w:eastAsia="zh-CN"/>
        </w:rPr>
        <w:t>25</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第一节  持续改善生态环境质量…………………………………</w:t>
      </w:r>
      <w:r>
        <w:rPr>
          <w:rFonts w:hint="eastAsia" w:ascii="方正楷体简体" w:hAnsi="方正楷体简体" w:eastAsia="方正楷体简体" w:cs="方正楷体简体"/>
          <w:sz w:val="30"/>
          <w:szCs w:val="30"/>
          <w:lang w:val="en-US" w:eastAsia="zh-CN"/>
        </w:rPr>
        <w:t>25</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第二节  夯实全域生态安全屏障…………………………………</w:t>
      </w:r>
      <w:r>
        <w:rPr>
          <w:rFonts w:hint="eastAsia" w:ascii="方正楷体简体" w:hAnsi="方正楷体简体" w:eastAsia="方正楷体简体" w:cs="方正楷体简体"/>
          <w:sz w:val="30"/>
          <w:szCs w:val="30"/>
          <w:lang w:val="en-US" w:eastAsia="zh-CN"/>
        </w:rPr>
        <w:t>27</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第三节  积极稳妥推进和实现碳达峰……………………………</w:t>
      </w:r>
      <w:r>
        <w:rPr>
          <w:rFonts w:hint="eastAsia" w:ascii="方正楷体简体" w:hAnsi="方正楷体简体" w:eastAsia="方正楷体简体" w:cs="方正楷体简体"/>
          <w:sz w:val="30"/>
          <w:szCs w:val="30"/>
          <w:lang w:val="en-US" w:eastAsia="zh-CN"/>
        </w:rPr>
        <w:t>28</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第四节  加快形成绿色生产生活方式……………………………</w:t>
      </w:r>
      <w:r>
        <w:rPr>
          <w:rFonts w:hint="eastAsia" w:ascii="方正楷体简体" w:hAnsi="方正楷体简体" w:eastAsia="方正楷体简体" w:cs="方正楷体简体"/>
          <w:sz w:val="30"/>
          <w:szCs w:val="30"/>
          <w:lang w:val="en-US" w:eastAsia="zh-CN"/>
        </w:rPr>
        <w:t>30</w:t>
      </w:r>
    </w:p>
    <w:p>
      <w:pPr>
        <w:pStyle w:val="5"/>
        <w:keepNext w:val="0"/>
        <w:pageBreakBefore w:val="0"/>
        <w:widowControl w:val="0"/>
        <w:kinsoku/>
        <w:wordWrap/>
        <w:overflowPunct/>
        <w:topLinePunct w:val="0"/>
        <w:autoSpaceDE/>
        <w:autoSpaceDN/>
        <w:bidi w:val="0"/>
        <w:adjustRightInd/>
        <w:snapToGrid/>
        <w:textAlignment w:val="auto"/>
        <w:rPr>
          <w:rFonts w:hint="eastAsia" w:ascii="方正楷体简体" w:hAnsi="方正楷体简体" w:eastAsia="方正楷体简体" w:cs="方正楷体简体"/>
          <w:sz w:val="30"/>
          <w:szCs w:val="30"/>
        </w:rPr>
      </w:pPr>
      <w:r>
        <w:rPr>
          <w:rFonts w:hint="eastAsia" w:ascii="黑体" w:hAnsi="黑体" w:eastAsia="黑体" w:cs="黑体"/>
          <w:sz w:val="30"/>
          <w:szCs w:val="30"/>
        </w:rPr>
        <w:t>第五章  建设国际旅游消费中心核心区</w:t>
      </w:r>
      <w:r>
        <w:rPr>
          <w:rFonts w:hint="eastAsia" w:ascii="方正楷体简体" w:hAnsi="方正楷体简体" w:eastAsia="方正楷体简体" w:cs="方正楷体简体"/>
          <w:sz w:val="30"/>
          <w:szCs w:val="30"/>
        </w:rPr>
        <w:t>……………………………</w:t>
      </w:r>
      <w:r>
        <w:rPr>
          <w:rFonts w:hint="eastAsia" w:ascii="方正楷体简体" w:hAnsi="方正楷体简体" w:eastAsia="方正楷体简体" w:cs="方正楷体简体"/>
          <w:sz w:val="30"/>
          <w:szCs w:val="30"/>
          <w:lang w:val="en-US" w:eastAsia="zh-CN"/>
        </w:rPr>
        <w:t>32</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eastAsia" w:ascii="方正楷体简体" w:hAnsi="方正楷体简体" w:eastAsia="方正楷体简体" w:cs="方正楷体简体"/>
          <w:sz w:val="30"/>
          <w:szCs w:val="30"/>
        </w:rPr>
      </w:pPr>
      <w:r>
        <w:rPr>
          <w:rFonts w:hint="eastAsia" w:ascii="方正楷体简体" w:hAnsi="方正楷体简体" w:eastAsia="方正楷体简体" w:cs="方正楷体简体"/>
          <w:sz w:val="30"/>
          <w:szCs w:val="30"/>
        </w:rPr>
        <w:t>第一节  丰富高品质旅游产品供给………………………………</w:t>
      </w:r>
      <w:r>
        <w:rPr>
          <w:rFonts w:hint="eastAsia" w:ascii="方正楷体简体" w:hAnsi="方正楷体简体" w:eastAsia="方正楷体简体" w:cs="方正楷体简体"/>
          <w:sz w:val="30"/>
          <w:szCs w:val="30"/>
          <w:lang w:val="en-US" w:eastAsia="zh-CN"/>
        </w:rPr>
        <w:t>32</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eastAsia" w:ascii="方正楷体简体" w:hAnsi="方正楷体简体" w:eastAsia="方正楷体简体" w:cs="方正楷体简体"/>
          <w:sz w:val="30"/>
          <w:szCs w:val="30"/>
          <w:lang w:eastAsia="zh-CN"/>
        </w:rPr>
      </w:pPr>
      <w:r>
        <w:rPr>
          <w:rFonts w:hint="eastAsia" w:ascii="方正楷体简体" w:hAnsi="方正楷体简体" w:eastAsia="方正楷体简体" w:cs="方正楷体简体"/>
          <w:sz w:val="30"/>
          <w:szCs w:val="30"/>
        </w:rPr>
        <w:t>第二节  推进文旅深度融合………………………………………3</w:t>
      </w:r>
      <w:r>
        <w:rPr>
          <w:rFonts w:hint="eastAsia" w:ascii="方正楷体简体" w:hAnsi="方正楷体简体" w:eastAsia="方正楷体简体" w:cs="方正楷体简体"/>
          <w:sz w:val="30"/>
          <w:szCs w:val="30"/>
          <w:lang w:val="en-US" w:eastAsia="zh-CN"/>
        </w:rPr>
        <w:t>3</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第三节  提高旅游服务质量………………………………………</w:t>
      </w:r>
      <w:r>
        <w:rPr>
          <w:rFonts w:hint="eastAsia" w:ascii="方正楷体简体" w:hAnsi="方正楷体简体" w:eastAsia="方正楷体简体" w:cs="方正楷体简体"/>
          <w:sz w:val="30"/>
          <w:szCs w:val="30"/>
          <w:lang w:val="en-US" w:eastAsia="zh-CN"/>
        </w:rPr>
        <w:t>35</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第四节  挖掘消费投资潜力服务扩大内需战略…………………</w:t>
      </w:r>
      <w:r>
        <w:rPr>
          <w:rFonts w:hint="eastAsia" w:ascii="方正楷体简体" w:hAnsi="方正楷体简体" w:eastAsia="方正楷体简体" w:cs="方正楷体简体"/>
          <w:sz w:val="30"/>
          <w:szCs w:val="30"/>
          <w:lang w:val="en-US" w:eastAsia="zh-CN"/>
        </w:rPr>
        <w:t>37</w:t>
      </w:r>
    </w:p>
    <w:p>
      <w:pPr>
        <w:pStyle w:val="5"/>
        <w:keepNext w:val="0"/>
        <w:pageBreakBefore w:val="0"/>
        <w:widowControl w:val="0"/>
        <w:kinsoku/>
        <w:wordWrap/>
        <w:overflowPunct/>
        <w:topLinePunct w:val="0"/>
        <w:autoSpaceDE/>
        <w:autoSpaceDN/>
        <w:bidi w:val="0"/>
        <w:adjustRightInd/>
        <w:snapToGrid/>
        <w:textAlignment w:val="auto"/>
        <w:rPr>
          <w:rFonts w:hint="default" w:ascii="方正楷体简体" w:hAnsi="方正楷体简体" w:eastAsia="方正楷体简体" w:cs="方正楷体简体"/>
          <w:sz w:val="30"/>
          <w:szCs w:val="30"/>
          <w:lang w:val="en-US"/>
        </w:rPr>
      </w:pPr>
      <w:r>
        <w:rPr>
          <w:rFonts w:hint="eastAsia" w:ascii="黑体" w:hAnsi="黑体" w:eastAsia="黑体" w:cs="黑体"/>
          <w:sz w:val="30"/>
          <w:szCs w:val="30"/>
        </w:rPr>
        <w:t>第六章  打造全国种业深海科技产业创新示范区</w:t>
      </w:r>
      <w:r>
        <w:rPr>
          <w:rFonts w:hint="eastAsia" w:ascii="方正楷体简体" w:hAnsi="方正楷体简体" w:eastAsia="方正楷体简体" w:cs="方正楷体简体"/>
          <w:sz w:val="30"/>
          <w:szCs w:val="30"/>
        </w:rPr>
        <w:t>…………………</w:t>
      </w:r>
      <w:r>
        <w:rPr>
          <w:rFonts w:hint="eastAsia" w:ascii="方正楷体简体" w:hAnsi="方正楷体简体" w:eastAsia="方正楷体简体" w:cs="方正楷体简体"/>
          <w:sz w:val="30"/>
          <w:szCs w:val="30"/>
          <w:lang w:val="en-US" w:eastAsia="zh-CN"/>
        </w:rPr>
        <w:t>40</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第一节  深入实施种业振兴战略…………………………………</w:t>
      </w:r>
      <w:r>
        <w:rPr>
          <w:rFonts w:hint="eastAsia" w:ascii="方正楷体简体" w:hAnsi="方正楷体简体" w:eastAsia="方正楷体简体" w:cs="方正楷体简体"/>
          <w:sz w:val="30"/>
          <w:szCs w:val="30"/>
          <w:lang w:val="en-US" w:eastAsia="zh-CN"/>
        </w:rPr>
        <w:t>40</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eastAsia" w:ascii="方正楷体简体" w:hAnsi="方正楷体简体" w:eastAsia="方正楷体简体" w:cs="方正楷体简体"/>
          <w:sz w:val="30"/>
          <w:szCs w:val="30"/>
        </w:rPr>
      </w:pPr>
      <w:r>
        <w:rPr>
          <w:rFonts w:hint="eastAsia" w:ascii="方正楷体简体" w:hAnsi="方正楷体简体" w:eastAsia="方正楷体简体" w:cs="方正楷体简体"/>
          <w:sz w:val="30"/>
          <w:szCs w:val="30"/>
        </w:rPr>
        <w:t>第二节  加快实施深海科技创新战略……………………………</w:t>
      </w:r>
      <w:r>
        <w:rPr>
          <w:rFonts w:hint="eastAsia" w:ascii="方正楷体简体" w:hAnsi="方正楷体简体" w:eastAsia="方正楷体简体" w:cs="方正楷体简体"/>
          <w:sz w:val="30"/>
          <w:szCs w:val="30"/>
          <w:lang w:val="en-US" w:eastAsia="zh-CN"/>
        </w:rPr>
        <w:t>42</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第三节  一体推进教育科技人才发展……………………………</w:t>
      </w:r>
      <w:r>
        <w:rPr>
          <w:rFonts w:hint="eastAsia" w:ascii="方正楷体简体" w:hAnsi="方正楷体简体" w:eastAsia="方正楷体简体" w:cs="方正楷体简体"/>
          <w:sz w:val="30"/>
          <w:szCs w:val="30"/>
          <w:lang w:val="en-US" w:eastAsia="zh-CN"/>
        </w:rPr>
        <w:t>44</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第四节  营造充满活力的创新生态………………………………</w:t>
      </w:r>
      <w:r>
        <w:rPr>
          <w:rFonts w:hint="eastAsia" w:ascii="方正楷体简体" w:hAnsi="方正楷体简体" w:eastAsia="方正楷体简体" w:cs="方正楷体简体"/>
          <w:sz w:val="30"/>
          <w:szCs w:val="30"/>
          <w:lang w:val="en-US" w:eastAsia="zh-CN"/>
        </w:rPr>
        <w:t>46</w:t>
      </w:r>
    </w:p>
    <w:p>
      <w:pPr>
        <w:pStyle w:val="5"/>
        <w:keepNext w:val="0"/>
        <w:pageBreakBefore w:val="0"/>
        <w:widowControl w:val="0"/>
        <w:kinsoku/>
        <w:wordWrap/>
        <w:overflowPunct/>
        <w:topLinePunct w:val="0"/>
        <w:autoSpaceDE/>
        <w:autoSpaceDN/>
        <w:bidi w:val="0"/>
        <w:adjustRightInd/>
        <w:snapToGrid/>
        <w:textAlignment w:val="auto"/>
        <w:rPr>
          <w:rFonts w:hint="default" w:ascii="方正楷体简体" w:hAnsi="方正楷体简体" w:eastAsia="方正楷体简体" w:cs="方正楷体简体"/>
          <w:sz w:val="30"/>
          <w:szCs w:val="30"/>
          <w:lang w:val="en-US"/>
        </w:rPr>
      </w:pPr>
      <w:r>
        <w:rPr>
          <w:rFonts w:hint="eastAsia" w:ascii="黑体" w:hAnsi="黑体" w:eastAsia="黑体" w:cs="黑体"/>
          <w:sz w:val="30"/>
          <w:szCs w:val="30"/>
        </w:rPr>
        <w:t>第七章  构建具有三亚特色和优势的现代化产业体系</w:t>
      </w:r>
      <w:r>
        <w:rPr>
          <w:rFonts w:hint="eastAsia" w:ascii="方正楷体简体" w:hAnsi="方正楷体简体" w:eastAsia="方正楷体简体" w:cs="方正楷体简体"/>
          <w:sz w:val="30"/>
          <w:szCs w:val="30"/>
        </w:rPr>
        <w:t>……………</w:t>
      </w:r>
      <w:r>
        <w:rPr>
          <w:rFonts w:hint="eastAsia" w:ascii="方正楷体简体" w:hAnsi="方正楷体简体" w:eastAsia="方正楷体简体" w:cs="方正楷体简体"/>
          <w:sz w:val="30"/>
          <w:szCs w:val="30"/>
          <w:lang w:val="en-US" w:eastAsia="zh-CN"/>
        </w:rPr>
        <w:t>48</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第一节  积极发展特色先进制造业………………………………</w:t>
      </w:r>
      <w:r>
        <w:rPr>
          <w:rFonts w:hint="eastAsia" w:ascii="方正楷体简体" w:hAnsi="方正楷体简体" w:eastAsia="方正楷体简体" w:cs="方正楷体简体"/>
          <w:sz w:val="30"/>
          <w:szCs w:val="30"/>
          <w:lang w:val="en-US" w:eastAsia="zh-CN"/>
        </w:rPr>
        <w:t>48</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第二节  培育壮大新兴产业和未来产业…………………………</w:t>
      </w:r>
      <w:r>
        <w:rPr>
          <w:rFonts w:hint="eastAsia" w:ascii="方正楷体简体" w:hAnsi="方正楷体简体" w:eastAsia="方正楷体简体" w:cs="方正楷体简体"/>
          <w:sz w:val="30"/>
          <w:szCs w:val="30"/>
          <w:lang w:val="en-US" w:eastAsia="zh-CN"/>
        </w:rPr>
        <w:t>49</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第三节  提升现代服务业发展水平………………………………</w:t>
      </w:r>
      <w:r>
        <w:rPr>
          <w:rFonts w:hint="eastAsia" w:ascii="方正楷体简体" w:hAnsi="方正楷体简体" w:eastAsia="方正楷体简体" w:cs="方正楷体简体"/>
          <w:sz w:val="30"/>
          <w:szCs w:val="30"/>
          <w:lang w:val="en-US" w:eastAsia="zh-CN"/>
        </w:rPr>
        <w:t>52</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第四节  推动产业园区提质升级…………………………………</w:t>
      </w:r>
      <w:r>
        <w:rPr>
          <w:rFonts w:hint="eastAsia" w:ascii="方正楷体简体" w:hAnsi="方正楷体简体" w:eastAsia="方正楷体简体" w:cs="方正楷体简体"/>
          <w:sz w:val="30"/>
          <w:szCs w:val="30"/>
          <w:lang w:val="en-US" w:eastAsia="zh-CN"/>
        </w:rPr>
        <w:t>56</w:t>
      </w:r>
    </w:p>
    <w:p>
      <w:pPr>
        <w:pStyle w:val="5"/>
        <w:keepNext w:val="0"/>
        <w:pageBreakBefore w:val="0"/>
        <w:widowControl w:val="0"/>
        <w:kinsoku/>
        <w:wordWrap/>
        <w:overflowPunct/>
        <w:topLinePunct w:val="0"/>
        <w:autoSpaceDE/>
        <w:autoSpaceDN/>
        <w:bidi w:val="0"/>
        <w:adjustRightInd/>
        <w:snapToGrid/>
        <w:textAlignment w:val="auto"/>
        <w:rPr>
          <w:rFonts w:hint="default" w:ascii="方正楷体简体" w:hAnsi="方正楷体简体" w:eastAsia="方正楷体简体" w:cs="方正楷体简体"/>
          <w:sz w:val="30"/>
          <w:szCs w:val="30"/>
          <w:lang w:val="en-US"/>
        </w:rPr>
      </w:pPr>
      <w:r>
        <w:rPr>
          <w:rFonts w:hint="eastAsia" w:ascii="黑体" w:hAnsi="黑体" w:eastAsia="黑体" w:cs="黑体"/>
          <w:sz w:val="30"/>
          <w:szCs w:val="30"/>
        </w:rPr>
        <w:t>第八章  扎实推进乡村全面振兴</w:t>
      </w:r>
      <w:r>
        <w:rPr>
          <w:rFonts w:hint="eastAsia" w:ascii="方正楷体简体" w:hAnsi="方正楷体简体" w:eastAsia="方正楷体简体" w:cs="方正楷体简体"/>
          <w:sz w:val="30"/>
          <w:szCs w:val="30"/>
        </w:rPr>
        <w:t>……………………………………</w:t>
      </w:r>
      <w:r>
        <w:rPr>
          <w:rFonts w:hint="eastAsia" w:ascii="方正楷体简体" w:hAnsi="方正楷体简体" w:eastAsia="方正楷体简体" w:cs="方正楷体简体"/>
          <w:sz w:val="30"/>
          <w:szCs w:val="30"/>
          <w:lang w:val="en-US" w:eastAsia="zh-CN"/>
        </w:rPr>
        <w:t>58</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第一节  壮大热带特色高效农业…………………………………</w:t>
      </w:r>
      <w:r>
        <w:rPr>
          <w:rFonts w:hint="eastAsia" w:ascii="方正楷体简体" w:hAnsi="方正楷体简体" w:eastAsia="方正楷体简体" w:cs="方正楷体简体"/>
          <w:sz w:val="30"/>
          <w:szCs w:val="30"/>
          <w:lang w:val="en-US" w:eastAsia="zh-CN"/>
        </w:rPr>
        <w:t>58</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第二节  建设宜居宜业和美乡村…………………………………</w:t>
      </w:r>
      <w:r>
        <w:rPr>
          <w:rFonts w:hint="eastAsia" w:ascii="方正楷体简体" w:hAnsi="方正楷体简体" w:eastAsia="方正楷体简体" w:cs="方正楷体简体"/>
          <w:sz w:val="30"/>
          <w:szCs w:val="30"/>
          <w:lang w:val="en-US" w:eastAsia="zh-CN"/>
        </w:rPr>
        <w:t>60</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eastAsia" w:ascii="方正楷体简体" w:hAnsi="方正楷体简体" w:eastAsia="方正楷体简体" w:cs="方正楷体简体"/>
          <w:sz w:val="30"/>
          <w:szCs w:val="30"/>
        </w:rPr>
      </w:pPr>
      <w:r>
        <w:rPr>
          <w:rFonts w:hint="eastAsia" w:ascii="方正楷体简体" w:hAnsi="方正楷体简体" w:eastAsia="方正楷体简体" w:cs="方正楷体简体"/>
          <w:sz w:val="30"/>
          <w:szCs w:val="30"/>
        </w:rPr>
        <w:t>第三节  建立健全强农惠农富农体制机制………………………</w:t>
      </w:r>
      <w:r>
        <w:rPr>
          <w:rFonts w:hint="eastAsia" w:ascii="方正楷体简体" w:hAnsi="方正楷体简体" w:eastAsia="方正楷体简体" w:cs="方正楷体简体"/>
          <w:sz w:val="30"/>
          <w:szCs w:val="30"/>
          <w:lang w:val="en-US" w:eastAsia="zh-CN"/>
        </w:rPr>
        <w:t>62</w:t>
      </w:r>
    </w:p>
    <w:p>
      <w:pPr>
        <w:pStyle w:val="5"/>
        <w:keepNext w:val="0"/>
        <w:pageBreakBefore w:val="0"/>
        <w:widowControl w:val="0"/>
        <w:kinsoku/>
        <w:wordWrap/>
        <w:overflowPunct/>
        <w:topLinePunct w:val="0"/>
        <w:autoSpaceDE/>
        <w:autoSpaceDN/>
        <w:bidi w:val="0"/>
        <w:adjustRightInd/>
        <w:snapToGrid/>
        <w:textAlignment w:val="auto"/>
        <w:rPr>
          <w:rFonts w:hint="default" w:ascii="方正楷体简体" w:hAnsi="方正楷体简体" w:eastAsia="方正楷体简体" w:cs="方正楷体简体"/>
          <w:sz w:val="30"/>
          <w:szCs w:val="30"/>
          <w:lang w:val="en-US"/>
        </w:rPr>
      </w:pPr>
      <w:r>
        <w:rPr>
          <w:rFonts w:hint="eastAsia" w:ascii="黑体" w:hAnsi="黑体" w:eastAsia="黑体" w:cs="黑体"/>
          <w:sz w:val="30"/>
          <w:szCs w:val="30"/>
        </w:rPr>
        <w:t>第九章  建设现代化基础设施体系</w:t>
      </w:r>
      <w:r>
        <w:rPr>
          <w:rFonts w:hint="eastAsia" w:ascii="方正楷体简体" w:hAnsi="方正楷体简体" w:eastAsia="方正楷体简体" w:cs="方正楷体简体"/>
          <w:sz w:val="30"/>
          <w:szCs w:val="30"/>
        </w:rPr>
        <w:t>…………………………………</w:t>
      </w:r>
      <w:r>
        <w:rPr>
          <w:rFonts w:hint="eastAsia" w:ascii="方正楷体简体" w:hAnsi="方正楷体简体" w:eastAsia="方正楷体简体" w:cs="方正楷体简体"/>
          <w:sz w:val="30"/>
          <w:szCs w:val="30"/>
          <w:lang w:val="en-US" w:eastAsia="zh-CN"/>
        </w:rPr>
        <w:t>64</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第一节  完善现代化综合交通运输体系…………………………</w:t>
      </w:r>
      <w:r>
        <w:rPr>
          <w:rFonts w:hint="eastAsia" w:ascii="方正楷体简体" w:hAnsi="方正楷体简体" w:eastAsia="方正楷体简体" w:cs="方正楷体简体"/>
          <w:sz w:val="30"/>
          <w:szCs w:val="30"/>
          <w:lang w:val="en-US" w:eastAsia="zh-CN"/>
        </w:rPr>
        <w:t>64</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第二节  加快构建新型能源体系…………………………………</w:t>
      </w:r>
      <w:r>
        <w:rPr>
          <w:rFonts w:hint="eastAsia" w:ascii="方正楷体简体" w:hAnsi="方正楷体简体" w:eastAsia="方正楷体简体" w:cs="方正楷体简体"/>
          <w:sz w:val="30"/>
          <w:szCs w:val="30"/>
          <w:lang w:val="en-US" w:eastAsia="zh-CN"/>
        </w:rPr>
        <w:t>66</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第三节  提升城乡水安全保障能力………………………………</w:t>
      </w:r>
      <w:r>
        <w:rPr>
          <w:rFonts w:hint="eastAsia" w:ascii="方正楷体简体" w:hAnsi="方正楷体简体" w:eastAsia="方正楷体简体" w:cs="方正楷体简体"/>
          <w:sz w:val="30"/>
          <w:szCs w:val="30"/>
          <w:lang w:val="en-US" w:eastAsia="zh-CN"/>
        </w:rPr>
        <w:t>67</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第四节  布局建设新型基础设施…………………………………</w:t>
      </w:r>
      <w:r>
        <w:rPr>
          <w:rFonts w:hint="eastAsia" w:ascii="方正楷体简体" w:hAnsi="方正楷体简体" w:eastAsia="方正楷体简体" w:cs="方正楷体简体"/>
          <w:sz w:val="30"/>
          <w:szCs w:val="30"/>
          <w:lang w:val="en-US" w:eastAsia="zh-CN"/>
        </w:rPr>
        <w:t>68</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第五节  提升市政基础设施服务水平……………………………</w:t>
      </w:r>
      <w:r>
        <w:rPr>
          <w:rFonts w:hint="eastAsia" w:ascii="方正楷体简体" w:hAnsi="方正楷体简体" w:eastAsia="方正楷体简体" w:cs="方正楷体简体"/>
          <w:sz w:val="30"/>
          <w:szCs w:val="30"/>
          <w:lang w:val="en-US" w:eastAsia="zh-CN"/>
        </w:rPr>
        <w:t>69</w:t>
      </w:r>
    </w:p>
    <w:p>
      <w:pPr>
        <w:pStyle w:val="5"/>
        <w:keepNext w:val="0"/>
        <w:pageBreakBefore w:val="0"/>
        <w:widowControl w:val="0"/>
        <w:kinsoku/>
        <w:wordWrap/>
        <w:overflowPunct/>
        <w:topLinePunct w:val="0"/>
        <w:autoSpaceDE/>
        <w:autoSpaceDN/>
        <w:bidi w:val="0"/>
        <w:adjustRightInd/>
        <w:snapToGrid/>
        <w:textAlignment w:val="auto"/>
        <w:rPr>
          <w:rFonts w:hint="default" w:ascii="方正楷体简体" w:hAnsi="方正楷体简体" w:eastAsia="方正楷体简体" w:cs="方正楷体简体"/>
          <w:sz w:val="30"/>
          <w:szCs w:val="30"/>
          <w:lang w:val="en-US"/>
        </w:rPr>
      </w:pPr>
      <w:r>
        <w:rPr>
          <w:rFonts w:hint="eastAsia" w:ascii="黑体" w:hAnsi="黑体" w:eastAsia="黑体" w:cs="黑体"/>
          <w:sz w:val="30"/>
          <w:szCs w:val="30"/>
        </w:rPr>
        <w:t>第十章  加快区域协调发展</w:t>
      </w:r>
      <w:r>
        <w:rPr>
          <w:rFonts w:hint="eastAsia" w:ascii="方正楷体简体" w:hAnsi="方正楷体简体" w:eastAsia="方正楷体简体" w:cs="方正楷体简体"/>
          <w:sz w:val="30"/>
          <w:szCs w:val="30"/>
        </w:rPr>
        <w:t>…………………………………………</w:t>
      </w:r>
      <w:r>
        <w:rPr>
          <w:rFonts w:hint="eastAsia" w:ascii="方正楷体简体" w:hAnsi="方正楷体简体" w:eastAsia="方正楷体简体" w:cs="方正楷体简体"/>
          <w:sz w:val="30"/>
          <w:szCs w:val="30"/>
          <w:lang w:val="en-US" w:eastAsia="zh-CN"/>
        </w:rPr>
        <w:t>71</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第一节  优化市域城镇空间布局…………………………………</w:t>
      </w:r>
      <w:r>
        <w:rPr>
          <w:rFonts w:hint="eastAsia" w:ascii="方正楷体简体" w:hAnsi="方正楷体简体" w:eastAsia="方正楷体简体" w:cs="方正楷体简体"/>
          <w:sz w:val="30"/>
          <w:szCs w:val="30"/>
          <w:lang w:val="en-US" w:eastAsia="zh-CN"/>
        </w:rPr>
        <w:t>71</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eastAsia" w:ascii="方正楷体简体" w:hAnsi="方正楷体简体" w:eastAsia="方正楷体简体" w:cs="方正楷体简体"/>
          <w:sz w:val="30"/>
          <w:szCs w:val="30"/>
        </w:rPr>
      </w:pPr>
      <w:r>
        <w:rPr>
          <w:rFonts w:hint="eastAsia" w:ascii="方正楷体简体" w:hAnsi="方正楷体简体" w:eastAsia="方正楷体简体" w:cs="方正楷体简体"/>
          <w:sz w:val="30"/>
          <w:szCs w:val="30"/>
        </w:rPr>
        <w:t>第二节  深入推进以人为本的新型城镇化………………………</w:t>
      </w:r>
      <w:r>
        <w:rPr>
          <w:rFonts w:hint="eastAsia" w:ascii="方正楷体简体" w:hAnsi="方正楷体简体" w:eastAsia="方正楷体简体" w:cs="方正楷体简体"/>
          <w:sz w:val="30"/>
          <w:szCs w:val="30"/>
          <w:lang w:val="en-US" w:eastAsia="zh-CN"/>
        </w:rPr>
        <w:t>72</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第三节  推进三亚经济圈一体化高质量发展……………………</w:t>
      </w:r>
      <w:r>
        <w:rPr>
          <w:rFonts w:hint="eastAsia" w:ascii="方正楷体简体" w:hAnsi="方正楷体简体" w:eastAsia="方正楷体简体" w:cs="方正楷体简体"/>
          <w:sz w:val="30"/>
          <w:szCs w:val="30"/>
          <w:lang w:val="en-US" w:eastAsia="zh-CN"/>
        </w:rPr>
        <w:t>74</w:t>
      </w:r>
    </w:p>
    <w:p>
      <w:pPr>
        <w:pStyle w:val="5"/>
        <w:keepNext w:val="0"/>
        <w:pageBreakBefore w:val="0"/>
        <w:widowControl w:val="0"/>
        <w:kinsoku/>
        <w:wordWrap/>
        <w:overflowPunct/>
        <w:topLinePunct w:val="0"/>
        <w:autoSpaceDE/>
        <w:autoSpaceDN/>
        <w:bidi w:val="0"/>
        <w:adjustRightInd/>
        <w:snapToGrid/>
        <w:textAlignment w:val="auto"/>
        <w:rPr>
          <w:rFonts w:hint="default" w:ascii="方正楷体简体" w:hAnsi="方正楷体简体" w:eastAsia="方正楷体简体" w:cs="方正楷体简体"/>
          <w:sz w:val="30"/>
          <w:szCs w:val="30"/>
          <w:lang w:val="en-US"/>
        </w:rPr>
      </w:pPr>
      <w:r>
        <w:rPr>
          <w:rFonts w:hint="eastAsia" w:ascii="黑体" w:hAnsi="黑体" w:eastAsia="黑体" w:cs="黑体"/>
          <w:sz w:val="30"/>
          <w:szCs w:val="30"/>
        </w:rPr>
        <w:t>第十一章  建设文化强市</w:t>
      </w:r>
      <w:r>
        <w:rPr>
          <w:rFonts w:hint="eastAsia" w:ascii="方正楷体简体" w:hAnsi="方正楷体简体" w:eastAsia="方正楷体简体" w:cs="方正楷体简体"/>
          <w:sz w:val="30"/>
          <w:szCs w:val="30"/>
        </w:rPr>
        <w:t>……………………………………………</w:t>
      </w:r>
      <w:r>
        <w:rPr>
          <w:rFonts w:hint="eastAsia" w:ascii="方正楷体简体" w:hAnsi="方正楷体简体" w:eastAsia="方正楷体简体" w:cs="方正楷体简体"/>
          <w:sz w:val="30"/>
          <w:szCs w:val="30"/>
          <w:lang w:val="en-US" w:eastAsia="zh-CN"/>
        </w:rPr>
        <w:t>76</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第一节  不断增强文化自信………………………………………</w:t>
      </w:r>
      <w:r>
        <w:rPr>
          <w:rFonts w:hint="eastAsia" w:ascii="方正楷体简体" w:hAnsi="方正楷体简体" w:eastAsia="方正楷体简体" w:cs="方正楷体简体"/>
          <w:sz w:val="30"/>
          <w:szCs w:val="30"/>
          <w:lang w:val="en-US" w:eastAsia="zh-CN"/>
        </w:rPr>
        <w:t>76</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第二节  大力繁荣文化事业………………………………………</w:t>
      </w:r>
      <w:r>
        <w:rPr>
          <w:rFonts w:hint="eastAsia" w:ascii="方正楷体简体" w:hAnsi="方正楷体简体" w:eastAsia="方正楷体简体" w:cs="方正楷体简体"/>
          <w:sz w:val="30"/>
          <w:szCs w:val="30"/>
          <w:lang w:val="en-US" w:eastAsia="zh-CN"/>
        </w:rPr>
        <w:t>77</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第三节  加快发展文化产业………………………………………</w:t>
      </w:r>
      <w:r>
        <w:rPr>
          <w:rFonts w:hint="eastAsia" w:ascii="方正楷体简体" w:hAnsi="方正楷体简体" w:eastAsia="方正楷体简体" w:cs="方正楷体简体"/>
          <w:sz w:val="30"/>
          <w:szCs w:val="30"/>
          <w:lang w:val="en-US" w:eastAsia="zh-CN"/>
        </w:rPr>
        <w:t>78</w:t>
      </w:r>
    </w:p>
    <w:p>
      <w:pPr>
        <w:pStyle w:val="5"/>
        <w:keepNext w:val="0"/>
        <w:pageBreakBefore w:val="0"/>
        <w:widowControl w:val="0"/>
        <w:kinsoku/>
        <w:wordWrap/>
        <w:overflowPunct/>
        <w:topLinePunct w:val="0"/>
        <w:autoSpaceDE/>
        <w:autoSpaceDN/>
        <w:bidi w:val="0"/>
        <w:adjustRightInd/>
        <w:snapToGrid/>
        <w:textAlignment w:val="auto"/>
        <w:rPr>
          <w:rFonts w:hint="default" w:ascii="方正楷体简体" w:hAnsi="方正楷体简体" w:eastAsia="方正楷体简体" w:cs="方正楷体简体"/>
          <w:sz w:val="30"/>
          <w:szCs w:val="30"/>
          <w:lang w:val="en-US"/>
        </w:rPr>
      </w:pPr>
      <w:r>
        <w:rPr>
          <w:rFonts w:hint="eastAsia" w:ascii="黑体" w:hAnsi="黑体" w:eastAsia="黑体" w:cs="黑体"/>
          <w:sz w:val="30"/>
          <w:szCs w:val="30"/>
        </w:rPr>
        <w:t>第十二章  全面提高民生保障水平</w:t>
      </w:r>
      <w:r>
        <w:rPr>
          <w:rFonts w:hint="eastAsia" w:ascii="方正楷体简体" w:hAnsi="方正楷体简体" w:eastAsia="方正楷体简体" w:cs="方正楷体简体"/>
          <w:sz w:val="30"/>
          <w:szCs w:val="30"/>
        </w:rPr>
        <w:t>…………………………………</w:t>
      </w:r>
      <w:r>
        <w:rPr>
          <w:rFonts w:hint="eastAsia" w:ascii="方正楷体简体" w:hAnsi="方正楷体简体" w:eastAsia="方正楷体简体" w:cs="方正楷体简体"/>
          <w:sz w:val="30"/>
          <w:szCs w:val="30"/>
          <w:lang w:val="en-US" w:eastAsia="zh-CN"/>
        </w:rPr>
        <w:t>79</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第一节  促进高质量充分就业和可持续增收……………………</w:t>
      </w:r>
      <w:r>
        <w:rPr>
          <w:rFonts w:hint="eastAsia" w:ascii="方正楷体简体" w:hAnsi="方正楷体简体" w:eastAsia="方正楷体简体" w:cs="方正楷体简体"/>
          <w:sz w:val="30"/>
          <w:szCs w:val="30"/>
          <w:lang w:val="en-US" w:eastAsia="zh-CN"/>
        </w:rPr>
        <w:t>79</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第二节  推动教育提质升级………………………………………</w:t>
      </w:r>
      <w:r>
        <w:rPr>
          <w:rFonts w:hint="eastAsia" w:ascii="方正楷体简体" w:hAnsi="方正楷体简体" w:eastAsia="方正楷体简体" w:cs="方正楷体简体"/>
          <w:sz w:val="30"/>
          <w:szCs w:val="30"/>
          <w:lang w:val="en-US" w:eastAsia="zh-CN"/>
        </w:rPr>
        <w:t>81</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第三节  提升卫生健康事业发展水平……………………………</w:t>
      </w:r>
      <w:r>
        <w:rPr>
          <w:rFonts w:hint="eastAsia" w:ascii="方正楷体简体" w:hAnsi="方正楷体简体" w:eastAsia="方正楷体简体" w:cs="方正楷体简体"/>
          <w:sz w:val="30"/>
          <w:szCs w:val="30"/>
          <w:lang w:val="en-US" w:eastAsia="zh-CN"/>
        </w:rPr>
        <w:t>83</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第四节  健全社会保障体系………………………………………</w:t>
      </w:r>
      <w:r>
        <w:rPr>
          <w:rFonts w:hint="eastAsia" w:ascii="方正楷体简体" w:hAnsi="方正楷体简体" w:eastAsia="方正楷体简体" w:cs="方正楷体简体"/>
          <w:sz w:val="30"/>
          <w:szCs w:val="30"/>
          <w:lang w:val="en-US" w:eastAsia="zh-CN"/>
        </w:rPr>
        <w:t>86</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第五节  构筑全龄友好型社会……………………………………</w:t>
      </w:r>
      <w:r>
        <w:rPr>
          <w:rFonts w:hint="eastAsia" w:ascii="方正楷体简体" w:hAnsi="方正楷体简体" w:eastAsia="方正楷体简体" w:cs="方正楷体简体"/>
          <w:sz w:val="30"/>
          <w:szCs w:val="30"/>
          <w:lang w:val="en-US" w:eastAsia="zh-CN"/>
        </w:rPr>
        <w:t>87</w:t>
      </w:r>
    </w:p>
    <w:p>
      <w:pPr>
        <w:pStyle w:val="5"/>
        <w:keepNext w:val="0"/>
        <w:pageBreakBefore w:val="0"/>
        <w:widowControl w:val="0"/>
        <w:kinsoku/>
        <w:wordWrap/>
        <w:overflowPunct/>
        <w:topLinePunct w:val="0"/>
        <w:autoSpaceDE/>
        <w:autoSpaceDN/>
        <w:bidi w:val="0"/>
        <w:adjustRightInd/>
        <w:snapToGrid/>
        <w:textAlignment w:val="auto"/>
        <w:rPr>
          <w:rFonts w:hint="default" w:ascii="方正楷体简体" w:hAnsi="方正楷体简体" w:eastAsia="方正楷体简体" w:cs="方正楷体简体"/>
          <w:sz w:val="30"/>
          <w:szCs w:val="30"/>
          <w:lang w:val="en-US"/>
        </w:rPr>
      </w:pPr>
      <w:r>
        <w:rPr>
          <w:rFonts w:hint="eastAsia" w:ascii="黑体" w:hAnsi="黑体" w:eastAsia="黑体" w:cs="黑体"/>
          <w:sz w:val="30"/>
          <w:szCs w:val="30"/>
        </w:rPr>
        <w:t>第十三章  提升社会治理现代化水平</w:t>
      </w:r>
      <w:r>
        <w:rPr>
          <w:rFonts w:hint="eastAsia" w:ascii="方正楷体简体" w:hAnsi="方正楷体简体" w:eastAsia="方正楷体简体" w:cs="方正楷体简体"/>
          <w:sz w:val="30"/>
          <w:szCs w:val="30"/>
        </w:rPr>
        <w:t>………………………………</w:t>
      </w:r>
      <w:r>
        <w:rPr>
          <w:rFonts w:hint="eastAsia" w:ascii="方正楷体简体" w:hAnsi="方正楷体简体" w:eastAsia="方正楷体简体" w:cs="方正楷体简体"/>
          <w:sz w:val="30"/>
          <w:szCs w:val="30"/>
          <w:lang w:val="en-US" w:eastAsia="zh-CN"/>
        </w:rPr>
        <w:t>90</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第一节  完善社会治理体系………………………………………</w:t>
      </w:r>
      <w:r>
        <w:rPr>
          <w:rFonts w:hint="eastAsia" w:ascii="方正楷体简体" w:hAnsi="方正楷体简体" w:eastAsia="方正楷体简体" w:cs="方正楷体简体"/>
          <w:sz w:val="30"/>
          <w:szCs w:val="30"/>
          <w:lang w:val="en-US" w:eastAsia="zh-CN"/>
        </w:rPr>
        <w:t>90</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第二节  全面推进法治三亚建设…………………………………</w:t>
      </w:r>
      <w:r>
        <w:rPr>
          <w:rFonts w:hint="eastAsia" w:ascii="方正楷体简体" w:hAnsi="方正楷体简体" w:eastAsia="方正楷体简体" w:cs="方正楷体简体"/>
          <w:sz w:val="30"/>
          <w:szCs w:val="30"/>
          <w:lang w:val="en-US" w:eastAsia="zh-CN"/>
        </w:rPr>
        <w:t>92</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第三节  大力推动平安三亚建设…………………………………</w:t>
      </w:r>
      <w:r>
        <w:rPr>
          <w:rFonts w:hint="eastAsia" w:ascii="方正楷体简体" w:hAnsi="方正楷体简体" w:eastAsia="方正楷体简体" w:cs="方正楷体简体"/>
          <w:sz w:val="30"/>
          <w:szCs w:val="30"/>
          <w:lang w:val="en-US" w:eastAsia="zh-CN"/>
        </w:rPr>
        <w:t>94</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第四节  进一步加强风险防控……………………………………</w:t>
      </w:r>
      <w:r>
        <w:rPr>
          <w:rFonts w:hint="eastAsia" w:ascii="方正楷体简体" w:hAnsi="方正楷体简体" w:eastAsia="方正楷体简体" w:cs="方正楷体简体"/>
          <w:sz w:val="30"/>
          <w:szCs w:val="30"/>
          <w:lang w:val="en-US" w:eastAsia="zh-CN"/>
        </w:rPr>
        <w:t>96</w:t>
      </w:r>
    </w:p>
    <w:p>
      <w:pPr>
        <w:pStyle w:val="5"/>
        <w:keepNext w:val="0"/>
        <w:pageBreakBefore w:val="0"/>
        <w:widowControl w:val="0"/>
        <w:kinsoku/>
        <w:wordWrap/>
        <w:overflowPunct/>
        <w:topLinePunct w:val="0"/>
        <w:autoSpaceDE/>
        <w:autoSpaceDN/>
        <w:bidi w:val="0"/>
        <w:adjustRightInd/>
        <w:snapToGrid/>
        <w:textAlignment w:val="auto"/>
        <w:rPr>
          <w:rFonts w:hint="default" w:ascii="方正楷体简体" w:hAnsi="方正楷体简体" w:eastAsia="方正楷体简体" w:cs="方正楷体简体"/>
          <w:sz w:val="30"/>
          <w:szCs w:val="30"/>
          <w:lang w:val="en-US"/>
        </w:rPr>
      </w:pPr>
      <w:r>
        <w:rPr>
          <w:rFonts w:hint="eastAsia" w:ascii="黑体" w:hAnsi="黑体" w:eastAsia="黑体" w:cs="黑体"/>
          <w:sz w:val="30"/>
          <w:szCs w:val="30"/>
        </w:rPr>
        <w:t>第十四章  加强组织领导有力有效推进规划实施</w:t>
      </w:r>
      <w:r>
        <w:rPr>
          <w:rFonts w:hint="eastAsia" w:ascii="方正楷体简体" w:hAnsi="方正楷体简体" w:eastAsia="方正楷体简体" w:cs="方正楷体简体"/>
          <w:sz w:val="30"/>
          <w:szCs w:val="30"/>
        </w:rPr>
        <w:t>…………………</w:t>
      </w:r>
      <w:r>
        <w:rPr>
          <w:rFonts w:hint="eastAsia" w:ascii="方正楷体简体" w:hAnsi="方正楷体简体" w:eastAsia="方正楷体简体" w:cs="方正楷体简体"/>
          <w:sz w:val="30"/>
          <w:szCs w:val="30"/>
          <w:lang w:val="en-US" w:eastAsia="zh-CN"/>
        </w:rPr>
        <w:t>98</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第一节  坚持党的全面领导………………………………………</w:t>
      </w:r>
      <w:r>
        <w:rPr>
          <w:rFonts w:hint="eastAsia" w:ascii="方正楷体简体" w:hAnsi="方正楷体简体" w:eastAsia="方正楷体简体" w:cs="方正楷体简体"/>
          <w:sz w:val="30"/>
          <w:szCs w:val="30"/>
          <w:lang w:val="en-US" w:eastAsia="zh-CN"/>
        </w:rPr>
        <w:t>98</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第二节  健全规划实施机制……………………………………</w:t>
      </w:r>
      <w:r>
        <w:rPr>
          <w:rFonts w:hint="eastAsia" w:ascii="方正楷体简体" w:hAnsi="方正楷体简体" w:eastAsia="方正楷体简体" w:cs="方正楷体简体"/>
          <w:sz w:val="30"/>
          <w:szCs w:val="30"/>
          <w:lang w:val="en-US" w:eastAsia="zh-CN"/>
        </w:rPr>
        <w:t>99</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第三节  强化重点要素保障……………………………………</w:t>
      </w:r>
      <w:r>
        <w:rPr>
          <w:rFonts w:hint="eastAsia" w:ascii="方正楷体简体" w:hAnsi="方正楷体简体" w:eastAsia="方正楷体简体" w:cs="方正楷体简体"/>
          <w:sz w:val="30"/>
          <w:szCs w:val="30"/>
          <w:lang w:val="en-US" w:eastAsia="zh-CN"/>
        </w:rPr>
        <w:t>99</w:t>
      </w:r>
    </w:p>
    <w:p>
      <w:pPr>
        <w:pStyle w:val="5"/>
        <w:keepNext w:val="0"/>
        <w:pageBreakBefore w:val="0"/>
        <w:widowControl w:val="0"/>
        <w:kinsoku/>
        <w:wordWrap/>
        <w:overflowPunct/>
        <w:topLinePunct w:val="0"/>
        <w:autoSpaceDE/>
        <w:autoSpaceDN/>
        <w:bidi w:val="0"/>
        <w:adjustRightInd/>
        <w:snapToGrid/>
        <w:ind w:firstLine="300" w:firstLineChars="100"/>
        <w:textAlignment w:val="auto"/>
        <w:rPr>
          <w:rFonts w:hint="default" w:ascii="方正楷体简体" w:hAnsi="方正楷体简体" w:eastAsia="方正楷体简体" w:cs="方正楷体简体"/>
          <w:sz w:val="30"/>
          <w:szCs w:val="30"/>
          <w:lang w:val="en-US"/>
        </w:rPr>
      </w:pPr>
      <w:r>
        <w:rPr>
          <w:rFonts w:hint="eastAsia" w:ascii="方正楷体简体" w:hAnsi="方正楷体简体" w:eastAsia="方正楷体简体" w:cs="方正楷体简体"/>
          <w:sz w:val="30"/>
          <w:szCs w:val="30"/>
        </w:rPr>
        <w:t>第四节  广泛凝聚社会力量……………………………………</w:t>
      </w:r>
      <w:r>
        <w:rPr>
          <w:rFonts w:hint="eastAsia" w:ascii="方正楷体简体" w:hAnsi="方正楷体简体" w:eastAsia="方正楷体简体" w:cs="方正楷体简体"/>
          <w:sz w:val="30"/>
          <w:szCs w:val="30"/>
          <w:lang w:val="en-US" w:eastAsia="zh-CN"/>
        </w:rPr>
        <w:t>100</w:t>
      </w:r>
    </w:p>
    <w:p>
      <w:pPr>
        <w:pStyle w:val="5"/>
        <w:keepNext w:val="0"/>
        <w:pageBreakBefore w:val="0"/>
        <w:widowControl w:val="0"/>
        <w:kinsoku/>
        <w:wordWrap/>
        <w:overflowPunct/>
        <w:topLinePunct w:val="0"/>
        <w:autoSpaceDE/>
        <w:autoSpaceDN/>
        <w:bidi w:val="0"/>
        <w:adjustRightInd/>
        <w:snapToGrid/>
        <w:textAlignment w:val="auto"/>
        <w:rPr>
          <w:rFonts w:hint="default" w:ascii="方正楷体简体" w:hAnsi="方正楷体简体" w:eastAsia="方正楷体简体" w:cs="方正楷体简体"/>
          <w:sz w:val="30"/>
          <w:szCs w:val="30"/>
          <w:lang w:val="en-US"/>
        </w:rPr>
      </w:pPr>
      <w:r>
        <w:rPr>
          <w:rFonts w:hint="eastAsia" w:ascii="黑体" w:hAnsi="黑体" w:eastAsia="黑体" w:cs="黑体"/>
          <w:sz w:val="30"/>
          <w:szCs w:val="30"/>
        </w:rPr>
        <w:t>名词解释</w:t>
      </w:r>
      <w:r>
        <w:rPr>
          <w:rFonts w:hint="eastAsia" w:ascii="方正楷体简体" w:hAnsi="方正楷体简体" w:eastAsia="方正楷体简体" w:cs="方正楷体简体"/>
          <w:sz w:val="30"/>
          <w:szCs w:val="30"/>
        </w:rPr>
        <w:t>……………………………………………………………</w:t>
      </w:r>
      <w:r>
        <w:rPr>
          <w:rFonts w:hint="eastAsia" w:ascii="方正楷体简体" w:hAnsi="方正楷体简体" w:eastAsia="方正楷体简体" w:cs="方正楷体简体"/>
          <w:sz w:val="30"/>
          <w:szCs w:val="30"/>
          <w:lang w:val="en-US" w:eastAsia="zh-CN"/>
        </w:rPr>
        <w:t>101</w:t>
      </w:r>
    </w:p>
    <w:p>
      <w:pPr>
        <w:keepNext w:val="0"/>
        <w:pageBreakBefore w:val="0"/>
        <w:widowControl w:val="0"/>
        <w:kinsoku/>
        <w:wordWrap/>
        <w:overflowPunct/>
        <w:topLinePunct w:val="0"/>
        <w:autoSpaceDE/>
        <w:autoSpaceDN/>
        <w:bidi w:val="0"/>
        <w:adjustRightInd/>
        <w:snapToGrid/>
        <w:ind w:firstLine="210" w:firstLineChars="100"/>
        <w:textAlignment w:val="auto"/>
        <w:rPr>
          <w:color w:val="auto"/>
          <w:szCs w:val="28"/>
          <w:highlight w:val="none"/>
        </w:rPr>
      </w:pPr>
    </w:p>
    <w:p>
      <w:pPr>
        <w:pStyle w:val="5"/>
        <w:keepNext w:val="0"/>
        <w:pageBreakBefore w:val="0"/>
        <w:widowControl w:val="0"/>
        <w:kinsoku/>
        <w:wordWrap/>
        <w:overflowPunct/>
        <w:topLinePunct w:val="0"/>
        <w:autoSpaceDE/>
        <w:autoSpaceDN/>
        <w:bidi w:val="0"/>
        <w:adjustRightInd/>
        <w:snapToGrid/>
        <w:ind w:firstLine="210" w:firstLineChars="100"/>
        <w:textAlignment w:val="auto"/>
        <w:rPr>
          <w:color w:val="auto"/>
          <w:highlight w:val="none"/>
        </w:rPr>
        <w:sectPr>
          <w:footerReference r:id="rId6" w:type="default"/>
          <w:pgSz w:w="11906" w:h="16838"/>
          <w:pgMar w:top="1701" w:right="1531" w:bottom="1701" w:left="1531" w:header="851" w:footer="992" w:gutter="0"/>
          <w:pgNumType w:fmt="decimal" w:start="1"/>
          <w:cols w:space="0" w:num="1"/>
          <w:rtlGutter w:val="0"/>
          <w:docGrid w:type="lines" w:linePitch="312" w:charSpace="0"/>
        </w:sectPr>
      </w:pPr>
    </w:p>
    <w:p/>
    <w:p>
      <w:pPr>
        <w:pStyle w:val="8"/>
        <w:pageBreakBefore w:val="0"/>
        <w:shd w:val="clear"/>
        <w:kinsoku/>
        <w:wordWrap/>
        <w:overflowPunct/>
        <w:topLinePunct w:val="0"/>
        <w:bidi w:val="0"/>
        <w:textAlignment w:val="auto"/>
        <w:rPr>
          <w:rFonts w:ascii="Times New Roman" w:hAnsi="Times New Roman"/>
          <w:color w:val="auto"/>
          <w:highlight w:val="none"/>
        </w:rPr>
      </w:pPr>
    </w:p>
    <w:p>
      <w:pPr>
        <w:pageBreakBefore w:val="0"/>
        <w:shd w:val="clear"/>
        <w:kinsoku/>
        <w:wordWrap/>
        <w:overflowPunct/>
        <w:topLinePunct w:val="0"/>
        <w:bidi w:val="0"/>
        <w:textAlignment w:val="auto"/>
        <w:rPr>
          <w:rFonts w:ascii="Times New Roman" w:hAnsi="Times New Roman"/>
          <w:color w:val="auto"/>
          <w:highlight w:val="none"/>
        </w:rPr>
      </w:pPr>
    </w:p>
    <w:p>
      <w:pPr>
        <w:pStyle w:val="3"/>
        <w:pageBreakBefore w:val="0"/>
        <w:shd w:val="clear"/>
        <w:kinsoku/>
        <w:wordWrap/>
        <w:overflowPunct/>
        <w:topLinePunct w:val="0"/>
        <w:bidi w:val="0"/>
        <w:textAlignment w:val="auto"/>
        <w:rPr>
          <w:rFonts w:hint="eastAsia" w:ascii="方正楷体简体" w:hAnsi="方正楷体简体" w:eastAsia="方正楷体简体" w:cs="方正楷体简体"/>
          <w:color w:val="auto"/>
          <w:sz w:val="40"/>
          <w:szCs w:val="40"/>
          <w:highlight w:val="none"/>
        </w:rPr>
      </w:pPr>
      <w:bookmarkStart w:id="0" w:name="_Toc2130140323"/>
      <w:bookmarkStart w:id="1" w:name="_Toc1574564197"/>
      <w:bookmarkStart w:id="2" w:name="_Toc1718382484"/>
      <w:bookmarkStart w:id="3" w:name="_Toc114286131"/>
      <w:bookmarkStart w:id="4" w:name="_Toc714286087"/>
      <w:bookmarkStart w:id="5" w:name="_Toc213447227"/>
      <w:bookmarkStart w:id="6" w:name="_Toc37866437"/>
      <w:bookmarkStart w:id="7" w:name="_Toc789576125"/>
      <w:bookmarkStart w:id="8" w:name="_Toc1046814495"/>
      <w:bookmarkStart w:id="9" w:name="_Toc545853224"/>
      <w:bookmarkStart w:id="10" w:name="_Toc30534"/>
      <w:bookmarkStart w:id="11" w:name="_Toc1539130868"/>
      <w:bookmarkStart w:id="12" w:name="_Toc1317102702"/>
      <w:bookmarkStart w:id="13" w:name="_Toc716509583"/>
      <w:bookmarkStart w:id="14" w:name="_Toc1920131686"/>
      <w:bookmarkStart w:id="15" w:name="_Toc23774"/>
      <w:r>
        <w:rPr>
          <w:rFonts w:hint="eastAsia" w:ascii="方正楷体简体" w:hAnsi="方正楷体简体" w:eastAsia="方正楷体简体" w:cs="方正楷体简体"/>
          <w:color w:val="auto"/>
          <w:sz w:val="40"/>
          <w:szCs w:val="40"/>
          <w:highlight w:val="none"/>
        </w:rPr>
        <w:t>前</w:t>
      </w:r>
      <w:r>
        <w:rPr>
          <w:rFonts w:hint="eastAsia" w:ascii="方正楷体简体" w:hAnsi="方正楷体简体" w:eastAsia="方正楷体简体" w:cs="方正楷体简体"/>
          <w:color w:val="auto"/>
          <w:sz w:val="40"/>
          <w:szCs w:val="40"/>
          <w:highlight w:val="none"/>
          <w:lang w:val="en-US" w:eastAsia="zh-CN"/>
        </w:rPr>
        <w:t xml:space="preserve">  </w:t>
      </w:r>
      <w:r>
        <w:rPr>
          <w:rFonts w:hint="eastAsia" w:ascii="方正楷体简体" w:hAnsi="方正楷体简体" w:eastAsia="方正楷体简体" w:cs="方正楷体简体"/>
          <w:color w:val="auto"/>
          <w:sz w:val="40"/>
          <w:szCs w:val="40"/>
          <w:highlight w:val="none"/>
        </w:rPr>
        <w:t>言</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p>
      <w:pPr>
        <w:pStyle w:val="5"/>
      </w:pPr>
    </w:p>
    <w:p>
      <w:pPr>
        <w:pStyle w:val="31"/>
        <w:keepNext w:val="0"/>
        <w:keepLines w:val="0"/>
        <w:pageBreakBefore w:val="0"/>
        <w:widowControl w:val="0"/>
        <w:shd w:val="clear"/>
        <w:kinsoku/>
        <w:wordWrap/>
        <w:overflowPunct/>
        <w:topLinePunct w:val="0"/>
        <w:autoSpaceDE/>
        <w:autoSpaceDN/>
        <w:bidi w:val="0"/>
        <w:adjustRightInd w:val="0"/>
        <w:snapToGrid w:val="0"/>
        <w:spacing w:line="600" w:lineRule="exact"/>
        <w:jc w:val="both"/>
        <w:textAlignment w:val="auto"/>
        <w:rPr>
          <w:rFonts w:hint="eastAsia" w:ascii="方正楷体简体" w:hAnsi="方正楷体简体" w:eastAsia="方正楷体简体" w:cs="方正楷体简体"/>
          <w:color w:val="auto"/>
          <w:sz w:val="32"/>
          <w:szCs w:val="32"/>
          <w:highlight w:val="none"/>
        </w:rPr>
      </w:pPr>
      <w:r>
        <w:rPr>
          <w:rFonts w:hint="eastAsia" w:ascii="方正楷体简体" w:hAnsi="方正楷体简体" w:eastAsia="方正楷体简体" w:cs="方正楷体简体"/>
          <w:color w:val="auto"/>
          <w:sz w:val="32"/>
          <w:szCs w:val="32"/>
          <w:highlight w:val="none"/>
        </w:rPr>
        <w:t>“十五五”时期（2026</w:t>
      </w:r>
      <w:r>
        <w:rPr>
          <w:rFonts w:hint="eastAsia" w:ascii="方正楷体简体" w:hAnsi="方正楷体简体" w:eastAsia="方正楷体简体" w:cs="方正楷体简体"/>
          <w:color w:val="auto"/>
          <w:sz w:val="32"/>
          <w:szCs w:val="32"/>
          <w:highlight w:val="none"/>
          <w:lang w:eastAsia="zh-CN"/>
        </w:rPr>
        <w:t>-</w:t>
      </w:r>
      <w:r>
        <w:rPr>
          <w:rFonts w:hint="eastAsia" w:ascii="方正楷体简体" w:hAnsi="方正楷体简体" w:eastAsia="方正楷体简体" w:cs="方正楷体简体"/>
          <w:color w:val="auto"/>
          <w:sz w:val="32"/>
          <w:szCs w:val="32"/>
          <w:highlight w:val="none"/>
        </w:rPr>
        <w:t>2030年）是</w:t>
      </w:r>
      <w:r>
        <w:rPr>
          <w:rFonts w:hint="eastAsia" w:ascii="方正楷体简体" w:hAnsi="方正楷体简体" w:eastAsia="方正楷体简体" w:cs="方正楷体简体"/>
          <w:color w:val="auto"/>
          <w:sz w:val="32"/>
          <w:szCs w:val="32"/>
          <w:highlight w:val="none"/>
          <w:lang w:eastAsia="zh-CN"/>
        </w:rPr>
        <w:t>我国</w:t>
      </w:r>
      <w:r>
        <w:rPr>
          <w:rFonts w:hint="eastAsia" w:ascii="方正楷体简体" w:hAnsi="方正楷体简体" w:eastAsia="方正楷体简体" w:cs="方正楷体简体"/>
          <w:color w:val="auto"/>
          <w:sz w:val="32"/>
          <w:szCs w:val="32"/>
          <w:highlight w:val="none"/>
        </w:rPr>
        <w:t>基本实现社会主义现代化夯实基础、全面发力的关键时期</w:t>
      </w:r>
      <w:r>
        <w:rPr>
          <w:rFonts w:hint="eastAsia" w:ascii="方正楷体简体" w:hAnsi="方正楷体简体" w:eastAsia="方正楷体简体" w:cs="方正楷体简体"/>
          <w:color w:val="auto"/>
          <w:sz w:val="32"/>
          <w:szCs w:val="32"/>
          <w:highlight w:val="none"/>
          <w:lang w:eastAsia="zh-CN"/>
        </w:rPr>
        <w:t>，是海南自由贸易港在封关运作新起点上全面深化改革开放、实现高质量发展、打造成为引领我国新时代对外开放的重要门户的关键时期，是奋力谱写中国式现代化海南篇章三亚章节，基本建成世界知名宜居宜游宜业现代化滨海城市夯基垒台、跨越发展的关键时期，编制和实施好五年规划意义重大</w:t>
      </w:r>
      <w:r>
        <w:rPr>
          <w:rFonts w:hint="eastAsia" w:ascii="方正楷体简体" w:hAnsi="方正楷体简体" w:eastAsia="方正楷体简体" w:cs="方正楷体简体"/>
          <w:color w:val="auto"/>
          <w:sz w:val="32"/>
          <w:szCs w:val="32"/>
          <w:highlight w:val="none"/>
        </w:rPr>
        <w:t>。《三亚市国民经济和社会发展第十五个五年规划纲要》根据《中共三亚市委关于制定国民经济和社会发展第十五个五年规划的建议》编制，</w:t>
      </w:r>
      <w:r>
        <w:rPr>
          <w:rFonts w:hint="eastAsia" w:ascii="方正楷体简体" w:hAnsi="方正楷体简体" w:eastAsia="方正楷体简体" w:cs="方正楷体简体"/>
          <w:color w:val="auto"/>
          <w:sz w:val="32"/>
          <w:szCs w:val="32"/>
          <w:highlight w:val="none"/>
          <w:lang w:eastAsia="zh-CN"/>
        </w:rPr>
        <w:t>系统</w:t>
      </w:r>
      <w:r>
        <w:rPr>
          <w:rFonts w:hint="eastAsia" w:ascii="方正楷体简体" w:hAnsi="方正楷体简体" w:eastAsia="方正楷体简体" w:cs="方正楷体简体"/>
          <w:color w:val="auto"/>
          <w:sz w:val="32"/>
          <w:szCs w:val="32"/>
          <w:highlight w:val="none"/>
        </w:rPr>
        <w:t>阐明市委、市政府的战略意图，是指导未来五年乃至更长时期全市经济社会发展的宏伟蓝图和行动纲领，是政府履行职责的重要依据。</w:t>
      </w:r>
    </w:p>
    <w:p>
      <w:pPr>
        <w:keepNext w:val="0"/>
        <w:keepLines w:val="0"/>
        <w:pageBreakBefore w:val="0"/>
        <w:shd w:val="clear"/>
        <w:kinsoku/>
        <w:wordWrap/>
        <w:overflowPunct/>
        <w:topLinePunct w:val="0"/>
        <w:autoSpaceDE/>
        <w:autoSpaceDN/>
        <w:bidi w:val="0"/>
        <w:spacing w:line="588" w:lineRule="exact"/>
        <w:jc w:val="center"/>
        <w:textAlignment w:val="auto"/>
        <w:rPr>
          <w:color w:val="auto"/>
          <w:highlight w:val="none"/>
        </w:rPr>
      </w:pPr>
    </w:p>
    <w:p>
      <w:pPr>
        <w:keepNext w:val="0"/>
        <w:keepLines w:val="0"/>
        <w:pageBreakBefore w:val="0"/>
        <w:shd w:val="clear"/>
        <w:kinsoku/>
        <w:wordWrap/>
        <w:overflowPunct/>
        <w:topLinePunct w:val="0"/>
        <w:autoSpaceDE/>
        <w:autoSpaceDN/>
        <w:bidi w:val="0"/>
        <w:spacing w:line="588" w:lineRule="exact"/>
        <w:jc w:val="center"/>
        <w:textAlignment w:val="auto"/>
        <w:rPr>
          <w:color w:val="auto"/>
          <w:highlight w:val="none"/>
        </w:rPr>
      </w:pPr>
    </w:p>
    <w:p>
      <w:pPr>
        <w:keepNext w:val="0"/>
        <w:keepLines w:val="0"/>
        <w:pageBreakBefore w:val="0"/>
        <w:shd w:val="clear"/>
        <w:kinsoku/>
        <w:wordWrap/>
        <w:overflowPunct/>
        <w:topLinePunct w:val="0"/>
        <w:autoSpaceDE/>
        <w:autoSpaceDN/>
        <w:bidi w:val="0"/>
        <w:spacing w:line="588" w:lineRule="exact"/>
        <w:jc w:val="center"/>
        <w:textAlignment w:val="auto"/>
        <w:rPr>
          <w:color w:val="auto"/>
          <w:highlight w:val="none"/>
        </w:rPr>
      </w:pPr>
    </w:p>
    <w:p>
      <w:pPr>
        <w:keepNext w:val="0"/>
        <w:keepLines w:val="0"/>
        <w:pageBreakBefore w:val="0"/>
        <w:shd w:val="clear"/>
        <w:kinsoku/>
        <w:wordWrap/>
        <w:overflowPunct/>
        <w:topLinePunct w:val="0"/>
        <w:autoSpaceDE/>
        <w:autoSpaceDN/>
        <w:bidi w:val="0"/>
        <w:spacing w:line="588" w:lineRule="exact"/>
        <w:jc w:val="center"/>
        <w:textAlignment w:val="auto"/>
        <w:rPr>
          <w:color w:val="auto"/>
          <w:highlight w:val="none"/>
        </w:rPr>
      </w:pPr>
    </w:p>
    <w:p>
      <w:pPr>
        <w:keepNext w:val="0"/>
        <w:keepLines w:val="0"/>
        <w:pageBreakBefore w:val="0"/>
        <w:shd w:val="clear"/>
        <w:kinsoku/>
        <w:wordWrap/>
        <w:overflowPunct/>
        <w:topLinePunct w:val="0"/>
        <w:autoSpaceDE/>
        <w:autoSpaceDN/>
        <w:bidi w:val="0"/>
        <w:spacing w:line="588" w:lineRule="exact"/>
        <w:jc w:val="center"/>
        <w:textAlignment w:val="auto"/>
        <w:rPr>
          <w:color w:val="auto"/>
          <w:highlight w:val="none"/>
        </w:rPr>
      </w:pPr>
    </w:p>
    <w:p>
      <w:pPr>
        <w:keepNext w:val="0"/>
        <w:keepLines w:val="0"/>
        <w:pageBreakBefore w:val="0"/>
        <w:shd w:val="clear"/>
        <w:kinsoku/>
        <w:wordWrap/>
        <w:overflowPunct/>
        <w:topLinePunct w:val="0"/>
        <w:autoSpaceDE/>
        <w:autoSpaceDN/>
        <w:bidi w:val="0"/>
        <w:spacing w:line="588" w:lineRule="exact"/>
        <w:jc w:val="center"/>
        <w:textAlignment w:val="auto"/>
        <w:rPr>
          <w:color w:val="auto"/>
          <w:highlight w:val="none"/>
        </w:rPr>
      </w:pPr>
    </w:p>
    <w:p>
      <w:pPr>
        <w:keepNext w:val="0"/>
        <w:keepLines w:val="0"/>
        <w:pageBreakBefore w:val="0"/>
        <w:shd w:val="clear"/>
        <w:kinsoku/>
        <w:wordWrap/>
        <w:overflowPunct/>
        <w:topLinePunct w:val="0"/>
        <w:autoSpaceDE/>
        <w:autoSpaceDN/>
        <w:bidi w:val="0"/>
        <w:spacing w:line="588" w:lineRule="exact"/>
        <w:jc w:val="center"/>
        <w:textAlignment w:val="auto"/>
        <w:rPr>
          <w:color w:val="auto"/>
          <w:highlight w:val="none"/>
        </w:rPr>
      </w:pPr>
    </w:p>
    <w:p>
      <w:pPr>
        <w:keepNext w:val="0"/>
        <w:keepLines w:val="0"/>
        <w:pageBreakBefore w:val="0"/>
        <w:shd w:val="clear"/>
        <w:kinsoku/>
        <w:wordWrap/>
        <w:overflowPunct/>
        <w:topLinePunct w:val="0"/>
        <w:autoSpaceDE/>
        <w:autoSpaceDN/>
        <w:bidi w:val="0"/>
        <w:spacing w:line="588" w:lineRule="exact"/>
        <w:jc w:val="center"/>
        <w:textAlignment w:val="auto"/>
        <w:rPr>
          <w:color w:val="auto"/>
          <w:highlight w:val="none"/>
        </w:rPr>
        <w:sectPr>
          <w:footerReference r:id="rId7" w:type="default"/>
          <w:pgSz w:w="11906" w:h="16838"/>
          <w:pgMar w:top="1701" w:right="1531" w:bottom="1701" w:left="1531" w:header="851" w:footer="992" w:gutter="0"/>
          <w:pgNumType w:fmt="decimal" w:start="1"/>
          <w:cols w:space="0" w:num="1"/>
          <w:rtlGutter w:val="0"/>
          <w:docGrid w:type="lines" w:linePitch="312" w:charSpace="0"/>
        </w:sectPr>
      </w:pPr>
    </w:p>
    <w:p>
      <w:pPr>
        <w:pStyle w:val="5"/>
      </w:pPr>
      <w:bookmarkStart w:id="16" w:name="_Toc635299267"/>
      <w:bookmarkStart w:id="17" w:name="_Toc198019260"/>
      <w:bookmarkStart w:id="18" w:name="_Toc1552836901"/>
      <w:bookmarkStart w:id="19" w:name="_Toc16929372"/>
      <w:bookmarkStart w:id="20" w:name="_Toc213447228"/>
      <w:bookmarkStart w:id="21" w:name="_Toc168226756"/>
      <w:bookmarkStart w:id="22" w:name="_Toc216828672"/>
      <w:bookmarkStart w:id="23" w:name="_Toc1749398290"/>
      <w:bookmarkStart w:id="24" w:name="_Toc211979404"/>
      <w:bookmarkStart w:id="25" w:name="_Toc253393983"/>
      <w:bookmarkStart w:id="26" w:name="_Toc664393195"/>
      <w:bookmarkStart w:id="27" w:name="_Toc699"/>
      <w:bookmarkStart w:id="28" w:name="_Toc1791475025"/>
      <w:bookmarkStart w:id="29" w:name="_Toc2110984057"/>
      <w:bookmarkStart w:id="30" w:name="_Toc1533080272"/>
      <w:bookmarkStart w:id="31" w:name="_Toc1988901885"/>
      <w:bookmarkStart w:id="32" w:name="_Toc1912285815"/>
      <w:bookmarkStart w:id="33" w:name="_Toc30260"/>
    </w:p>
    <w:p>
      <w:pPr>
        <w:keepNext w:val="0"/>
        <w:keepLines w:val="0"/>
        <w:pageBreakBefore w:val="0"/>
        <w:widowControl w:val="0"/>
        <w:shd w:val="clear"/>
        <w:kinsoku/>
        <w:wordWrap/>
        <w:overflowPunct/>
        <w:topLinePunct w:val="0"/>
        <w:autoSpaceDE/>
        <w:autoSpaceDN/>
        <w:bidi w:val="0"/>
        <w:spacing w:line="600" w:lineRule="exact"/>
        <w:jc w:val="center"/>
        <w:textAlignment w:val="auto"/>
        <w:rPr>
          <w:rStyle w:val="30"/>
          <w:rFonts w:hint="eastAsia" w:ascii="方正小标宋简体" w:hAnsi="方正小标宋简体" w:eastAsia="方正小标宋简体" w:cs="方正小标宋简体"/>
          <w:color w:val="auto"/>
          <w:sz w:val="40"/>
          <w:szCs w:val="40"/>
          <w:highlight w:val="none"/>
          <w:lang w:val="en-US" w:eastAsia="zh-CN"/>
        </w:rPr>
      </w:pPr>
      <w:r>
        <w:rPr>
          <w:rStyle w:val="30"/>
          <w:rFonts w:hint="eastAsia" w:ascii="方正小标宋简体" w:hAnsi="方正小标宋简体" w:eastAsia="方正小标宋简体" w:cs="方正小标宋简体"/>
          <w:color w:val="auto"/>
          <w:sz w:val="40"/>
          <w:szCs w:val="40"/>
          <w:highlight w:val="none"/>
          <w:lang w:val="en-US" w:eastAsia="zh-CN"/>
        </w:rPr>
        <w:t>第一章  “十四五”回顾和“十五五”展望</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pPr>
        <w:pStyle w:val="5"/>
        <w:keepNext w:val="0"/>
        <w:pageBreakBefore w:val="0"/>
        <w:widowControl w:val="0"/>
        <w:kinsoku/>
        <w:wordWrap/>
        <w:overflowPunct/>
        <w:topLinePunct w:val="0"/>
        <w:autoSpaceDE/>
        <w:autoSpaceDN/>
        <w:bidi w:val="0"/>
        <w:adjustRightInd/>
        <w:snapToGrid/>
        <w:spacing w:line="400" w:lineRule="exact"/>
        <w:textAlignment w:val="auto"/>
      </w:pPr>
    </w:p>
    <w:p>
      <w:pPr>
        <w:keepNext w:val="0"/>
        <w:pageBreakBefore w:val="0"/>
        <w:widowControl w:val="0"/>
        <w:kinsoku/>
        <w:wordWrap/>
        <w:overflowPunct/>
        <w:topLinePunct w:val="0"/>
        <w:autoSpaceDE/>
        <w:autoSpaceDN/>
        <w:bidi w:val="0"/>
        <w:adjustRightInd/>
        <w:snapToGrid/>
        <w:spacing w:line="400" w:lineRule="exact"/>
        <w:textAlignment w:val="auto"/>
      </w:pPr>
    </w:p>
    <w:p>
      <w:pPr>
        <w:pStyle w:val="4"/>
        <w:keepNext w:val="0"/>
        <w:keepLines w:val="0"/>
        <w:pageBreakBefore w:val="0"/>
        <w:widowControl w:val="0"/>
        <w:shd w:val="clear"/>
        <w:kinsoku/>
        <w:wordWrap/>
        <w:overflowPunct/>
        <w:topLinePunct w:val="0"/>
        <w:autoSpaceDE/>
        <w:autoSpaceDN/>
        <w:bidi w:val="0"/>
        <w:spacing w:line="600" w:lineRule="exact"/>
        <w:ind w:left="0" w:leftChars="0" w:firstLine="0" w:firstLineChars="0"/>
        <w:jc w:val="center"/>
        <w:textAlignment w:val="auto"/>
        <w:rPr>
          <w:rFonts w:hint="eastAsia"/>
          <w:color w:val="auto"/>
          <w:sz w:val="32"/>
          <w:szCs w:val="32"/>
          <w:highlight w:val="none"/>
          <w:lang w:eastAsia="zh-CN"/>
        </w:rPr>
      </w:pPr>
      <w:bookmarkStart w:id="34" w:name="_Toc66883879"/>
      <w:bookmarkStart w:id="35" w:name="_Toc15232"/>
      <w:bookmarkStart w:id="36" w:name="_Toc31192"/>
      <w:bookmarkStart w:id="37" w:name="_Toc976115491"/>
      <w:bookmarkStart w:id="38" w:name="_Toc1645551980"/>
      <w:bookmarkStart w:id="39" w:name="_Toc213447229"/>
      <w:bookmarkStart w:id="40" w:name="_Toc1100079211"/>
      <w:bookmarkStart w:id="41" w:name="_Toc1678957943"/>
      <w:bookmarkStart w:id="42" w:name="_Toc32035"/>
      <w:bookmarkStart w:id="43" w:name="_Toc767561829"/>
      <w:bookmarkStart w:id="44" w:name="_Toc1625991343"/>
      <w:bookmarkStart w:id="45" w:name="_Toc1108774634"/>
      <w:bookmarkStart w:id="46" w:name="_Toc1424778989"/>
      <w:bookmarkStart w:id="47" w:name="_Toc1152712808"/>
      <w:bookmarkStart w:id="48" w:name="_Toc1491"/>
      <w:bookmarkStart w:id="49" w:name="_Toc351886651"/>
      <w:bookmarkStart w:id="50" w:name="_Toc951147527"/>
      <w:bookmarkStart w:id="51" w:name="_Toc1790419316"/>
      <w:bookmarkStart w:id="52" w:name="_Toc2064858552"/>
      <w:r>
        <w:rPr>
          <w:rFonts w:hint="eastAsia" w:ascii="黑体" w:hAnsi="黑体" w:eastAsia="黑体" w:cs="黑体"/>
          <w:b w:val="0"/>
          <w:bCs/>
          <w:color w:val="auto"/>
          <w:sz w:val="32"/>
          <w:szCs w:val="32"/>
          <w:highlight w:val="none"/>
        </w:rPr>
        <w:t>第一节</w:t>
      </w:r>
      <w:bookmarkEnd w:id="34"/>
      <w:bookmarkEnd w:id="35"/>
      <w:bookmarkEnd w:id="36"/>
      <w:r>
        <w:rPr>
          <w:rFonts w:hint="eastAsia" w:ascii="黑体" w:hAnsi="黑体" w:eastAsia="黑体" w:cs="黑体"/>
          <w:b w:val="0"/>
          <w:bCs/>
          <w:color w:val="auto"/>
          <w:sz w:val="32"/>
          <w:szCs w:val="32"/>
          <w:highlight w:val="none"/>
        </w:rPr>
        <w:t xml:space="preserve">  发展</w:t>
      </w:r>
      <w:bookmarkEnd w:id="37"/>
      <w:bookmarkEnd w:id="38"/>
      <w:bookmarkEnd w:id="39"/>
      <w:bookmarkEnd w:id="40"/>
      <w:bookmarkEnd w:id="41"/>
      <w:r>
        <w:rPr>
          <w:rFonts w:hint="eastAsia" w:ascii="黑体" w:hAnsi="黑体" w:eastAsia="黑体" w:cs="黑体"/>
          <w:b w:val="0"/>
          <w:bCs/>
          <w:color w:val="auto"/>
          <w:sz w:val="32"/>
          <w:szCs w:val="32"/>
          <w:highlight w:val="none"/>
          <w:lang w:eastAsia="zh-CN"/>
        </w:rPr>
        <w:t>成就</w:t>
      </w:r>
      <w:bookmarkEnd w:id="42"/>
      <w:bookmarkEnd w:id="43"/>
      <w:bookmarkEnd w:id="44"/>
      <w:bookmarkEnd w:id="45"/>
      <w:bookmarkEnd w:id="46"/>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lang w:eastAsia="zh-CN"/>
        </w:rPr>
      </w:pPr>
    </w:p>
    <w:p>
      <w:pPr>
        <w:pStyle w:val="31"/>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b/>
          <w:bCs/>
          <w:color w:val="auto"/>
          <w:sz w:val="32"/>
          <w:szCs w:val="32"/>
          <w:highlight w:val="none"/>
        </w:rPr>
      </w:pPr>
      <w:bookmarkStart w:id="53" w:name="_Hlk199853883"/>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十四五</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时期，在省委、省政府的坚强领导下，全市上下坚持以习近平新时代中国特色社会主义思想为指导，深入贯彻落实习近平总书记关于海南工作的系列重要讲话和指示批示精神，攻坚克难，砥砺前行，经受住世纪疫情和强台风严重冲击，有效应对一系列重大风险挑战，经济社会发展取得历史性成就，为</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十五五</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时期高质量发展奠定了坚实基础。</w:t>
      </w:r>
      <w:bookmarkEnd w:id="53"/>
    </w:p>
    <w:p>
      <w:pPr>
        <w:pStyle w:val="31"/>
        <w:keepNext w:val="0"/>
        <w:keepLines w:val="0"/>
        <w:pageBreakBefore w:val="0"/>
        <w:widowControl w:val="0"/>
        <w:shd w:val="clear"/>
        <w:kinsoku/>
        <w:wordWrap/>
        <w:overflowPunct/>
        <w:topLinePunct w:val="0"/>
        <w:autoSpaceDE/>
        <w:autoSpaceDN/>
        <w:bidi w:val="0"/>
        <w:adjustRightInd w:val="0"/>
        <w:snapToGrid w:val="0"/>
        <w:spacing w:line="560" w:lineRule="exact"/>
        <w:ind w:firstLine="602"/>
        <w:textAlignment w:val="auto"/>
        <w:rPr>
          <w:rFonts w:hint="eastAsia"/>
          <w:color w:val="auto"/>
          <w:sz w:val="32"/>
          <w:szCs w:val="32"/>
          <w:highlight w:val="none"/>
        </w:rPr>
      </w:pPr>
      <w:r>
        <w:rPr>
          <w:rFonts w:hint="eastAsia"/>
          <w:b/>
          <w:bCs/>
          <w:color w:val="auto"/>
          <w:sz w:val="32"/>
          <w:szCs w:val="32"/>
          <w:highlight w:val="none"/>
        </w:rPr>
        <w:t>自由贸易港建设稳步推进。</w:t>
      </w:r>
      <w:r>
        <w:rPr>
          <w:rFonts w:hint="eastAsia" w:ascii="仿宋_GB2312" w:hAnsi="仿宋_GB2312" w:eastAsia="仿宋_GB2312" w:cs="仿宋_GB2312"/>
          <w:color w:val="auto"/>
          <w:sz w:val="32"/>
          <w:szCs w:val="32"/>
          <w:highlight w:val="none"/>
        </w:rPr>
        <w:t>扎实推进封关运作“一号工程”，</w:t>
      </w:r>
      <w:r>
        <w:rPr>
          <w:rFonts w:hint="eastAsia" w:ascii="仿宋_GB2312" w:hAnsi="仿宋_GB2312" w:eastAsia="仿宋_GB2312" w:cs="仿宋_GB2312"/>
          <w:color w:val="auto"/>
          <w:sz w:val="32"/>
          <w:szCs w:val="32"/>
          <w:highlight w:val="none"/>
          <w:lang w:eastAsia="zh-CN"/>
        </w:rPr>
        <w:t>全力保障封关运作正式启动。</w:t>
      </w:r>
      <w:r>
        <w:rPr>
          <w:rFonts w:hint="eastAsia" w:ascii="仿宋_GB2312" w:hAnsi="仿宋_GB2312" w:eastAsia="仿宋_GB2312" w:cs="仿宋_GB2312"/>
          <w:color w:val="auto"/>
          <w:sz w:val="32"/>
          <w:szCs w:val="32"/>
          <w:highlight w:val="none"/>
        </w:rPr>
        <w:t>全市</w:t>
      </w:r>
      <w:r>
        <w:rPr>
          <w:rFonts w:hint="default" w:ascii="Times New Roman" w:hAnsi="Times New Roman" w:eastAsia="仿宋_GB2312" w:cs="Times New Roman"/>
          <w:color w:val="auto"/>
          <w:sz w:val="32"/>
          <w:szCs w:val="32"/>
          <w:highlight w:val="none"/>
        </w:rPr>
        <w:t>7</w:t>
      </w:r>
      <w:r>
        <w:rPr>
          <w:rFonts w:hint="eastAsia" w:ascii="仿宋_GB2312" w:hAnsi="仿宋_GB2312" w:eastAsia="仿宋_GB2312" w:cs="仿宋_GB2312"/>
          <w:color w:val="auto"/>
          <w:sz w:val="32"/>
          <w:szCs w:val="32"/>
          <w:highlight w:val="none"/>
        </w:rPr>
        <w:t>个封关运作项目建设完成，“二线口岸”查验设施顺利通过国家验收</w:t>
      </w:r>
      <w:r>
        <w:rPr>
          <w:rFonts w:hint="eastAsia" w:ascii="仿宋_GB2312" w:hAnsi="仿宋_GB2312" w:eastAsia="仿宋_GB2312" w:cs="仿宋_GB2312"/>
          <w:color w:val="auto"/>
          <w:sz w:val="32"/>
          <w:szCs w:val="32"/>
          <w:highlight w:val="none"/>
          <w:lang w:eastAsia="zh-CN"/>
        </w:rPr>
        <w:t>并启动运行</w:t>
      </w:r>
      <w:r>
        <w:rPr>
          <w:rFonts w:hint="eastAsia" w:ascii="仿宋_GB2312" w:hAnsi="仿宋_GB2312" w:eastAsia="仿宋_GB2312" w:cs="仿宋_GB2312"/>
          <w:color w:val="auto"/>
          <w:sz w:val="32"/>
          <w:szCs w:val="32"/>
          <w:highlight w:val="none"/>
        </w:rPr>
        <w:t>，</w:t>
      </w:r>
      <w:r>
        <w:rPr>
          <w:rFonts w:hint="default" w:ascii="Times New Roman" w:hAnsi="Times New Roman" w:eastAsia="仿宋_GB2312" w:cs="Times New Roman"/>
          <w:color w:val="auto"/>
          <w:sz w:val="32"/>
          <w:szCs w:val="32"/>
          <w:highlight w:val="none"/>
        </w:rPr>
        <w:t>8</w:t>
      </w:r>
      <w:r>
        <w:rPr>
          <w:rFonts w:hint="eastAsia" w:ascii="仿宋_GB2312" w:hAnsi="仿宋_GB2312" w:eastAsia="仿宋_GB2312" w:cs="仿宋_GB2312"/>
          <w:color w:val="auto"/>
          <w:sz w:val="32"/>
          <w:szCs w:val="32"/>
          <w:highlight w:val="none"/>
        </w:rPr>
        <w:t>个反走私综合执法站、</w:t>
      </w:r>
      <w:r>
        <w:rPr>
          <w:rFonts w:hint="default" w:ascii="Times New Roman" w:hAnsi="Times New Roman" w:eastAsia="仿宋_GB2312" w:cs="Times New Roman"/>
          <w:color w:val="auto"/>
          <w:sz w:val="32"/>
          <w:szCs w:val="32"/>
          <w:highlight w:val="none"/>
        </w:rPr>
        <w:t>3</w:t>
      </w:r>
      <w:r>
        <w:rPr>
          <w:rFonts w:hint="eastAsia" w:ascii="仿宋_GB2312" w:hAnsi="仿宋_GB2312" w:eastAsia="仿宋_GB2312" w:cs="仿宋_GB2312"/>
          <w:color w:val="auto"/>
          <w:sz w:val="32"/>
          <w:szCs w:val="32"/>
          <w:highlight w:val="none"/>
        </w:rPr>
        <w:t>个海警工作站进驻运行，压力测试工作有序开展。积极稳妥推进“一线放开、二线管住”试点，以“零关税、低税率、简税制”“五自由便利一安全有序流动”为</w:t>
      </w:r>
      <w:r>
        <w:rPr>
          <w:rFonts w:hint="eastAsia" w:ascii="仿宋_GB2312" w:hAnsi="仿宋_GB2312" w:eastAsia="仿宋_GB2312" w:cs="仿宋_GB2312"/>
          <w:color w:val="auto"/>
          <w:sz w:val="32"/>
          <w:szCs w:val="32"/>
          <w:highlight w:val="none"/>
          <w:lang w:eastAsia="zh-CN"/>
        </w:rPr>
        <w:t>主要</w:t>
      </w:r>
      <w:r>
        <w:rPr>
          <w:rFonts w:hint="eastAsia" w:ascii="仿宋_GB2312" w:hAnsi="仿宋_GB2312" w:eastAsia="仿宋_GB2312" w:cs="仿宋_GB2312"/>
          <w:color w:val="auto"/>
          <w:sz w:val="32"/>
          <w:szCs w:val="32"/>
          <w:highlight w:val="none"/>
        </w:rPr>
        <w:t>特征的核心政策落地见效，“</w:t>
      </w:r>
      <w:r>
        <w:rPr>
          <w:rFonts w:hint="eastAsia" w:ascii="仿宋_GB2312" w:hAnsi="仿宋_GB2312" w:eastAsia="仿宋_GB2312" w:cs="仿宋_GB2312"/>
          <w:color w:val="auto"/>
          <w:sz w:val="32"/>
          <w:szCs w:val="32"/>
          <w:highlight w:val="none"/>
          <w:lang w:eastAsia="zh-CN"/>
        </w:rPr>
        <w:t>两个</w:t>
      </w:r>
      <w:r>
        <w:rPr>
          <w:rFonts w:hint="default" w:ascii="Times New Roman" w:hAnsi="Times New Roman" w:eastAsia="仿宋_GB2312" w:cs="Times New Roman"/>
          <w:color w:val="auto"/>
          <w:sz w:val="32"/>
          <w:szCs w:val="32"/>
          <w:highlight w:val="none"/>
        </w:rPr>
        <w:t>15%</w:t>
      </w:r>
      <w:r>
        <w:rPr>
          <w:rFonts w:hint="eastAsia" w:ascii="仿宋_GB2312" w:hAnsi="仿宋_GB2312" w:eastAsia="仿宋_GB2312" w:cs="仿宋_GB2312"/>
          <w:color w:val="auto"/>
          <w:sz w:val="32"/>
          <w:szCs w:val="32"/>
          <w:highlight w:val="none"/>
        </w:rPr>
        <w:t>”所得税政策效应持续扩大，三张“零关税”清单</w:t>
      </w:r>
      <w:r>
        <w:rPr>
          <w:rFonts w:hint="eastAsia" w:ascii="仿宋_GB2312" w:hAnsi="仿宋_GB2312" w:eastAsia="仿宋_GB2312" w:cs="仿宋_GB2312"/>
          <w:i w:val="0"/>
          <w:caps w:val="0"/>
          <w:color w:val="auto"/>
          <w:spacing w:val="0"/>
          <w:kern w:val="2"/>
          <w:sz w:val="32"/>
          <w:szCs w:val="32"/>
          <w:highlight w:val="none"/>
          <w:shd w:val="clear" w:color="auto" w:fill="FFFFFF"/>
          <w:lang w:val="en-US" w:eastAsia="zh-CN" w:bidi="ar"/>
        </w:rPr>
        <w:t>等政策累计减免税款超</w:t>
      </w:r>
      <w:r>
        <w:rPr>
          <w:rFonts w:hint="default" w:ascii="Times New Roman" w:hAnsi="Times New Roman" w:eastAsia="仿宋_GB2312" w:cs="Times New Roman"/>
          <w:i w:val="0"/>
          <w:caps w:val="0"/>
          <w:color w:val="auto"/>
          <w:spacing w:val="0"/>
          <w:kern w:val="2"/>
          <w:sz w:val="32"/>
          <w:szCs w:val="32"/>
          <w:highlight w:val="none"/>
          <w:shd w:val="clear" w:color="auto" w:fill="FFFFFF"/>
          <w:lang w:val="en-US" w:eastAsia="zh-CN" w:bidi="ar"/>
        </w:rPr>
        <w:t>89</w:t>
      </w:r>
      <w:r>
        <w:rPr>
          <w:rFonts w:hint="eastAsia" w:ascii="仿宋_GB2312" w:hAnsi="仿宋_GB2312" w:eastAsia="仿宋_GB2312" w:cs="仿宋_GB2312"/>
          <w:i w:val="0"/>
          <w:caps w:val="0"/>
          <w:color w:val="auto"/>
          <w:spacing w:val="0"/>
          <w:kern w:val="2"/>
          <w:sz w:val="32"/>
          <w:szCs w:val="32"/>
          <w:highlight w:val="none"/>
          <w:shd w:val="clear" w:color="auto" w:fill="FFFFFF"/>
          <w:lang w:val="en-US" w:eastAsia="zh-CN" w:bidi="ar"/>
        </w:rPr>
        <w:t>亿元</w:t>
      </w:r>
      <w:r>
        <w:rPr>
          <w:rFonts w:hint="eastAsia" w:ascii="仿宋_GB2312" w:hAnsi="仿宋_GB2312" w:eastAsia="仿宋_GB2312" w:cs="仿宋_GB2312"/>
          <w:color w:val="auto"/>
          <w:sz w:val="32"/>
          <w:szCs w:val="32"/>
          <w:highlight w:val="none"/>
        </w:rPr>
        <w:t>，自用生产设备“零关税”进口值位</w:t>
      </w:r>
      <w:r>
        <w:rPr>
          <w:rFonts w:hint="eastAsia" w:ascii="仿宋_GB2312" w:hAnsi="仿宋_GB2312" w:eastAsia="仿宋_GB2312" w:cs="仿宋_GB2312"/>
          <w:color w:val="auto"/>
          <w:sz w:val="32"/>
          <w:szCs w:val="32"/>
          <w:highlight w:val="none"/>
          <w:lang w:eastAsia="zh-CN"/>
        </w:rPr>
        <w:t>居</w:t>
      </w:r>
      <w:r>
        <w:rPr>
          <w:rFonts w:hint="eastAsia" w:ascii="仿宋_GB2312" w:hAnsi="仿宋_GB2312" w:eastAsia="仿宋_GB2312" w:cs="仿宋_GB2312"/>
          <w:color w:val="auto"/>
          <w:sz w:val="32"/>
          <w:szCs w:val="32"/>
          <w:highlight w:val="none"/>
        </w:rPr>
        <w:t>全省前列，加工增值内销免关税政策享惠面稳步扩大。</w:t>
      </w:r>
    </w:p>
    <w:p>
      <w:pPr>
        <w:pStyle w:val="31"/>
        <w:keepNext w:val="0"/>
        <w:keepLines w:val="0"/>
        <w:pageBreakBefore w:val="0"/>
        <w:widowControl w:val="0"/>
        <w:shd w:val="clear"/>
        <w:kinsoku/>
        <w:wordWrap/>
        <w:overflowPunct/>
        <w:topLinePunct w:val="0"/>
        <w:autoSpaceDE/>
        <w:autoSpaceDN/>
        <w:bidi w:val="0"/>
        <w:adjustRightInd w:val="0"/>
        <w:snapToGrid w:val="0"/>
        <w:spacing w:line="576" w:lineRule="exact"/>
        <w:ind w:firstLine="602"/>
        <w:textAlignment w:val="auto"/>
        <w:rPr>
          <w:rFonts w:hint="eastAsia" w:eastAsia="仿宋_GB2312"/>
          <w:b/>
          <w:bCs/>
          <w:color w:val="auto"/>
          <w:sz w:val="32"/>
          <w:szCs w:val="32"/>
          <w:highlight w:val="none"/>
          <w:lang w:eastAsia="zh-CN"/>
        </w:rPr>
      </w:pPr>
      <w:r>
        <w:rPr>
          <w:rFonts w:hint="eastAsia" w:ascii="仿宋_GB2312" w:hAnsi="仿宋_GB2312" w:eastAsia="仿宋_GB2312" w:cs="仿宋_GB2312"/>
          <w:b/>
          <w:color w:val="auto"/>
          <w:sz w:val="32"/>
          <w:szCs w:val="32"/>
          <w:highlight w:val="none"/>
        </w:rPr>
        <w:t>高质量发展能级跃升。</w:t>
      </w:r>
      <w:r>
        <w:rPr>
          <w:rFonts w:hint="eastAsia" w:ascii="仿宋_GB2312" w:hAnsi="仿宋_GB2312" w:eastAsia="仿宋_GB2312" w:cs="仿宋_GB2312"/>
          <w:color w:val="auto"/>
          <w:sz w:val="32"/>
          <w:szCs w:val="32"/>
          <w:highlight w:val="none"/>
        </w:rPr>
        <w:t>主要经济指标稳步增长，发展质量效益显著提升。</w:t>
      </w:r>
      <w:r>
        <w:rPr>
          <w:rFonts w:hint="eastAsia" w:ascii="仿宋_GB2312" w:hAnsi="仿宋_GB2312" w:eastAsia="仿宋_GB2312" w:cs="仿宋_GB2312"/>
          <w:i w:val="0"/>
          <w:caps w:val="0"/>
          <w:color w:val="auto"/>
          <w:spacing w:val="0"/>
          <w:kern w:val="2"/>
          <w:sz w:val="32"/>
          <w:szCs w:val="32"/>
          <w:highlight w:val="none"/>
          <w:shd w:val="clear" w:color="auto" w:fill="FFFFFF"/>
          <w:lang w:val="en-US" w:eastAsia="zh-CN" w:bidi="ar"/>
        </w:rPr>
        <w:t>地区生产总值年均增长</w:t>
      </w:r>
      <w:r>
        <w:rPr>
          <w:rFonts w:hint="eastAsia" w:cs="Times New Roman"/>
          <w:i w:val="0"/>
          <w:caps w:val="0"/>
          <w:color w:val="auto"/>
          <w:spacing w:val="0"/>
          <w:kern w:val="2"/>
          <w:sz w:val="32"/>
          <w:szCs w:val="32"/>
          <w:highlight w:val="none"/>
          <w:shd w:val="clear" w:color="auto" w:fill="FFFFFF"/>
          <w:lang w:val="en-US" w:eastAsia="zh-CN" w:bidi="ar"/>
        </w:rPr>
        <w:t>5</w:t>
      </w:r>
      <w:r>
        <w:rPr>
          <w:rFonts w:hint="eastAsia" w:ascii="仿宋_GB2312" w:hAnsi="仿宋_GB2312" w:eastAsia="仿宋_GB2312" w:cs="仿宋_GB2312"/>
          <w:i w:val="0"/>
          <w:caps w:val="0"/>
          <w:color w:val="auto"/>
          <w:spacing w:val="0"/>
          <w:kern w:val="2"/>
          <w:sz w:val="32"/>
          <w:szCs w:val="32"/>
          <w:highlight w:val="none"/>
          <w:shd w:val="clear" w:color="auto" w:fill="FFFFFF"/>
          <w:lang w:val="en-US" w:eastAsia="zh-CN" w:bidi="ar"/>
        </w:rPr>
        <w:t>.</w:t>
      </w:r>
      <w:r>
        <w:rPr>
          <w:rFonts w:hint="eastAsia" w:cs="Times New Roman"/>
          <w:i w:val="0"/>
          <w:caps w:val="0"/>
          <w:color w:val="auto"/>
          <w:spacing w:val="0"/>
          <w:kern w:val="2"/>
          <w:sz w:val="32"/>
          <w:szCs w:val="32"/>
          <w:highlight w:val="none"/>
          <w:shd w:val="clear" w:color="auto" w:fill="FFFFFF"/>
          <w:lang w:val="en-US" w:eastAsia="zh-CN" w:bidi="ar"/>
        </w:rPr>
        <w:t>4</w:t>
      </w:r>
      <w:r>
        <w:rPr>
          <w:rFonts w:hint="default" w:ascii="Times New Roman" w:hAnsi="Times New Roman" w:eastAsia="仿宋_GB2312" w:cs="Times New Roman"/>
          <w:i w:val="0"/>
          <w:caps w:val="0"/>
          <w:color w:val="auto"/>
          <w:spacing w:val="0"/>
          <w:kern w:val="2"/>
          <w:sz w:val="32"/>
          <w:szCs w:val="32"/>
          <w:highlight w:val="none"/>
          <w:shd w:val="clear" w:color="auto" w:fill="FFFFFF"/>
          <w:lang w:val="en-US" w:eastAsia="zh-CN" w:bidi="ar"/>
        </w:rPr>
        <w:t>%</w:t>
      </w:r>
      <w:r>
        <w:rPr>
          <w:rFonts w:hint="eastAsia" w:ascii="仿宋_GB2312" w:hAnsi="仿宋_GB2312" w:eastAsia="仿宋_GB2312" w:cs="仿宋_GB2312"/>
          <w:i w:val="0"/>
          <w:caps w:val="0"/>
          <w:color w:val="auto"/>
          <w:spacing w:val="0"/>
          <w:kern w:val="2"/>
          <w:sz w:val="32"/>
          <w:szCs w:val="32"/>
          <w:highlight w:val="none"/>
          <w:shd w:val="clear" w:color="auto" w:fill="FFFFFF"/>
          <w:lang w:val="en-US" w:eastAsia="zh-CN" w:bidi="ar"/>
        </w:rPr>
        <w:t>，</w:t>
      </w:r>
      <w:r>
        <w:rPr>
          <w:rFonts w:hint="default" w:ascii="Times New Roman" w:hAnsi="Times New Roman" w:eastAsia="仿宋_GB2312" w:cs="Times New Roman"/>
          <w:i w:val="0"/>
          <w:caps w:val="0"/>
          <w:color w:val="auto"/>
          <w:spacing w:val="0"/>
          <w:kern w:val="2"/>
          <w:sz w:val="32"/>
          <w:szCs w:val="32"/>
          <w:highlight w:val="none"/>
          <w:shd w:val="clear" w:color="auto" w:fill="FFFFFF"/>
          <w:lang w:val="en-US" w:eastAsia="zh-CN" w:bidi="ar"/>
        </w:rPr>
        <w:t>2024</w:t>
      </w:r>
      <w:r>
        <w:rPr>
          <w:rFonts w:hint="eastAsia" w:ascii="仿宋_GB2312" w:hAnsi="仿宋_GB2312" w:eastAsia="仿宋_GB2312" w:cs="仿宋_GB2312"/>
          <w:i w:val="0"/>
          <w:caps w:val="0"/>
          <w:color w:val="auto"/>
          <w:spacing w:val="0"/>
          <w:kern w:val="2"/>
          <w:sz w:val="32"/>
          <w:szCs w:val="32"/>
          <w:highlight w:val="none"/>
          <w:shd w:val="clear" w:color="auto" w:fill="FFFFFF"/>
          <w:lang w:val="en-US" w:eastAsia="zh-CN" w:bidi="ar"/>
        </w:rPr>
        <w:t>年首次突破千亿元大关</w:t>
      </w:r>
      <w:r>
        <w:rPr>
          <w:rFonts w:hint="eastAsia" w:ascii="仿宋_GB2312" w:hAnsi="仿宋_GB2312" w:cs="仿宋_GB2312"/>
          <w:i w:val="0"/>
          <w:caps w:val="0"/>
          <w:color w:val="auto"/>
          <w:spacing w:val="0"/>
          <w:kern w:val="2"/>
          <w:sz w:val="32"/>
          <w:szCs w:val="32"/>
          <w:highlight w:val="none"/>
          <w:shd w:val="clear" w:color="auto" w:fill="FFFFFF"/>
          <w:lang w:val="en" w:eastAsia="zh-CN" w:bidi="ar"/>
        </w:rPr>
        <w:t>，</w:t>
      </w:r>
      <w:r>
        <w:rPr>
          <w:rFonts w:hint="eastAsia" w:ascii="仿宋_GB2312" w:hAnsi="仿宋_GB2312" w:eastAsia="仿宋_GB2312" w:cs="仿宋_GB2312"/>
          <w:i w:val="0"/>
          <w:caps w:val="0"/>
          <w:color w:val="auto"/>
          <w:spacing w:val="0"/>
          <w:kern w:val="2"/>
          <w:sz w:val="32"/>
          <w:szCs w:val="32"/>
          <w:highlight w:val="none"/>
          <w:shd w:val="clear" w:color="auto" w:fill="FFFFFF"/>
          <w:lang w:val="en-US" w:eastAsia="zh-CN" w:bidi="ar"/>
        </w:rPr>
        <w:t>产业结构持续优化，经济综合实力不断增强。</w:t>
      </w:r>
      <w:r>
        <w:rPr>
          <w:rFonts w:hint="eastAsia" w:ascii="仿宋_GB2312" w:hAnsi="仿宋_GB2312" w:cs="仿宋_GB2312"/>
          <w:color w:val="auto"/>
          <w:sz w:val="32"/>
          <w:szCs w:val="32"/>
          <w:highlight w:val="none"/>
          <w:lang w:eastAsia="zh-CN"/>
        </w:rPr>
        <w:t>消费潜力不断释放</w:t>
      </w:r>
      <w:r>
        <w:rPr>
          <w:rFonts w:hint="eastAsia" w:ascii="仿宋_GB2312" w:hAnsi="仿宋_GB2312" w:eastAsia="仿宋_GB2312" w:cs="仿宋_GB2312"/>
          <w:color w:val="auto"/>
          <w:sz w:val="32"/>
          <w:szCs w:val="32"/>
          <w:highlight w:val="none"/>
        </w:rPr>
        <w:t>，离岛免税</w:t>
      </w:r>
      <w:r>
        <w:rPr>
          <w:rFonts w:hint="eastAsia" w:ascii="仿宋_GB2312" w:hAnsi="仿宋_GB2312" w:cs="仿宋_GB2312"/>
          <w:color w:val="auto"/>
          <w:sz w:val="32"/>
          <w:szCs w:val="32"/>
          <w:highlight w:val="none"/>
          <w:lang w:eastAsia="zh-CN"/>
        </w:rPr>
        <w:t>商品</w:t>
      </w:r>
      <w:r>
        <w:rPr>
          <w:rFonts w:hint="eastAsia" w:ascii="仿宋_GB2312" w:hAnsi="仿宋_GB2312" w:eastAsia="仿宋_GB2312" w:cs="仿宋_GB2312"/>
          <w:color w:val="auto"/>
          <w:sz w:val="32"/>
          <w:szCs w:val="32"/>
          <w:highlight w:val="none"/>
        </w:rPr>
        <w:t>销售额占全省六成</w:t>
      </w:r>
      <w:r>
        <w:rPr>
          <w:rFonts w:hint="eastAsia" w:ascii="仿宋_GB2312" w:hAnsi="仿宋_GB2312" w:cs="仿宋_GB2312"/>
          <w:color w:val="auto"/>
          <w:sz w:val="32"/>
          <w:szCs w:val="32"/>
          <w:highlight w:val="none"/>
          <w:lang w:eastAsia="zh-CN"/>
        </w:rPr>
        <w:t>左右，</w:t>
      </w:r>
      <w:r>
        <w:rPr>
          <w:rFonts w:hint="eastAsia" w:ascii="仿宋_GB2312" w:hAnsi="仿宋_GB2312" w:cs="仿宋_GB2312"/>
          <w:color w:val="auto"/>
          <w:sz w:val="32"/>
          <w:szCs w:val="32"/>
          <w:highlight w:val="none"/>
        </w:rPr>
        <w:t>客单价高出全省</w:t>
      </w:r>
      <w:r>
        <w:rPr>
          <w:rFonts w:hint="eastAsia" w:ascii="仿宋_GB2312" w:hAnsi="仿宋_GB2312" w:cs="仿宋_GB2312"/>
          <w:color w:val="auto"/>
          <w:sz w:val="32"/>
          <w:szCs w:val="32"/>
          <w:highlight w:val="none"/>
          <w:lang w:eastAsia="zh-CN"/>
        </w:rPr>
        <w:t>平均</w:t>
      </w:r>
      <w:r>
        <w:rPr>
          <w:rFonts w:hint="eastAsia" w:ascii="仿宋_GB2312" w:hAnsi="仿宋_GB2312" w:cs="仿宋_GB2312"/>
          <w:color w:val="auto"/>
          <w:sz w:val="32"/>
          <w:szCs w:val="32"/>
          <w:highlight w:val="none"/>
        </w:rPr>
        <w:t>水平</w:t>
      </w:r>
      <w:r>
        <w:rPr>
          <w:rFonts w:hint="default" w:ascii="Times New Roman" w:hAnsi="Times New Roman" w:cs="Times New Roman"/>
          <w:color w:val="auto"/>
          <w:sz w:val="32"/>
          <w:szCs w:val="32"/>
          <w:highlight w:val="none"/>
          <w:lang w:val="en-US" w:eastAsia="zh-CN"/>
        </w:rPr>
        <w:t>1</w:t>
      </w:r>
      <w:r>
        <w:rPr>
          <w:rFonts w:hint="eastAsia" w:cs="Times New Roman"/>
          <w:color w:val="auto"/>
          <w:sz w:val="32"/>
          <w:szCs w:val="32"/>
          <w:highlight w:val="none"/>
          <w:lang w:val="en-US" w:eastAsia="zh-CN"/>
        </w:rPr>
        <w:t>5</w:t>
      </w:r>
      <w:r>
        <w:rPr>
          <w:rFonts w:hint="eastAsia" w:ascii="仿宋_GB2312" w:hAnsi="仿宋_GB2312" w:cs="仿宋_GB2312"/>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7</w:t>
      </w:r>
      <w:r>
        <w:rPr>
          <w:rFonts w:hint="eastAsia" w:ascii="仿宋_GB2312" w:hAnsi="仿宋_GB2312" w:cs="仿宋_GB2312"/>
          <w:color w:val="auto"/>
          <w:sz w:val="32"/>
          <w:szCs w:val="32"/>
          <w:highlight w:val="none"/>
          <w:lang w:val="en-US" w:eastAsia="zh-CN"/>
        </w:rPr>
        <w:t>个百分点</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i w:val="0"/>
          <w:caps w:val="0"/>
          <w:color w:val="auto"/>
          <w:spacing w:val="0"/>
          <w:kern w:val="2"/>
          <w:sz w:val="32"/>
          <w:szCs w:val="32"/>
          <w:highlight w:val="none"/>
          <w:shd w:val="clear" w:color="auto" w:fill="FFFFFF"/>
          <w:lang w:val="en-US" w:eastAsia="zh-CN" w:bidi="ar"/>
        </w:rPr>
        <w:t>地方一般公共预算收入</w:t>
      </w:r>
      <w:r>
        <w:rPr>
          <w:rFonts w:hint="eastAsia" w:ascii="仿宋_GB2312" w:hAnsi="仿宋_GB2312" w:cs="仿宋_GB2312"/>
          <w:i w:val="0"/>
          <w:caps w:val="0"/>
          <w:color w:val="auto"/>
          <w:spacing w:val="0"/>
          <w:kern w:val="2"/>
          <w:sz w:val="32"/>
          <w:szCs w:val="32"/>
          <w:highlight w:val="none"/>
          <w:shd w:val="clear" w:color="auto" w:fill="FFFFFF"/>
          <w:lang w:val="en-US" w:eastAsia="zh-CN" w:bidi="ar"/>
        </w:rPr>
        <w:t>由</w:t>
      </w:r>
      <w:r>
        <w:rPr>
          <w:rFonts w:hint="default" w:ascii="Times New Roman" w:hAnsi="Times New Roman" w:cs="Times New Roman"/>
          <w:i w:val="0"/>
          <w:caps w:val="0"/>
          <w:color w:val="auto"/>
          <w:spacing w:val="0"/>
          <w:kern w:val="2"/>
          <w:sz w:val="32"/>
          <w:szCs w:val="32"/>
          <w:highlight w:val="none"/>
          <w:shd w:val="clear" w:color="auto" w:fill="FFFFFF"/>
          <w:lang w:val="en-US" w:eastAsia="zh-CN" w:bidi="ar"/>
        </w:rPr>
        <w:t>2020</w:t>
      </w:r>
      <w:r>
        <w:rPr>
          <w:rFonts w:hint="eastAsia" w:ascii="仿宋_GB2312" w:hAnsi="仿宋_GB2312" w:cs="仿宋_GB2312"/>
          <w:i w:val="0"/>
          <w:caps w:val="0"/>
          <w:color w:val="auto"/>
          <w:spacing w:val="0"/>
          <w:kern w:val="2"/>
          <w:sz w:val="32"/>
          <w:szCs w:val="32"/>
          <w:highlight w:val="none"/>
          <w:shd w:val="clear" w:color="auto" w:fill="FFFFFF"/>
          <w:lang w:val="en-US" w:eastAsia="zh-CN" w:bidi="ar"/>
        </w:rPr>
        <w:t>年的</w:t>
      </w:r>
      <w:r>
        <w:rPr>
          <w:rFonts w:hint="default" w:ascii="Times New Roman" w:hAnsi="Times New Roman" w:cs="Times New Roman"/>
          <w:i w:val="0"/>
          <w:caps w:val="0"/>
          <w:color w:val="auto"/>
          <w:spacing w:val="0"/>
          <w:kern w:val="2"/>
          <w:sz w:val="32"/>
          <w:szCs w:val="32"/>
          <w:highlight w:val="none"/>
          <w:shd w:val="clear" w:color="auto" w:fill="FFFFFF"/>
          <w:lang w:val="en-US" w:eastAsia="zh-CN" w:bidi="ar"/>
        </w:rPr>
        <w:t>110</w:t>
      </w:r>
      <w:r>
        <w:rPr>
          <w:rFonts w:hint="eastAsia" w:ascii="仿宋_GB2312" w:hAnsi="仿宋_GB2312" w:cs="仿宋_GB2312"/>
          <w:i w:val="0"/>
          <w:caps w:val="0"/>
          <w:color w:val="auto"/>
          <w:spacing w:val="0"/>
          <w:kern w:val="2"/>
          <w:sz w:val="32"/>
          <w:szCs w:val="32"/>
          <w:highlight w:val="none"/>
          <w:shd w:val="clear" w:color="auto" w:fill="FFFFFF"/>
          <w:lang w:val="en-US" w:eastAsia="zh-CN" w:bidi="ar"/>
        </w:rPr>
        <w:t>.</w:t>
      </w:r>
      <w:r>
        <w:rPr>
          <w:rFonts w:hint="default" w:ascii="Times New Roman" w:hAnsi="Times New Roman" w:cs="Times New Roman"/>
          <w:i w:val="0"/>
          <w:caps w:val="0"/>
          <w:color w:val="auto"/>
          <w:spacing w:val="0"/>
          <w:kern w:val="2"/>
          <w:sz w:val="32"/>
          <w:szCs w:val="32"/>
          <w:highlight w:val="none"/>
          <w:shd w:val="clear" w:color="auto" w:fill="FFFFFF"/>
          <w:lang w:val="en-US" w:eastAsia="zh-CN" w:bidi="ar"/>
        </w:rPr>
        <w:t>4</w:t>
      </w:r>
      <w:r>
        <w:rPr>
          <w:rFonts w:hint="eastAsia" w:ascii="仿宋_GB2312" w:hAnsi="仿宋_GB2312" w:cs="仿宋_GB2312"/>
          <w:i w:val="0"/>
          <w:caps w:val="0"/>
          <w:color w:val="auto"/>
          <w:spacing w:val="0"/>
          <w:kern w:val="2"/>
          <w:sz w:val="32"/>
          <w:szCs w:val="32"/>
          <w:highlight w:val="none"/>
          <w:shd w:val="clear" w:color="auto" w:fill="FFFFFF"/>
          <w:lang w:val="en-US" w:eastAsia="zh-CN" w:bidi="ar"/>
        </w:rPr>
        <w:t>亿元增加到</w:t>
      </w:r>
      <w:r>
        <w:rPr>
          <w:rFonts w:hint="default" w:ascii="Times New Roman" w:hAnsi="Times New Roman" w:cs="Times New Roman"/>
          <w:i w:val="0"/>
          <w:caps w:val="0"/>
          <w:color w:val="auto"/>
          <w:spacing w:val="0"/>
          <w:kern w:val="2"/>
          <w:sz w:val="32"/>
          <w:szCs w:val="32"/>
          <w:highlight w:val="none"/>
          <w:shd w:val="clear" w:color="auto" w:fill="FFFFFF"/>
          <w:lang w:val="en-US" w:eastAsia="zh-CN" w:bidi="ar"/>
        </w:rPr>
        <w:t>2025</w:t>
      </w:r>
      <w:r>
        <w:rPr>
          <w:rFonts w:hint="eastAsia" w:ascii="仿宋_GB2312" w:hAnsi="仿宋_GB2312" w:cs="仿宋_GB2312"/>
          <w:i w:val="0"/>
          <w:caps w:val="0"/>
          <w:color w:val="auto"/>
          <w:spacing w:val="0"/>
          <w:kern w:val="2"/>
          <w:sz w:val="32"/>
          <w:szCs w:val="32"/>
          <w:highlight w:val="none"/>
          <w:shd w:val="clear" w:color="auto" w:fill="FFFFFF"/>
          <w:lang w:val="en-US" w:eastAsia="zh-CN" w:bidi="ar"/>
        </w:rPr>
        <w:t>年</w:t>
      </w:r>
      <w:r>
        <w:rPr>
          <w:rFonts w:hint="default" w:ascii="Times New Roman" w:hAnsi="Times New Roman" w:cs="Times New Roman"/>
          <w:i w:val="0"/>
          <w:caps w:val="0"/>
          <w:color w:val="auto"/>
          <w:spacing w:val="0"/>
          <w:kern w:val="2"/>
          <w:sz w:val="32"/>
          <w:szCs w:val="32"/>
          <w:highlight w:val="none"/>
          <w:shd w:val="clear" w:color="auto" w:fill="FFFFFF"/>
          <w:lang w:val="en-US" w:eastAsia="zh-CN" w:bidi="ar"/>
        </w:rPr>
        <w:t>155</w:t>
      </w:r>
      <w:r>
        <w:rPr>
          <w:rFonts w:hint="eastAsia" w:ascii="仿宋_GB2312" w:hAnsi="仿宋_GB2312" w:cs="仿宋_GB2312"/>
          <w:i w:val="0"/>
          <w:caps w:val="0"/>
          <w:color w:val="auto"/>
          <w:spacing w:val="0"/>
          <w:kern w:val="2"/>
          <w:sz w:val="32"/>
          <w:szCs w:val="32"/>
          <w:highlight w:val="none"/>
          <w:shd w:val="clear" w:color="auto" w:fill="FFFFFF"/>
          <w:lang w:val="en-US" w:eastAsia="zh-CN" w:bidi="ar"/>
        </w:rPr>
        <w:t>.</w:t>
      </w:r>
      <w:r>
        <w:rPr>
          <w:rFonts w:hint="default" w:ascii="Times New Roman" w:hAnsi="Times New Roman" w:cs="Times New Roman"/>
          <w:i w:val="0"/>
          <w:caps w:val="0"/>
          <w:color w:val="auto"/>
          <w:spacing w:val="0"/>
          <w:kern w:val="2"/>
          <w:sz w:val="32"/>
          <w:szCs w:val="32"/>
          <w:highlight w:val="none"/>
          <w:shd w:val="clear" w:color="auto" w:fill="FFFFFF"/>
          <w:lang w:val="en-US" w:eastAsia="zh-CN" w:bidi="ar"/>
        </w:rPr>
        <w:t>2</w:t>
      </w:r>
      <w:r>
        <w:rPr>
          <w:rFonts w:hint="eastAsia" w:ascii="仿宋_GB2312" w:hAnsi="仿宋_GB2312" w:cs="仿宋_GB2312"/>
          <w:i w:val="0"/>
          <w:caps w:val="0"/>
          <w:color w:val="auto"/>
          <w:spacing w:val="0"/>
          <w:kern w:val="2"/>
          <w:sz w:val="32"/>
          <w:szCs w:val="32"/>
          <w:highlight w:val="none"/>
          <w:shd w:val="clear" w:color="auto" w:fill="FFFFFF"/>
          <w:lang w:val="en-US" w:eastAsia="zh-CN" w:bidi="ar"/>
        </w:rPr>
        <w:t>亿元，年均增长</w:t>
      </w:r>
      <w:r>
        <w:rPr>
          <w:rFonts w:hint="eastAsia" w:cs="Times New Roman"/>
          <w:i w:val="0"/>
          <w:caps w:val="0"/>
          <w:color w:val="auto"/>
          <w:spacing w:val="0"/>
          <w:kern w:val="2"/>
          <w:sz w:val="32"/>
          <w:szCs w:val="32"/>
          <w:highlight w:val="none"/>
          <w:shd w:val="clear" w:color="auto" w:fill="FFFFFF"/>
          <w:lang w:val="en-US" w:eastAsia="zh-CN" w:bidi="ar"/>
        </w:rPr>
        <w:t>5</w:t>
      </w:r>
      <w:r>
        <w:rPr>
          <w:rFonts w:hint="eastAsia" w:ascii="仿宋_GB2312" w:hAnsi="仿宋_GB2312" w:eastAsia="仿宋_GB2312" w:cs="仿宋_GB2312"/>
          <w:i w:val="0"/>
          <w:caps w:val="0"/>
          <w:color w:val="auto"/>
          <w:spacing w:val="0"/>
          <w:kern w:val="2"/>
          <w:sz w:val="32"/>
          <w:szCs w:val="32"/>
          <w:highlight w:val="none"/>
          <w:shd w:val="clear" w:color="auto" w:fill="FFFFFF"/>
          <w:lang w:val="en-US" w:eastAsia="zh-CN" w:bidi="ar"/>
        </w:rPr>
        <w:t>.</w:t>
      </w:r>
      <w:r>
        <w:rPr>
          <w:rFonts w:hint="eastAsia" w:cs="Times New Roman"/>
          <w:i w:val="0"/>
          <w:caps w:val="0"/>
          <w:color w:val="auto"/>
          <w:spacing w:val="0"/>
          <w:kern w:val="2"/>
          <w:sz w:val="32"/>
          <w:szCs w:val="32"/>
          <w:highlight w:val="none"/>
          <w:shd w:val="clear" w:color="auto" w:fill="FFFFFF"/>
          <w:lang w:val="en-US" w:eastAsia="zh-CN" w:bidi="ar"/>
        </w:rPr>
        <w:t>7</w:t>
      </w:r>
      <w:r>
        <w:rPr>
          <w:rFonts w:hint="default" w:ascii="Times New Roman" w:hAnsi="Times New Roman" w:eastAsia="仿宋_GB2312" w:cs="Times New Roman"/>
          <w:i w:val="0"/>
          <w:caps w:val="0"/>
          <w:color w:val="auto"/>
          <w:spacing w:val="0"/>
          <w:kern w:val="2"/>
          <w:sz w:val="32"/>
          <w:szCs w:val="32"/>
          <w:highlight w:val="none"/>
          <w:shd w:val="clear" w:color="auto" w:fill="FFFFFF"/>
          <w:lang w:val="en-US" w:eastAsia="zh-CN" w:bidi="ar"/>
        </w:rPr>
        <w:t>%</w:t>
      </w:r>
      <w:r>
        <w:rPr>
          <w:rFonts w:hint="eastAsia" w:cs="Times New Roman"/>
          <w:i w:val="0"/>
          <w:caps w:val="0"/>
          <w:color w:val="auto"/>
          <w:spacing w:val="0"/>
          <w:kern w:val="2"/>
          <w:sz w:val="32"/>
          <w:szCs w:val="32"/>
          <w:highlight w:val="none"/>
          <w:shd w:val="clear" w:color="auto" w:fill="FFFFFF"/>
          <w:lang w:val="en-US" w:eastAsia="zh-CN" w:bidi="ar"/>
        </w:rPr>
        <w:t>。</w:t>
      </w:r>
      <w:r>
        <w:rPr>
          <w:rFonts w:hint="eastAsia" w:ascii="仿宋_GB2312" w:hAnsi="仿宋_GB2312" w:eastAsia="仿宋_GB2312" w:cs="仿宋_GB2312"/>
          <w:color w:val="auto"/>
          <w:sz w:val="32"/>
          <w:szCs w:val="32"/>
          <w:highlight w:val="none"/>
        </w:rPr>
        <w:t>居民人均可支配收入由</w:t>
      </w:r>
      <w:r>
        <w:rPr>
          <w:rFonts w:hint="default" w:ascii="Times New Roman" w:hAnsi="Times New Roman" w:eastAsia="仿宋_GB2312" w:cs="Times New Roman"/>
          <w:color w:val="auto"/>
          <w:sz w:val="32"/>
          <w:szCs w:val="32"/>
          <w:highlight w:val="none"/>
        </w:rPr>
        <w:t>2020</w:t>
      </w:r>
      <w:r>
        <w:rPr>
          <w:rFonts w:hint="eastAsia" w:ascii="仿宋_GB2312" w:hAnsi="仿宋_GB2312" w:eastAsia="仿宋_GB2312" w:cs="仿宋_GB2312"/>
          <w:color w:val="auto"/>
          <w:sz w:val="32"/>
          <w:szCs w:val="32"/>
          <w:highlight w:val="none"/>
        </w:rPr>
        <w:t>年的</w:t>
      </w:r>
      <w:r>
        <w:rPr>
          <w:rFonts w:hint="default" w:ascii="Times New Roman" w:hAnsi="Times New Roman" w:eastAsia="仿宋_GB2312" w:cs="Times New Roman"/>
          <w:color w:val="auto"/>
          <w:sz w:val="32"/>
          <w:szCs w:val="32"/>
          <w:highlight w:val="none"/>
          <w:lang w:val="en-US" w:eastAsia="zh-CN"/>
        </w:rPr>
        <w:t>34642</w:t>
      </w:r>
      <w:r>
        <w:rPr>
          <w:rFonts w:hint="eastAsia" w:ascii="仿宋_GB2312" w:hAnsi="仿宋_GB2312" w:eastAsia="仿宋_GB2312" w:cs="仿宋_GB2312"/>
          <w:color w:val="auto"/>
          <w:sz w:val="32"/>
          <w:szCs w:val="32"/>
          <w:highlight w:val="none"/>
        </w:rPr>
        <w:t>元上升到</w:t>
      </w:r>
      <w:r>
        <w:rPr>
          <w:rFonts w:hint="default" w:ascii="Times New Roman" w:hAnsi="Times New Roman" w:eastAsia="仿宋_GB2312" w:cs="Times New Roman"/>
          <w:color w:val="auto"/>
          <w:sz w:val="32"/>
          <w:szCs w:val="32"/>
          <w:highlight w:val="none"/>
        </w:rPr>
        <w:t>202</w:t>
      </w:r>
      <w:r>
        <w:rPr>
          <w:rFonts w:hint="eastAsia" w:cs="Times New Roman"/>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年的</w:t>
      </w:r>
      <w:r>
        <w:rPr>
          <w:rFonts w:hint="eastAsia" w:cs="Times New Roman"/>
          <w:color w:val="auto"/>
          <w:sz w:val="32"/>
          <w:szCs w:val="32"/>
          <w:highlight w:val="none"/>
          <w:lang w:val="en-US" w:eastAsia="zh-CN"/>
        </w:rPr>
        <w:t>43024</w:t>
      </w:r>
      <w:r>
        <w:rPr>
          <w:rFonts w:hint="eastAsia" w:ascii="仿宋_GB2312" w:hAnsi="仿宋_GB2312" w:eastAsia="仿宋_GB2312" w:cs="仿宋_GB2312"/>
          <w:color w:val="auto"/>
          <w:sz w:val="32"/>
          <w:szCs w:val="32"/>
          <w:highlight w:val="none"/>
        </w:rPr>
        <w:t>元，年均增长</w:t>
      </w:r>
      <w:r>
        <w:rPr>
          <w:rFonts w:hint="default" w:ascii="Times New Roman" w:hAnsi="Times New Roman" w:eastAsia="仿宋_GB2312" w:cs="Times New Roman"/>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val="en-US" w:eastAsia="zh-CN"/>
        </w:rPr>
        <w:t>.</w:t>
      </w:r>
      <w:r>
        <w:rPr>
          <w:rFonts w:hint="eastAsia"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w:t>
      </w:r>
      <w:r>
        <w:rPr>
          <w:rFonts w:hint="eastAsia" w:ascii="仿宋_GB2312" w:hAnsi="仿宋_GB2312" w:eastAsia="仿宋_GB2312" w:cs="仿宋_GB2312"/>
          <w:color w:val="auto"/>
          <w:sz w:val="32"/>
          <w:szCs w:val="32"/>
          <w:highlight w:val="none"/>
        </w:rPr>
        <w:t>。</w:t>
      </w:r>
    </w:p>
    <w:p>
      <w:pPr>
        <w:keepNext w:val="0"/>
        <w:keepLines w:val="0"/>
        <w:pageBreakBefore w:val="0"/>
        <w:widowControl/>
        <w:shd w:val="clear"/>
        <w:kinsoku/>
        <w:wordWrap/>
        <w:overflowPunct/>
        <w:topLinePunct w:val="0"/>
        <w:autoSpaceDE/>
        <w:autoSpaceDN/>
        <w:bidi w:val="0"/>
        <w:spacing w:line="576" w:lineRule="exact"/>
        <w:ind w:firstLine="600"/>
        <w:jc w:val="left"/>
        <w:textAlignment w:val="auto"/>
        <w:rPr>
          <w:rFonts w:hint="eastAsia" w:ascii="仿宋_GB2312" w:hAnsi="仿宋_GB2312" w:eastAsia="仿宋_GB2312" w:cs="仿宋_GB2312"/>
          <w:color w:val="auto"/>
          <w:kern w:val="2"/>
          <w:sz w:val="32"/>
          <w:szCs w:val="32"/>
          <w:highlight w:val="none"/>
          <w:shd w:val="clear" w:color="auto" w:fill="FFFFFF"/>
          <w:lang w:val="en-US" w:eastAsia="zh-CN" w:bidi="ar-SA"/>
        </w:rPr>
      </w:pPr>
      <w:r>
        <w:rPr>
          <w:rFonts w:hint="eastAsia" w:ascii="仿宋_GB2312" w:hAnsi="仿宋_GB2312" w:eastAsia="仿宋_GB2312" w:cs="仿宋_GB2312"/>
          <w:b/>
          <w:bCs/>
          <w:color w:val="auto"/>
          <w:sz w:val="32"/>
          <w:szCs w:val="32"/>
          <w:highlight w:val="none"/>
          <w:shd w:val="clear" w:color="auto" w:fill="FFFFFF"/>
          <w:lang w:eastAsia="zh-CN"/>
        </w:rPr>
        <w:t>重点</w:t>
      </w:r>
      <w:r>
        <w:rPr>
          <w:rFonts w:hint="eastAsia" w:ascii="仿宋_GB2312" w:hAnsi="仿宋_GB2312" w:eastAsia="仿宋_GB2312" w:cs="仿宋_GB2312"/>
          <w:b/>
          <w:bCs/>
          <w:color w:val="auto"/>
          <w:sz w:val="32"/>
          <w:szCs w:val="32"/>
          <w:highlight w:val="none"/>
          <w:shd w:val="clear" w:color="auto" w:fill="FFFFFF"/>
        </w:rPr>
        <w:t>改革迈</w:t>
      </w:r>
      <w:r>
        <w:rPr>
          <w:rFonts w:hint="eastAsia" w:ascii="仿宋_GB2312" w:hAnsi="仿宋_GB2312" w:eastAsia="仿宋_GB2312" w:cs="仿宋_GB2312"/>
          <w:b/>
          <w:bCs/>
          <w:color w:val="auto"/>
          <w:sz w:val="32"/>
          <w:szCs w:val="32"/>
          <w:highlight w:val="none"/>
          <w:shd w:val="clear" w:color="auto" w:fill="FFFFFF"/>
          <w:lang w:eastAsia="zh-CN"/>
        </w:rPr>
        <w:t>出</w:t>
      </w:r>
      <w:r>
        <w:rPr>
          <w:rFonts w:hint="eastAsia" w:ascii="仿宋_GB2312" w:hAnsi="仿宋_GB2312" w:eastAsia="仿宋_GB2312" w:cs="仿宋_GB2312"/>
          <w:b/>
          <w:bCs/>
          <w:color w:val="auto"/>
          <w:sz w:val="32"/>
          <w:szCs w:val="32"/>
          <w:highlight w:val="none"/>
          <w:shd w:val="clear" w:color="auto" w:fill="FFFFFF"/>
        </w:rPr>
        <w:t>新步伐。</w:t>
      </w:r>
      <w:r>
        <w:rPr>
          <w:rStyle w:val="51"/>
          <w:rFonts w:hint="eastAsia" w:ascii="仿宋_GB2312" w:hAnsi="仿宋_GB2312" w:eastAsia="仿宋_GB2312" w:cs="仿宋_GB2312"/>
          <w:color w:val="auto"/>
          <w:sz w:val="32"/>
          <w:szCs w:val="32"/>
          <w:highlight w:val="none"/>
          <w:lang w:val="en-US" w:eastAsia="zh-CN"/>
        </w:rPr>
        <w:t>“以崖州湾科技城建设为试点，探索教育、科技、人才一体化改革”等</w:t>
      </w:r>
      <w:r>
        <w:rPr>
          <w:rStyle w:val="51"/>
          <w:rFonts w:hint="default" w:ascii="Times New Roman" w:hAnsi="Times New Roman" w:eastAsia="仿宋_GB2312" w:cs="Times New Roman"/>
          <w:color w:val="auto"/>
          <w:sz w:val="32"/>
          <w:szCs w:val="32"/>
          <w:highlight w:val="none"/>
          <w:lang w:val="en-US" w:eastAsia="zh-CN"/>
        </w:rPr>
        <w:t>3</w:t>
      </w:r>
      <w:r>
        <w:rPr>
          <w:rStyle w:val="51"/>
          <w:rFonts w:hint="eastAsia" w:ascii="仿宋_GB2312" w:hAnsi="仿宋_GB2312" w:eastAsia="仿宋_GB2312" w:cs="仿宋_GB2312"/>
          <w:color w:val="auto"/>
          <w:sz w:val="32"/>
          <w:szCs w:val="32"/>
          <w:highlight w:val="none"/>
          <w:lang w:val="en-US" w:eastAsia="zh-CN"/>
        </w:rPr>
        <w:t>项案例获得国务院通报表扬。“水上旅游（游艇）综合管理服务新模式”入选商务部第六批最佳实践案例</w:t>
      </w:r>
      <w:r>
        <w:rPr>
          <w:rStyle w:val="51"/>
          <w:rFonts w:hint="eastAsia" w:ascii="仿宋_GB2312" w:hAnsi="仿宋_GB2312" w:eastAsia="仿宋_GB2312" w:cs="仿宋_GB2312"/>
          <w:color w:val="auto"/>
          <w:sz w:val="32"/>
          <w:szCs w:val="32"/>
          <w:highlight w:val="none"/>
          <w:lang w:val="en" w:eastAsia="zh-CN"/>
        </w:rPr>
        <w:t>，</w:t>
      </w:r>
      <w:r>
        <w:rPr>
          <w:rStyle w:val="51"/>
          <w:rFonts w:hint="eastAsia" w:ascii="仿宋_GB2312" w:hAnsi="仿宋_GB2312" w:eastAsia="仿宋_GB2312" w:cs="仿宋_GB2312"/>
          <w:color w:val="auto"/>
          <w:sz w:val="32"/>
          <w:szCs w:val="32"/>
          <w:highlight w:val="none"/>
          <w:lang w:val="en-US" w:eastAsia="zh-CN"/>
        </w:rPr>
        <w:t>累计</w:t>
      </w:r>
      <w:r>
        <w:rPr>
          <w:rStyle w:val="51"/>
          <w:rFonts w:hint="default" w:ascii="Times New Roman" w:hAnsi="Times New Roman" w:eastAsia="仿宋_GB2312" w:cs="Times New Roman"/>
          <w:color w:val="auto"/>
          <w:sz w:val="32"/>
          <w:szCs w:val="32"/>
          <w:highlight w:val="none"/>
          <w:lang w:val="en-US" w:eastAsia="zh-CN"/>
        </w:rPr>
        <w:t>25</w:t>
      </w:r>
      <w:r>
        <w:rPr>
          <w:rStyle w:val="51"/>
          <w:rFonts w:hint="eastAsia" w:ascii="仿宋_GB2312" w:hAnsi="仿宋_GB2312" w:eastAsia="仿宋_GB2312" w:cs="仿宋_GB2312"/>
          <w:color w:val="auto"/>
          <w:sz w:val="32"/>
          <w:szCs w:val="32"/>
          <w:highlight w:val="none"/>
          <w:lang w:val="en-US" w:eastAsia="zh-CN"/>
        </w:rPr>
        <w:t>项</w:t>
      </w:r>
      <w:r>
        <w:rPr>
          <w:rStyle w:val="51"/>
          <w:rFonts w:hint="eastAsia" w:ascii="仿宋_GB2312" w:hAnsi="仿宋_GB2312" w:eastAsia="仿宋_GB2312" w:cs="仿宋_GB2312"/>
          <w:color w:val="auto"/>
          <w:sz w:val="32"/>
          <w:szCs w:val="32"/>
          <w:highlight w:val="none"/>
        </w:rPr>
        <w:t>制度集成创新成果入选海南自由贸易港制度集成创新案例，在省内排名前列。营商环境</w:t>
      </w:r>
      <w:r>
        <w:rPr>
          <w:rStyle w:val="51"/>
          <w:rFonts w:hint="eastAsia" w:ascii="仿宋_GB2312" w:hAnsi="仿宋_GB2312" w:eastAsia="仿宋_GB2312" w:cs="仿宋_GB2312"/>
          <w:color w:val="auto"/>
          <w:sz w:val="32"/>
          <w:szCs w:val="32"/>
          <w:highlight w:val="none"/>
          <w:lang w:eastAsia="zh-CN"/>
        </w:rPr>
        <w:t>持续优化</w:t>
      </w:r>
      <w:r>
        <w:rPr>
          <w:rStyle w:val="51"/>
          <w:rFonts w:hint="eastAsia" w:ascii="仿宋_GB2312" w:hAnsi="仿宋_GB2312" w:eastAsia="仿宋_GB2312" w:cs="仿宋_GB2312"/>
          <w:color w:val="auto"/>
          <w:sz w:val="32"/>
          <w:szCs w:val="32"/>
          <w:highlight w:val="none"/>
        </w:rPr>
        <w:t>，</w:t>
      </w:r>
      <w:r>
        <w:rPr>
          <w:rStyle w:val="51"/>
          <w:rFonts w:hint="eastAsia" w:ascii="仿宋_GB2312" w:hAnsi="仿宋_GB2312" w:eastAsia="仿宋_GB2312" w:cs="仿宋_GB2312"/>
          <w:color w:val="auto"/>
          <w:sz w:val="32"/>
          <w:szCs w:val="32"/>
          <w:highlight w:val="none"/>
          <w:lang w:val="en-US" w:eastAsia="zh-CN"/>
        </w:rPr>
        <w:t>推行“一枚印章管审批”新模式</w:t>
      </w:r>
      <w:r>
        <w:rPr>
          <w:rStyle w:val="51"/>
          <w:rFonts w:hint="eastAsia" w:ascii="仿宋_GB2312" w:hAnsi="仿宋_GB2312" w:eastAsia="仿宋_GB2312" w:cs="仿宋_GB2312"/>
          <w:color w:val="auto"/>
          <w:sz w:val="32"/>
          <w:szCs w:val="32"/>
          <w:highlight w:val="none"/>
        </w:rPr>
        <w:t>，实现“一门受理、一套标准、一章审批”，行政审批服务效率大幅提升，全面推广企业筹建“无费区”服务。</w:t>
      </w:r>
      <w:r>
        <w:rPr>
          <w:rStyle w:val="51"/>
          <w:rFonts w:hint="eastAsia" w:ascii="仿宋_GB2312" w:hAnsi="仿宋_GB2312" w:eastAsia="仿宋_GB2312" w:cs="仿宋_GB2312"/>
          <w:color w:val="auto"/>
          <w:sz w:val="32"/>
          <w:szCs w:val="32"/>
          <w:highlight w:val="none"/>
          <w:lang w:val="en-US" w:eastAsia="zh-CN"/>
        </w:rPr>
        <w:t>完成新一轮机构改革和市属国有企业整合重组。</w:t>
      </w:r>
      <w:r>
        <w:rPr>
          <w:rStyle w:val="51"/>
          <w:rFonts w:hint="eastAsia" w:ascii="仿宋_GB2312" w:hAnsi="仿宋_GB2312" w:eastAsia="仿宋_GB2312" w:cs="仿宋_GB2312"/>
          <w:color w:val="auto"/>
          <w:sz w:val="32"/>
          <w:szCs w:val="32"/>
          <w:highlight w:val="none"/>
        </w:rPr>
        <w:t>出台《三亚市促进民营经济发展若干措施》，</w:t>
      </w:r>
      <w:r>
        <w:rPr>
          <w:rStyle w:val="51"/>
          <w:rFonts w:hint="eastAsia" w:ascii="仿宋_GB2312" w:hAnsi="仿宋_GB2312" w:eastAsia="仿宋_GB2312" w:cs="仿宋_GB2312"/>
          <w:color w:val="auto"/>
          <w:sz w:val="32"/>
          <w:szCs w:val="32"/>
          <w:highlight w:val="none"/>
          <w:lang w:eastAsia="zh-CN"/>
        </w:rPr>
        <w:t>设立“民营企业家日”，</w:t>
      </w:r>
      <w:r>
        <w:rPr>
          <w:rStyle w:val="51"/>
          <w:rFonts w:hint="eastAsia" w:ascii="仿宋_GB2312" w:hAnsi="仿宋_GB2312" w:eastAsia="仿宋_GB2312" w:cs="仿宋_GB2312"/>
          <w:color w:val="auto"/>
          <w:sz w:val="32"/>
          <w:szCs w:val="32"/>
          <w:highlight w:val="none"/>
        </w:rPr>
        <w:t>创新海域海岛开发保护全链条闭环管理机制，体制机制活力进一步增强。</w:t>
      </w:r>
    </w:p>
    <w:p>
      <w:pPr>
        <w:pStyle w:val="31"/>
        <w:keepNext w:val="0"/>
        <w:keepLines w:val="0"/>
        <w:pageBreakBefore w:val="0"/>
        <w:widowControl w:val="0"/>
        <w:shd w:val="clear"/>
        <w:kinsoku/>
        <w:wordWrap/>
        <w:overflowPunct/>
        <w:topLinePunct w:val="0"/>
        <w:autoSpaceDE/>
        <w:autoSpaceDN/>
        <w:bidi w:val="0"/>
        <w:adjustRightInd w:val="0"/>
        <w:snapToGrid w:val="0"/>
        <w:spacing w:line="576" w:lineRule="exact"/>
        <w:ind w:firstLine="602"/>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开放</w:t>
      </w:r>
      <w:r>
        <w:rPr>
          <w:rFonts w:hint="eastAsia" w:ascii="仿宋_GB2312" w:hAnsi="仿宋_GB2312" w:eastAsia="仿宋_GB2312" w:cs="仿宋_GB2312"/>
          <w:b/>
          <w:bCs/>
          <w:color w:val="auto"/>
          <w:sz w:val="32"/>
          <w:szCs w:val="32"/>
          <w:highlight w:val="none"/>
          <w:lang w:eastAsia="zh-CN"/>
        </w:rPr>
        <w:t>型经济迸发新活力。</w:t>
      </w:r>
      <w:r>
        <w:rPr>
          <w:rFonts w:hint="default" w:ascii="Times New Roman" w:hAnsi="Times New Roman" w:eastAsia="仿宋_GB2312" w:cs="Times New Roman"/>
          <w:color w:val="auto"/>
          <w:sz w:val="32"/>
          <w:szCs w:val="32"/>
          <w:highlight w:val="none"/>
        </w:rPr>
        <w:t>202</w:t>
      </w:r>
      <w:r>
        <w:rPr>
          <w:rFonts w:hint="eastAsia" w:cs="Times New Roman"/>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年，货物贸易和服务贸易分别达到</w:t>
      </w:r>
      <w:r>
        <w:rPr>
          <w:rFonts w:hint="default" w:ascii="Times New Roman" w:hAnsi="Times New Roman" w:eastAsia="仿宋_GB2312" w:cs="Times New Roman"/>
          <w:color w:val="auto"/>
          <w:sz w:val="32"/>
          <w:szCs w:val="32"/>
          <w:highlight w:val="none"/>
          <w:lang w:val="en-US" w:eastAsia="zh-CN"/>
        </w:rPr>
        <w:t>3</w:t>
      </w:r>
      <w:r>
        <w:rPr>
          <w:rFonts w:hint="eastAsia" w:cs="Times New Roman"/>
          <w:color w:val="auto"/>
          <w:sz w:val="32"/>
          <w:szCs w:val="32"/>
          <w:highlight w:val="none"/>
          <w:lang w:val="en-US" w:eastAsia="zh-CN"/>
        </w:rPr>
        <w:t>32</w:t>
      </w:r>
      <w:r>
        <w:rPr>
          <w:rFonts w:hint="default" w:ascii="仿宋_GB2312" w:hAnsi="仿宋_GB2312" w:eastAsia="仿宋_GB2312" w:cs="仿宋_GB2312"/>
          <w:color w:val="auto"/>
          <w:sz w:val="32"/>
          <w:szCs w:val="32"/>
          <w:highlight w:val="none"/>
          <w:lang w:val="en-US" w:eastAsia="zh-CN"/>
        </w:rPr>
        <w:t>.</w:t>
      </w:r>
      <w:r>
        <w:rPr>
          <w:rFonts w:hint="eastAsia" w:cs="Times New Roman"/>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亿元、</w:t>
      </w:r>
      <w:r>
        <w:rPr>
          <w:rFonts w:hint="eastAsia" w:cs="Times New Roman"/>
          <w:color w:val="auto"/>
          <w:sz w:val="32"/>
          <w:szCs w:val="32"/>
          <w:highlight w:val="none"/>
          <w:lang w:val="en-US" w:eastAsia="zh-CN"/>
        </w:rPr>
        <w:t>127</w:t>
      </w:r>
      <w:r>
        <w:rPr>
          <w:rFonts w:hint="eastAsia" w:ascii="仿宋_GB2312" w:hAnsi="仿宋_GB2312" w:eastAsia="仿宋_GB2312" w:cs="仿宋_GB2312"/>
          <w:color w:val="auto"/>
          <w:sz w:val="32"/>
          <w:szCs w:val="32"/>
          <w:highlight w:val="none"/>
          <w:lang w:val="en-US" w:eastAsia="zh-CN"/>
        </w:rPr>
        <w:t>.</w:t>
      </w:r>
      <w:r>
        <w:rPr>
          <w:rFonts w:hint="eastAsia" w:cs="Times New Roman"/>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亿元，增长</w:t>
      </w:r>
      <w:r>
        <w:rPr>
          <w:rFonts w:hint="eastAsia" w:cs="Times New Roman"/>
          <w:color w:val="auto"/>
          <w:sz w:val="32"/>
          <w:szCs w:val="32"/>
          <w:highlight w:val="none"/>
          <w:lang w:val="en-US" w:eastAsia="zh-CN"/>
        </w:rPr>
        <w:t>7.8</w:t>
      </w:r>
      <w:r>
        <w:rPr>
          <w:rFonts w:hint="default" w:ascii="Times New Roman" w:hAnsi="Times New Roman" w:eastAsia="仿宋_GB2312" w:cs="Times New Roman"/>
          <w:color w:val="auto"/>
          <w:sz w:val="32"/>
          <w:szCs w:val="32"/>
          <w:highlight w:val="none"/>
        </w:rPr>
        <w:t>%</w:t>
      </w:r>
      <w:r>
        <w:rPr>
          <w:rFonts w:hint="eastAsia" w:ascii="仿宋_GB2312" w:hAnsi="仿宋_GB2312" w:eastAsia="仿宋_GB2312" w:cs="仿宋_GB2312"/>
          <w:color w:val="auto"/>
          <w:sz w:val="32"/>
          <w:szCs w:val="32"/>
          <w:highlight w:val="none"/>
        </w:rPr>
        <w:t>、</w:t>
      </w:r>
      <w:r>
        <w:rPr>
          <w:rFonts w:hint="eastAsia" w:cs="Times New Roman"/>
          <w:color w:val="auto"/>
          <w:sz w:val="32"/>
          <w:szCs w:val="32"/>
          <w:highlight w:val="none"/>
          <w:lang w:val="en-US" w:eastAsia="zh-CN"/>
        </w:rPr>
        <w:t>50.3</w:t>
      </w:r>
      <w:r>
        <w:rPr>
          <w:rFonts w:hint="default" w:ascii="Times New Roman" w:hAnsi="Times New Roman" w:eastAsia="仿宋_GB2312" w:cs="Times New Roman"/>
          <w:color w:val="auto"/>
          <w:sz w:val="32"/>
          <w:szCs w:val="32"/>
          <w:highlight w:val="none"/>
        </w:rPr>
        <w:t>%</w:t>
      </w:r>
      <w:r>
        <w:rPr>
          <w:rFonts w:hint="eastAsia" w:ascii="仿宋_GB2312" w:hAnsi="仿宋_GB2312" w:eastAsia="仿宋_GB2312" w:cs="仿宋_GB2312"/>
          <w:color w:val="auto"/>
          <w:sz w:val="32"/>
          <w:szCs w:val="32"/>
          <w:highlight w:val="none"/>
        </w:rPr>
        <w:t>，跨境电商、大宗商品交易、二手车出口等新业态加快发展，中国版权保护中心海南分中心</w:t>
      </w:r>
      <w:r>
        <w:rPr>
          <w:rFonts w:hint="eastAsia" w:ascii="仿宋_GB2312" w:hAnsi="仿宋_GB2312" w:cs="仿宋_GB2312"/>
          <w:color w:val="auto"/>
          <w:sz w:val="32"/>
          <w:szCs w:val="32"/>
          <w:highlight w:val="none"/>
          <w:lang w:eastAsia="zh-CN"/>
        </w:rPr>
        <w:t>（崖州湾科技城）</w:t>
      </w:r>
      <w:r>
        <w:rPr>
          <w:rFonts w:hint="eastAsia" w:ascii="仿宋_GB2312" w:hAnsi="仿宋_GB2312" w:eastAsia="仿宋_GB2312" w:cs="仿宋_GB2312"/>
          <w:color w:val="auto"/>
          <w:sz w:val="32"/>
          <w:szCs w:val="32"/>
          <w:highlight w:val="none"/>
        </w:rPr>
        <w:t>达成国际版权实质性交易。</w:t>
      </w:r>
      <w:r>
        <w:rPr>
          <w:rFonts w:hint="eastAsia" w:ascii="仿宋_GB2312" w:hAnsi="仿宋_GB2312" w:cs="仿宋_GB2312"/>
          <w:color w:val="auto"/>
          <w:sz w:val="32"/>
          <w:szCs w:val="32"/>
          <w:highlight w:val="none"/>
          <w:lang w:eastAsia="zh-CN"/>
        </w:rPr>
        <w:t>实际</w:t>
      </w:r>
      <w:r>
        <w:rPr>
          <w:rFonts w:hint="eastAsia" w:ascii="仿宋_GB2312" w:hAnsi="仿宋_GB2312" w:eastAsia="仿宋_GB2312" w:cs="仿宋_GB2312"/>
          <w:color w:val="auto"/>
          <w:sz w:val="32"/>
          <w:szCs w:val="32"/>
          <w:highlight w:val="none"/>
        </w:rPr>
        <w:t>利用外资</w:t>
      </w:r>
      <w:r>
        <w:rPr>
          <w:rFonts w:hint="eastAsia" w:ascii="仿宋_GB2312" w:hAnsi="仿宋_GB2312" w:cs="仿宋_GB2312"/>
          <w:color w:val="auto"/>
          <w:sz w:val="32"/>
          <w:szCs w:val="32"/>
          <w:highlight w:val="none"/>
          <w:lang w:eastAsia="zh-CN"/>
        </w:rPr>
        <w:t>总额超</w:t>
      </w:r>
      <w:r>
        <w:rPr>
          <w:rFonts w:hint="eastAsia" w:cs="Times New Roman"/>
          <w:color w:val="auto"/>
          <w:sz w:val="32"/>
          <w:szCs w:val="32"/>
          <w:highlight w:val="none"/>
          <w:lang w:val="en-US" w:eastAsia="zh-CN"/>
        </w:rPr>
        <w:t>236</w:t>
      </w:r>
      <w:r>
        <w:rPr>
          <w:rFonts w:hint="eastAsia" w:ascii="仿宋_GB2312" w:hAnsi="仿宋_GB2312" w:eastAsia="仿宋_GB2312" w:cs="仿宋_GB2312"/>
          <w:color w:val="auto"/>
          <w:sz w:val="32"/>
          <w:szCs w:val="32"/>
          <w:highlight w:val="none"/>
        </w:rPr>
        <w:t>亿元，一批龙头链主企业以三亚为出海总部基地开展国际业务，合格境外有限合伙人</w:t>
      </w:r>
      <w:r>
        <w:rPr>
          <w:rFonts w:hint="eastAsia" w:ascii="仿宋_GB2312" w:hAnsi="仿宋_GB2312" w:cs="仿宋_GB2312"/>
          <w:color w:val="auto"/>
          <w:sz w:val="32"/>
          <w:szCs w:val="32"/>
          <w:highlight w:val="none"/>
          <w:lang w:eastAsia="zh-CN"/>
        </w:rPr>
        <w:t>（</w:t>
      </w:r>
      <w:r>
        <w:rPr>
          <w:rFonts w:hint="default" w:ascii="Times New Roman" w:hAnsi="Times New Roman" w:eastAsia="仿宋_GB2312" w:cs="Times New Roman"/>
          <w:color w:val="auto"/>
          <w:sz w:val="32"/>
          <w:szCs w:val="32"/>
          <w:highlight w:val="none"/>
        </w:rPr>
        <w:t>QFLP</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、合格境内有限合伙人</w:t>
      </w:r>
      <w:r>
        <w:rPr>
          <w:rFonts w:hint="eastAsia" w:ascii="仿宋_GB2312" w:hAnsi="仿宋_GB2312" w:cs="仿宋_GB2312"/>
          <w:color w:val="auto"/>
          <w:sz w:val="32"/>
          <w:szCs w:val="32"/>
          <w:highlight w:val="none"/>
          <w:lang w:eastAsia="zh-CN"/>
        </w:rPr>
        <w:t>（</w:t>
      </w:r>
      <w:r>
        <w:rPr>
          <w:rFonts w:hint="default" w:ascii="Times New Roman" w:hAnsi="Times New Roman" w:eastAsia="仿宋_GB2312" w:cs="Times New Roman"/>
          <w:color w:val="auto"/>
          <w:sz w:val="32"/>
          <w:szCs w:val="32"/>
          <w:highlight w:val="none"/>
        </w:rPr>
        <w:t>QDLP</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试点规模分别占全省</w:t>
      </w:r>
      <w:r>
        <w:rPr>
          <w:rFonts w:hint="default" w:ascii="Times New Roman" w:hAnsi="Times New Roman" w:eastAsia="仿宋_GB2312" w:cs="Times New Roman"/>
          <w:color w:val="auto"/>
          <w:sz w:val="32"/>
          <w:szCs w:val="32"/>
          <w:highlight w:val="none"/>
        </w:rPr>
        <w:t>50%</w:t>
      </w:r>
      <w:r>
        <w:rPr>
          <w:rFonts w:hint="eastAsia" w:ascii="仿宋_GB2312" w:hAnsi="仿宋_GB2312" w:eastAsia="仿宋_GB2312" w:cs="仿宋_GB2312"/>
          <w:color w:val="auto"/>
          <w:sz w:val="32"/>
          <w:szCs w:val="32"/>
          <w:highlight w:val="none"/>
        </w:rPr>
        <w:t>和</w:t>
      </w:r>
      <w:r>
        <w:rPr>
          <w:rFonts w:hint="default" w:ascii="Times New Roman" w:hAnsi="Times New Roman" w:eastAsia="仿宋_GB2312" w:cs="Times New Roman"/>
          <w:color w:val="auto"/>
          <w:sz w:val="32"/>
          <w:szCs w:val="32"/>
          <w:highlight w:val="none"/>
        </w:rPr>
        <w:t>30%</w:t>
      </w:r>
      <w:r>
        <w:rPr>
          <w:rFonts w:hint="eastAsia" w:ascii="仿宋_GB2312" w:hAnsi="仿宋_GB2312" w:eastAsia="仿宋_GB2312" w:cs="仿宋_GB2312"/>
          <w:color w:val="auto"/>
          <w:sz w:val="32"/>
          <w:szCs w:val="32"/>
          <w:highlight w:val="none"/>
        </w:rPr>
        <w:t>以上。</w:t>
      </w:r>
      <w:r>
        <w:rPr>
          <w:rFonts w:hint="eastAsia" w:ascii="仿宋_GB2312" w:hAnsi="仿宋_GB2312" w:eastAsia="仿宋_GB2312" w:cs="仿宋_GB2312"/>
          <w:color w:val="auto"/>
          <w:sz w:val="32"/>
          <w:szCs w:val="32"/>
          <w:highlight w:val="none"/>
          <w:lang w:val="en-US" w:eastAsia="zh-CN"/>
        </w:rPr>
        <w:t>国际友好城市版图不断扩展，</w:t>
      </w:r>
      <w:r>
        <w:rPr>
          <w:rFonts w:hint="eastAsia" w:ascii="仿宋_GB2312" w:hAnsi="仿宋_GB2312" w:eastAsia="仿宋_GB2312" w:cs="仿宋_GB2312"/>
          <w:color w:val="auto"/>
          <w:sz w:val="32"/>
          <w:szCs w:val="32"/>
          <w:highlight w:val="none"/>
        </w:rPr>
        <w:t>法兰克福</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曼谷</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三亚等第五航权客货运航线</w:t>
      </w:r>
      <w:r>
        <w:rPr>
          <w:rFonts w:hint="eastAsia" w:ascii="仿宋_GB2312" w:hAnsi="仿宋_GB2312" w:eastAsia="仿宋_GB2312" w:cs="仿宋_GB2312"/>
          <w:color w:val="auto"/>
          <w:sz w:val="32"/>
          <w:szCs w:val="32"/>
          <w:highlight w:val="none"/>
          <w:lang w:eastAsia="zh-CN"/>
        </w:rPr>
        <w:t>、海南省首条第七航权三亚</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eastAsia="zh-CN"/>
        </w:rPr>
        <w:t>布拉格客运航线</w:t>
      </w:r>
      <w:r>
        <w:rPr>
          <w:rFonts w:hint="eastAsia" w:ascii="仿宋_GB2312" w:hAnsi="仿宋_GB2312" w:eastAsia="仿宋_GB2312" w:cs="仿宋_GB2312"/>
          <w:color w:val="auto"/>
          <w:sz w:val="32"/>
          <w:szCs w:val="32"/>
          <w:highlight w:val="none"/>
        </w:rPr>
        <w:t>成功开通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“名胜世界壹号”等境外邮轮相继开通三亚航线，</w:t>
      </w:r>
      <w:r>
        <w:rPr>
          <w:rFonts w:hint="default" w:ascii="Times New Roman" w:hAnsi="Times New Roman" w:eastAsia="仿宋_GB2312" w:cs="Times New Roman"/>
          <w:color w:val="auto"/>
          <w:sz w:val="32"/>
          <w:szCs w:val="32"/>
          <w:highlight w:val="none"/>
        </w:rPr>
        <w:t>86</w:t>
      </w:r>
      <w:r>
        <w:rPr>
          <w:rFonts w:hint="eastAsia" w:ascii="仿宋_GB2312" w:hAnsi="仿宋_GB2312" w:eastAsia="仿宋_GB2312" w:cs="仿宋_GB2312"/>
          <w:color w:val="auto"/>
          <w:sz w:val="32"/>
          <w:szCs w:val="32"/>
          <w:highlight w:val="none"/>
        </w:rPr>
        <w:t>国人员入境免签政策效应凸显。成功举办全球热带农业创新大会、第</w:t>
      </w:r>
      <w:r>
        <w:rPr>
          <w:rFonts w:hint="default" w:ascii="Times New Roman" w:hAnsi="Times New Roman" w:eastAsia="仿宋_GB2312" w:cs="Times New Roman"/>
          <w:color w:val="auto"/>
          <w:sz w:val="32"/>
          <w:szCs w:val="32"/>
          <w:highlight w:val="none"/>
        </w:rPr>
        <w:t>29</w:t>
      </w:r>
      <w:r>
        <w:rPr>
          <w:rFonts w:hint="eastAsia" w:ascii="仿宋_GB2312" w:hAnsi="仿宋_GB2312" w:eastAsia="仿宋_GB2312" w:cs="仿宋_GB2312"/>
          <w:color w:val="auto"/>
          <w:sz w:val="32"/>
          <w:szCs w:val="32"/>
          <w:highlight w:val="none"/>
        </w:rPr>
        <w:t>届亚洲种子大会、第二届中非农业合作论坛等国际级农业科技大会。</w:t>
      </w:r>
    </w:p>
    <w:p>
      <w:pPr>
        <w:pStyle w:val="31"/>
        <w:keepNext w:val="0"/>
        <w:keepLines w:val="0"/>
        <w:pageBreakBefore w:val="0"/>
        <w:widowControl w:val="0"/>
        <w:shd w:val="clear"/>
        <w:kinsoku/>
        <w:wordWrap/>
        <w:overflowPunct/>
        <w:topLinePunct w:val="0"/>
        <w:autoSpaceDE/>
        <w:autoSpaceDN/>
        <w:bidi w:val="0"/>
        <w:adjustRightInd w:val="0"/>
        <w:snapToGrid w:val="0"/>
        <w:spacing w:line="576" w:lineRule="exact"/>
        <w:ind w:firstLine="602"/>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科技创新</w:t>
      </w:r>
      <w:r>
        <w:rPr>
          <w:rFonts w:hint="eastAsia" w:ascii="仿宋_GB2312" w:hAnsi="仿宋_GB2312" w:eastAsia="仿宋_GB2312" w:cs="仿宋_GB2312"/>
          <w:b/>
          <w:bCs/>
          <w:color w:val="auto"/>
          <w:sz w:val="32"/>
          <w:szCs w:val="32"/>
          <w:highlight w:val="none"/>
          <w:lang w:eastAsia="zh-CN"/>
        </w:rPr>
        <w:t>筑造</w:t>
      </w:r>
      <w:r>
        <w:rPr>
          <w:rFonts w:hint="eastAsia" w:ascii="仿宋_GB2312" w:hAnsi="仿宋_GB2312" w:eastAsia="仿宋_GB2312" w:cs="仿宋_GB2312"/>
          <w:b/>
          <w:bCs/>
          <w:color w:val="auto"/>
          <w:sz w:val="32"/>
          <w:szCs w:val="32"/>
          <w:highlight w:val="none"/>
        </w:rPr>
        <w:t>新</w:t>
      </w:r>
      <w:r>
        <w:rPr>
          <w:rFonts w:hint="eastAsia" w:ascii="仿宋_GB2312" w:hAnsi="仿宋_GB2312" w:eastAsia="仿宋_GB2312" w:cs="仿宋_GB2312"/>
          <w:b/>
          <w:bCs/>
          <w:color w:val="auto"/>
          <w:sz w:val="32"/>
          <w:szCs w:val="32"/>
          <w:highlight w:val="none"/>
          <w:lang w:eastAsia="zh-CN"/>
        </w:rPr>
        <w:t>动能</w:t>
      </w:r>
      <w:r>
        <w:rPr>
          <w:rFonts w:hint="eastAsia" w:ascii="仿宋_GB2312" w:hAnsi="仿宋_GB2312" w:eastAsia="仿宋_GB2312" w:cs="仿宋_GB2312"/>
          <w:b/>
          <w:bCs/>
          <w:color w:val="auto"/>
          <w:sz w:val="32"/>
          <w:szCs w:val="32"/>
          <w:highlight w:val="none"/>
        </w:rPr>
        <w:t>。</w:t>
      </w: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年全社会研究与试验发展经费投入强度达到</w:t>
      </w:r>
      <w:r>
        <w:rPr>
          <w:rFonts w:hint="default" w:ascii="Times New Roman" w:hAnsi="Times New Roman" w:eastAsia="仿宋_GB2312" w:cs="Times New Roman"/>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w:t>
      </w:r>
      <w:r>
        <w:rPr>
          <w:rFonts w:hint="eastAsia" w:ascii="仿宋_GB2312" w:hAnsi="仿宋_GB2312" w:eastAsia="仿宋_GB2312" w:cs="仿宋_GB2312"/>
          <w:color w:val="auto"/>
          <w:sz w:val="32"/>
          <w:szCs w:val="32"/>
          <w:highlight w:val="none"/>
        </w:rPr>
        <w:t>，分别高于全国、全省平均水平</w:t>
      </w:r>
      <w:r>
        <w:rPr>
          <w:rFonts w:hint="default" w:ascii="Times New Roman" w:hAnsi="Times New Roman" w:eastAsia="仿宋_GB2312" w:cs="Times New Roman"/>
          <w:color w:val="auto"/>
          <w:sz w:val="32"/>
          <w:szCs w:val="32"/>
          <w:highlight w:val="none"/>
        </w:rPr>
        <w:t>1</w:t>
      </w:r>
      <w:r>
        <w:rPr>
          <w:rFonts w:hint="eastAsia" w:ascii="仿宋_GB2312" w:hAnsi="仿宋_GB2312" w:eastAsia="仿宋_GB2312" w:cs="仿宋_GB2312"/>
          <w:color w:val="auto"/>
          <w:sz w:val="32"/>
          <w:szCs w:val="32"/>
          <w:highlight w:val="none"/>
        </w:rPr>
        <w:t>.</w:t>
      </w:r>
      <w:r>
        <w:rPr>
          <w:rFonts w:hint="default" w:ascii="Times New Roman" w:hAnsi="Times New Roman" w:eastAsia="仿宋_GB2312" w:cs="Times New Roman"/>
          <w:color w:val="auto"/>
          <w:sz w:val="32"/>
          <w:szCs w:val="32"/>
          <w:highlight w:val="none"/>
        </w:rPr>
        <w:t>5</w:t>
      </w:r>
      <w:r>
        <w:rPr>
          <w:rFonts w:hint="eastAsia" w:ascii="仿宋_GB2312" w:hAnsi="仿宋_GB2312" w:eastAsia="仿宋_GB2312" w:cs="仿宋_GB2312"/>
          <w:color w:val="auto"/>
          <w:sz w:val="32"/>
          <w:szCs w:val="32"/>
          <w:highlight w:val="none"/>
        </w:rPr>
        <w:t>、</w:t>
      </w:r>
      <w:r>
        <w:rPr>
          <w:rFonts w:hint="default" w:ascii="Times New Roman" w:hAnsi="Times New Roman" w:eastAsia="仿宋_GB2312" w:cs="Times New Roman"/>
          <w:color w:val="auto"/>
          <w:sz w:val="32"/>
          <w:szCs w:val="32"/>
          <w:highlight w:val="none"/>
        </w:rPr>
        <w:t>2</w:t>
      </w:r>
      <w:r>
        <w:rPr>
          <w:rFonts w:hint="eastAsia" w:ascii="仿宋_GB2312" w:hAnsi="仿宋_GB2312" w:eastAsia="仿宋_GB2312" w:cs="仿宋_GB2312"/>
          <w:color w:val="auto"/>
          <w:sz w:val="32"/>
          <w:szCs w:val="32"/>
          <w:highlight w:val="none"/>
        </w:rPr>
        <w:t>.</w:t>
      </w:r>
      <w:r>
        <w:rPr>
          <w:rFonts w:hint="default" w:ascii="Times New Roman" w:hAnsi="Times New Roman" w:eastAsia="仿宋_GB2312" w:cs="Times New Roman"/>
          <w:color w:val="auto"/>
          <w:sz w:val="32"/>
          <w:szCs w:val="32"/>
          <w:highlight w:val="none"/>
        </w:rPr>
        <w:t>8</w:t>
      </w:r>
      <w:r>
        <w:rPr>
          <w:rFonts w:hint="eastAsia" w:ascii="仿宋_GB2312" w:hAnsi="仿宋_GB2312" w:eastAsia="仿宋_GB2312" w:cs="仿宋_GB2312"/>
          <w:color w:val="auto"/>
          <w:sz w:val="32"/>
          <w:szCs w:val="32"/>
          <w:highlight w:val="none"/>
        </w:rPr>
        <w:t>个百分点。</w:t>
      </w:r>
      <w:r>
        <w:rPr>
          <w:rFonts w:hint="default" w:ascii="Times New Roman" w:hAnsi="Times New Roman" w:eastAsia="仿宋_GB2312" w:cs="Times New Roman"/>
          <w:color w:val="auto"/>
          <w:sz w:val="32"/>
          <w:szCs w:val="32"/>
          <w:highlight w:val="none"/>
          <w:lang w:val="en-US" w:eastAsia="zh-CN"/>
        </w:rPr>
        <w:t>2025</w:t>
      </w:r>
      <w:r>
        <w:rPr>
          <w:rFonts w:hint="eastAsia" w:ascii="仿宋_GB2312" w:hAnsi="仿宋_GB2312" w:eastAsia="仿宋_GB2312" w:cs="仿宋_GB2312"/>
          <w:color w:val="auto"/>
          <w:sz w:val="32"/>
          <w:szCs w:val="32"/>
          <w:highlight w:val="none"/>
          <w:lang w:val="en-US" w:eastAsia="zh-CN"/>
        </w:rPr>
        <w:t>年，</w:t>
      </w:r>
      <w:r>
        <w:rPr>
          <w:rFonts w:hint="eastAsia" w:ascii="仿宋_GB2312" w:hAnsi="仿宋_GB2312" w:eastAsia="仿宋_GB2312" w:cs="仿宋_GB2312"/>
          <w:color w:val="auto"/>
          <w:sz w:val="32"/>
          <w:szCs w:val="32"/>
          <w:highlight w:val="none"/>
        </w:rPr>
        <w:t>全市高新技术企业达到</w:t>
      </w:r>
      <w:r>
        <w:rPr>
          <w:rFonts w:hint="eastAsia" w:cs="Times New Roman"/>
          <w:color w:val="auto"/>
          <w:sz w:val="32"/>
          <w:szCs w:val="32"/>
          <w:highlight w:val="none"/>
          <w:lang w:val="en-US" w:eastAsia="zh-CN"/>
        </w:rPr>
        <w:t>189</w:t>
      </w:r>
      <w:r>
        <w:rPr>
          <w:rFonts w:hint="eastAsia" w:ascii="仿宋_GB2312" w:hAnsi="仿宋_GB2312" w:eastAsia="仿宋_GB2312" w:cs="仿宋_GB2312"/>
          <w:color w:val="auto"/>
          <w:sz w:val="32"/>
          <w:szCs w:val="32"/>
          <w:highlight w:val="none"/>
        </w:rPr>
        <w:t>家，“专精特新”中小企业达到</w:t>
      </w:r>
      <w:r>
        <w:rPr>
          <w:rFonts w:hint="eastAsia" w:cs="Times New Roman"/>
          <w:color w:val="auto"/>
          <w:sz w:val="32"/>
          <w:szCs w:val="32"/>
          <w:highlight w:val="none"/>
          <w:lang w:val="en-US" w:eastAsia="zh-CN"/>
        </w:rPr>
        <w:t>50</w:t>
      </w:r>
      <w:r>
        <w:rPr>
          <w:rFonts w:hint="eastAsia" w:ascii="仿宋_GB2312" w:hAnsi="仿宋_GB2312" w:eastAsia="仿宋_GB2312" w:cs="仿宋_GB2312"/>
          <w:color w:val="auto"/>
          <w:sz w:val="32"/>
          <w:szCs w:val="32"/>
          <w:highlight w:val="none"/>
        </w:rPr>
        <w:t>家，创新型中小企业达到</w:t>
      </w:r>
      <w:r>
        <w:rPr>
          <w:rFonts w:hint="eastAsia" w:cs="Times New Roman"/>
          <w:color w:val="auto"/>
          <w:sz w:val="32"/>
          <w:szCs w:val="32"/>
          <w:highlight w:val="none"/>
          <w:lang w:val="en-US" w:eastAsia="zh-CN"/>
        </w:rPr>
        <w:t>249</w:t>
      </w:r>
      <w:r>
        <w:rPr>
          <w:rFonts w:hint="eastAsia" w:ascii="仿宋_GB2312" w:hAnsi="仿宋_GB2312" w:eastAsia="仿宋_GB2312" w:cs="仿宋_GB2312"/>
          <w:color w:val="auto"/>
          <w:sz w:val="32"/>
          <w:szCs w:val="32"/>
          <w:highlight w:val="none"/>
        </w:rPr>
        <w:t>家。</w:t>
      </w:r>
      <w:r>
        <w:rPr>
          <w:rFonts w:hint="eastAsia" w:ascii="仿宋_GB2312" w:hAnsi="仿宋_GB2312" w:eastAsia="仿宋_GB2312" w:cs="仿宋_GB2312"/>
          <w:i w:val="0"/>
          <w:caps w:val="0"/>
          <w:color w:val="auto"/>
          <w:spacing w:val="0"/>
          <w:kern w:val="2"/>
          <w:sz w:val="32"/>
          <w:szCs w:val="32"/>
          <w:highlight w:val="none"/>
          <w:shd w:val="clear" w:color="auto" w:fill="FFFFFF"/>
          <w:lang w:val="en-US" w:eastAsia="zh-CN" w:bidi="ar"/>
        </w:rPr>
        <w:t>崖州湾科技城高新区创</w:t>
      </w:r>
      <w:r>
        <w:rPr>
          <w:rFonts w:hint="eastAsia" w:ascii="仿宋_GB2312" w:hAnsi="仿宋_GB2312" w:eastAsia="仿宋_GB2312" w:cs="仿宋_GB2312"/>
          <w:i w:val="0"/>
          <w:caps w:val="0"/>
          <w:color w:val="auto"/>
          <w:spacing w:val="6"/>
          <w:kern w:val="2"/>
          <w:sz w:val="32"/>
          <w:szCs w:val="32"/>
          <w:highlight w:val="none"/>
          <w:shd w:val="clear" w:color="auto" w:fill="FFFFFF"/>
          <w:lang w:val="en-US" w:eastAsia="zh-CN" w:bidi="ar"/>
        </w:rPr>
        <w:t>新引擎作用凸显，集聚</w:t>
      </w:r>
      <w:r>
        <w:rPr>
          <w:rFonts w:hint="eastAsia" w:ascii="仿宋_GB2312" w:hAnsi="仿宋_GB2312" w:eastAsia="仿宋_GB2312" w:cs="仿宋_GB2312"/>
          <w:bCs/>
          <w:color w:val="auto"/>
          <w:spacing w:val="6"/>
          <w:sz w:val="32"/>
          <w:szCs w:val="32"/>
          <w:highlight w:val="none"/>
        </w:rPr>
        <w:t>崖州湾国家实验室、</w:t>
      </w:r>
      <w:r>
        <w:rPr>
          <w:rFonts w:hint="eastAsia" w:ascii="仿宋_GB2312" w:hAnsi="仿宋_GB2312" w:eastAsia="仿宋_GB2312" w:cs="仿宋_GB2312"/>
          <w:color w:val="auto"/>
          <w:spacing w:val="6"/>
          <w:sz w:val="32"/>
          <w:szCs w:val="32"/>
          <w:highlight w:val="none"/>
        </w:rPr>
        <w:t>国家耐盐碱水稻技术</w:t>
      </w:r>
      <w:r>
        <w:rPr>
          <w:rFonts w:hint="eastAsia" w:ascii="仿宋_GB2312" w:hAnsi="仿宋_GB2312" w:eastAsia="仿宋_GB2312" w:cs="仿宋_GB2312"/>
          <w:color w:val="auto"/>
          <w:sz w:val="32"/>
          <w:szCs w:val="32"/>
          <w:highlight w:val="none"/>
        </w:rPr>
        <w:t>创新中心等</w:t>
      </w:r>
      <w:r>
        <w:rPr>
          <w:rFonts w:hint="default" w:ascii="Times New Roman" w:hAnsi="Times New Roman" w:eastAsia="仿宋_GB2312" w:cs="Times New Roman"/>
          <w:color w:val="auto"/>
          <w:sz w:val="32"/>
          <w:szCs w:val="32"/>
          <w:highlight w:val="none"/>
          <w:lang w:val="en-US" w:eastAsia="zh-CN"/>
        </w:rPr>
        <w:t>5</w:t>
      </w:r>
      <w:r>
        <w:rPr>
          <w:rFonts w:hint="eastAsia" w:cs="Times New Roman"/>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个国家级</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省部级科创平台。支持科技成果转化新模式，规范科研项目评审、立项和经</w:t>
      </w:r>
      <w:r>
        <w:rPr>
          <w:rFonts w:hint="eastAsia" w:ascii="仿宋_GB2312" w:hAnsi="仿宋_GB2312" w:eastAsia="仿宋_GB2312" w:cs="仿宋_GB2312"/>
          <w:color w:val="auto"/>
          <w:sz w:val="32"/>
          <w:szCs w:val="32"/>
          <w:highlight w:val="none"/>
          <w:shd w:val="clear" w:color="auto" w:fill="auto"/>
        </w:rPr>
        <w:t>费管理，优化科技创新平台考核监督，大力推进教育科技人才一体化发展，</w:t>
      </w:r>
      <w:r>
        <w:rPr>
          <w:rFonts w:hint="eastAsia" w:ascii="仿宋_GB2312" w:hAnsi="仿宋_GB2312" w:eastAsia="仿宋_GB2312" w:cs="仿宋_GB2312"/>
          <w:color w:val="auto"/>
          <w:sz w:val="32"/>
          <w:szCs w:val="32"/>
          <w:highlight w:val="none"/>
        </w:rPr>
        <w:t>创新生态的吸引力持续增强。</w:t>
      </w:r>
    </w:p>
    <w:p>
      <w:pPr>
        <w:pStyle w:val="31"/>
        <w:keepNext w:val="0"/>
        <w:keepLines w:val="0"/>
        <w:pageBreakBefore w:val="0"/>
        <w:widowControl w:val="0"/>
        <w:shd w:val="clear"/>
        <w:kinsoku/>
        <w:wordWrap/>
        <w:overflowPunct/>
        <w:topLinePunct w:val="0"/>
        <w:autoSpaceDE/>
        <w:autoSpaceDN/>
        <w:bidi w:val="0"/>
        <w:adjustRightInd w:val="0"/>
        <w:snapToGrid w:val="0"/>
        <w:spacing w:line="576" w:lineRule="exact"/>
        <w:ind w:firstLine="602"/>
        <w:textAlignment w:val="auto"/>
        <w:rPr>
          <w:rFonts w:hint="eastAsia" w:ascii="仿宋_GB2312" w:hAnsi="仿宋_GB2312" w:eastAsia="仿宋_GB2312" w:cs="仿宋_GB2312"/>
          <w:b/>
          <w:bCs/>
          <w:color w:val="auto"/>
          <w:sz w:val="32"/>
          <w:szCs w:val="32"/>
          <w:highlight w:val="none"/>
          <w:lang w:eastAsia="zh-CN"/>
        </w:rPr>
      </w:pPr>
      <w:r>
        <w:rPr>
          <w:rFonts w:hint="eastAsia" w:ascii="仿宋_GB2312" w:hAnsi="仿宋_GB2312" w:eastAsia="仿宋_GB2312" w:cs="仿宋_GB2312"/>
          <w:b/>
          <w:bCs/>
          <w:color w:val="auto"/>
          <w:sz w:val="32"/>
          <w:szCs w:val="32"/>
          <w:highlight w:val="none"/>
        </w:rPr>
        <w:t>现代化产业体系</w:t>
      </w:r>
      <w:r>
        <w:rPr>
          <w:rFonts w:hint="eastAsia" w:ascii="仿宋_GB2312" w:hAnsi="仿宋_GB2312" w:eastAsia="仿宋_GB2312" w:cs="仿宋_GB2312"/>
          <w:b/>
          <w:bCs/>
          <w:color w:val="auto"/>
          <w:sz w:val="32"/>
          <w:szCs w:val="32"/>
          <w:highlight w:val="none"/>
          <w:lang w:eastAsia="zh-CN"/>
        </w:rPr>
        <w:t>加速构建</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i w:val="0"/>
          <w:caps w:val="0"/>
          <w:color w:val="auto"/>
          <w:spacing w:val="0"/>
          <w:kern w:val="2"/>
          <w:sz w:val="32"/>
          <w:szCs w:val="32"/>
          <w:highlight w:val="none"/>
          <w:shd w:val="clear" w:color="auto" w:fill="FFFFFF"/>
          <w:lang w:val="en-US" w:eastAsia="zh-CN" w:bidi="ar"/>
        </w:rPr>
        <w:t>旅游业、现代服务业、高新技术产业、热带特色高效农业“四大主导产业”补链延链、优化升级，种业和深海“两大</w:t>
      </w:r>
      <w:r>
        <w:rPr>
          <w:rFonts w:hint="eastAsia" w:ascii="仿宋_GB2312" w:hAnsi="仿宋_GB2312" w:eastAsia="仿宋_GB2312" w:cs="仿宋_GB2312"/>
          <w:color w:val="auto"/>
          <w:sz w:val="32"/>
          <w:szCs w:val="32"/>
          <w:highlight w:val="none"/>
          <w:lang w:val="en-US" w:eastAsia="zh-CN"/>
        </w:rPr>
        <w:t>未来产业”积厚成势。</w:t>
      </w:r>
      <w:r>
        <w:rPr>
          <w:rFonts w:hint="eastAsia" w:ascii="仿宋_GB2312" w:hAnsi="仿宋_GB2312" w:eastAsia="仿宋_GB2312" w:cs="仿宋_GB2312"/>
          <w:color w:val="auto"/>
          <w:sz w:val="32"/>
          <w:szCs w:val="32"/>
          <w:highlight w:val="none"/>
        </w:rPr>
        <w:t>国际旅游消费中心核心区建设扎实推进，</w:t>
      </w:r>
      <w:r>
        <w:rPr>
          <w:rFonts w:hint="eastAsia" w:ascii="仿宋_GB2312" w:hAnsi="仿宋_GB2312" w:eastAsia="仿宋_GB2312" w:cs="仿宋_GB2312"/>
          <w:color w:val="auto"/>
          <w:sz w:val="32"/>
          <w:szCs w:val="32"/>
          <w:highlight w:val="none"/>
          <w:lang w:val="en-US" w:eastAsia="zh-CN"/>
        </w:rPr>
        <w:t>全市接待游客总数、游客总花费年均</w:t>
      </w:r>
      <w:r>
        <w:rPr>
          <w:rFonts w:hint="eastAsia" w:ascii="仿宋_GB2312" w:hAnsi="仿宋_GB2312" w:cs="仿宋_GB2312"/>
          <w:color w:val="auto"/>
          <w:sz w:val="32"/>
          <w:szCs w:val="32"/>
          <w:highlight w:val="none"/>
          <w:lang w:val="en-US" w:eastAsia="zh-CN"/>
        </w:rPr>
        <w:t>增速均在</w:t>
      </w:r>
      <w:r>
        <w:rPr>
          <w:rFonts w:hint="default" w:ascii="Times New Roman" w:hAnsi="Times New Roman" w:cs="Times New Roman"/>
          <w:color w:val="auto"/>
          <w:sz w:val="32"/>
          <w:szCs w:val="32"/>
          <w:highlight w:val="none"/>
          <w:lang w:val="en-US" w:eastAsia="zh-CN"/>
        </w:rPr>
        <w:t>7%</w:t>
      </w:r>
      <w:r>
        <w:rPr>
          <w:rFonts w:hint="eastAsia" w:ascii="仿宋_GB2312" w:hAnsi="仿宋_GB2312" w:cs="仿宋_GB2312"/>
          <w:color w:val="auto"/>
          <w:sz w:val="32"/>
          <w:szCs w:val="32"/>
          <w:highlight w:val="none"/>
          <w:lang w:val="en-US" w:eastAsia="zh-CN"/>
        </w:rPr>
        <w:t>以上</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2025</w:t>
      </w:r>
      <w:r>
        <w:rPr>
          <w:rFonts w:hint="eastAsia" w:ascii="仿宋_GB2312" w:hAnsi="仿宋_GB2312" w:eastAsia="仿宋_GB2312" w:cs="仿宋_GB2312"/>
          <w:color w:val="auto"/>
          <w:sz w:val="32"/>
          <w:szCs w:val="32"/>
          <w:highlight w:val="none"/>
          <w:lang w:val="en-US" w:eastAsia="zh-CN"/>
        </w:rPr>
        <w:t>年</w:t>
      </w:r>
      <w:r>
        <w:rPr>
          <w:rFonts w:hint="eastAsia" w:ascii="仿宋_GB2312" w:hAnsi="仿宋_GB2312" w:eastAsia="仿宋_GB2312" w:cs="仿宋_GB2312"/>
          <w:color w:val="auto"/>
          <w:sz w:val="32"/>
          <w:szCs w:val="32"/>
          <w:highlight w:val="none"/>
        </w:rPr>
        <w:t>接待入境</w:t>
      </w:r>
      <w:r>
        <w:rPr>
          <w:rFonts w:hint="eastAsia" w:ascii="仿宋_GB2312" w:hAnsi="仿宋_GB2312" w:cs="仿宋_GB2312"/>
          <w:color w:val="auto"/>
          <w:sz w:val="32"/>
          <w:szCs w:val="32"/>
          <w:highlight w:val="none"/>
          <w:lang w:eastAsia="zh-CN"/>
        </w:rPr>
        <w:t>过夜游客</w:t>
      </w:r>
      <w:r>
        <w:rPr>
          <w:rFonts w:hint="eastAsia" w:ascii="仿宋_GB2312" w:hAnsi="仿宋_GB2312" w:eastAsia="仿宋_GB2312" w:cs="仿宋_GB2312"/>
          <w:color w:val="auto"/>
          <w:sz w:val="32"/>
          <w:szCs w:val="32"/>
          <w:highlight w:val="none"/>
        </w:rPr>
        <w:t>达到</w:t>
      </w:r>
      <w:r>
        <w:rPr>
          <w:rFonts w:hint="eastAsia" w:cs="Times New Roman"/>
          <w:color w:val="auto"/>
          <w:sz w:val="32"/>
          <w:szCs w:val="32"/>
          <w:highlight w:val="none"/>
          <w:lang w:val="en-US" w:eastAsia="zh-CN"/>
        </w:rPr>
        <w:t>106.1</w:t>
      </w:r>
      <w:r>
        <w:rPr>
          <w:rFonts w:hint="eastAsia" w:ascii="仿宋_GB2312" w:hAnsi="仿宋_GB2312" w:eastAsia="仿宋_GB2312" w:cs="仿宋_GB2312"/>
          <w:color w:val="auto"/>
          <w:sz w:val="32"/>
          <w:szCs w:val="32"/>
          <w:highlight w:val="none"/>
        </w:rPr>
        <w:t>万人次，比</w:t>
      </w:r>
      <w:r>
        <w:rPr>
          <w:rFonts w:hint="default" w:ascii="Times New Roman" w:hAnsi="Times New Roman" w:eastAsia="仿宋_GB2312" w:cs="Times New Roman"/>
          <w:color w:val="auto"/>
          <w:sz w:val="32"/>
          <w:szCs w:val="32"/>
          <w:highlight w:val="none"/>
        </w:rPr>
        <w:t>2020</w:t>
      </w:r>
      <w:r>
        <w:rPr>
          <w:rFonts w:hint="eastAsia" w:ascii="仿宋_GB2312" w:hAnsi="仿宋_GB2312" w:eastAsia="仿宋_GB2312" w:cs="仿宋_GB2312"/>
          <w:color w:val="auto"/>
          <w:sz w:val="32"/>
          <w:szCs w:val="32"/>
          <w:highlight w:val="none"/>
        </w:rPr>
        <w:t>年</w:t>
      </w:r>
      <w:r>
        <w:rPr>
          <w:rFonts w:hint="eastAsia" w:ascii="仿宋_GB2312" w:hAnsi="仿宋_GB2312" w:cs="仿宋_GB2312"/>
          <w:color w:val="auto"/>
          <w:spacing w:val="6"/>
          <w:sz w:val="32"/>
          <w:szCs w:val="32"/>
          <w:highlight w:val="none"/>
          <w:lang w:eastAsia="zh-CN"/>
        </w:rPr>
        <w:t>同期</w:t>
      </w:r>
      <w:r>
        <w:rPr>
          <w:rFonts w:hint="eastAsia" w:ascii="仿宋_GB2312" w:hAnsi="仿宋_GB2312" w:eastAsia="仿宋_GB2312" w:cs="仿宋_GB2312"/>
          <w:color w:val="auto"/>
          <w:spacing w:val="6"/>
          <w:sz w:val="32"/>
          <w:szCs w:val="32"/>
          <w:highlight w:val="none"/>
        </w:rPr>
        <w:t>增长</w:t>
      </w:r>
      <w:r>
        <w:rPr>
          <w:rFonts w:hint="eastAsia" w:cs="Times New Roman"/>
          <w:color w:val="auto"/>
          <w:spacing w:val="6"/>
          <w:sz w:val="32"/>
          <w:szCs w:val="32"/>
          <w:highlight w:val="none"/>
          <w:lang w:val="en-US" w:eastAsia="zh-CN"/>
        </w:rPr>
        <w:t>589</w:t>
      </w:r>
      <w:r>
        <w:rPr>
          <w:rFonts w:hint="default" w:ascii="Times New Roman" w:hAnsi="Times New Roman" w:eastAsia="仿宋_GB2312" w:cs="Times New Roman"/>
          <w:color w:val="auto"/>
          <w:spacing w:val="6"/>
          <w:sz w:val="32"/>
          <w:szCs w:val="32"/>
          <w:highlight w:val="none"/>
        </w:rPr>
        <w:t>%</w:t>
      </w:r>
      <w:r>
        <w:rPr>
          <w:rFonts w:hint="eastAsia" w:ascii="仿宋_GB2312" w:hAnsi="仿宋_GB2312" w:eastAsia="仿宋_GB2312" w:cs="仿宋_GB2312"/>
          <w:color w:val="auto"/>
          <w:spacing w:val="6"/>
          <w:sz w:val="32"/>
          <w:szCs w:val="32"/>
          <w:highlight w:val="none"/>
        </w:rPr>
        <w:t>。推出“海南放心付”支付应用并推广至全</w:t>
      </w:r>
      <w:r>
        <w:rPr>
          <w:rFonts w:hint="eastAsia" w:ascii="仿宋_GB2312" w:hAnsi="仿宋_GB2312" w:eastAsia="仿宋_GB2312" w:cs="仿宋_GB2312"/>
          <w:color w:val="auto"/>
          <w:sz w:val="32"/>
          <w:szCs w:val="32"/>
          <w:highlight w:val="none"/>
        </w:rPr>
        <w:t>省，旅游环境持续优化。现代服务业加快集聚，三亚中央商务区现代商贸</w:t>
      </w:r>
      <w:r>
        <w:rPr>
          <w:rFonts w:hint="eastAsia" w:ascii="仿宋_GB2312" w:hAnsi="仿宋_GB2312" w:cs="仿宋_GB2312"/>
          <w:color w:val="auto"/>
          <w:sz w:val="32"/>
          <w:szCs w:val="32"/>
          <w:highlight w:val="none"/>
          <w:lang w:eastAsia="zh-CN"/>
        </w:rPr>
        <w:t>和</w:t>
      </w:r>
      <w:r>
        <w:rPr>
          <w:rFonts w:hint="eastAsia" w:ascii="仿宋_GB2312" w:hAnsi="仿宋_GB2312" w:eastAsia="仿宋_GB2312" w:cs="仿宋_GB2312"/>
          <w:color w:val="auto"/>
          <w:sz w:val="32"/>
          <w:szCs w:val="32"/>
          <w:highlight w:val="none"/>
        </w:rPr>
        <w:t>现代金融产业</w:t>
      </w:r>
      <w:r>
        <w:rPr>
          <w:rFonts w:hint="eastAsia" w:ascii="仿宋_GB2312" w:hAnsi="仿宋_GB2312" w:cs="仿宋_GB2312"/>
          <w:color w:val="auto"/>
          <w:sz w:val="32"/>
          <w:szCs w:val="32"/>
          <w:highlight w:val="none"/>
          <w:lang w:eastAsia="zh-CN"/>
        </w:rPr>
        <w:t>两个千</w:t>
      </w:r>
      <w:r>
        <w:rPr>
          <w:rFonts w:hint="eastAsia" w:ascii="仿宋_GB2312" w:hAnsi="仿宋_GB2312" w:eastAsia="仿宋_GB2312" w:cs="仿宋_GB2312"/>
          <w:color w:val="auto"/>
          <w:sz w:val="32"/>
          <w:szCs w:val="32"/>
          <w:highlight w:val="none"/>
        </w:rPr>
        <w:t>亿级产业集群、三亚海棠湾国家</w:t>
      </w:r>
      <w:r>
        <w:rPr>
          <w:rFonts w:hint="eastAsia" w:ascii="仿宋_GB2312" w:hAnsi="仿宋_GB2312" w:eastAsia="仿宋_GB2312" w:cs="仿宋_GB2312"/>
          <w:color w:val="auto"/>
          <w:spacing w:val="6"/>
          <w:sz w:val="32"/>
          <w:szCs w:val="32"/>
          <w:highlight w:val="none"/>
        </w:rPr>
        <w:t>海岸休闲园区休闲旅游五百亿级产业集群获批创建，</w:t>
      </w:r>
      <w:r>
        <w:rPr>
          <w:rFonts w:hint="eastAsia" w:ascii="仿宋_GB2312" w:hAnsi="仿宋_GB2312" w:cs="仿宋_GB2312"/>
          <w:color w:val="auto"/>
          <w:spacing w:val="6"/>
          <w:sz w:val="32"/>
          <w:szCs w:val="32"/>
          <w:highlight w:val="none"/>
        </w:rPr>
        <w:t>三亚中央商务区现代金融产业千亿级集群成为全省首批五个通过验收</w:t>
      </w:r>
      <w:r>
        <w:rPr>
          <w:rFonts w:hint="eastAsia" w:ascii="仿宋_GB2312" w:hAnsi="仿宋_GB2312" w:cs="仿宋_GB2312"/>
          <w:color w:val="auto"/>
          <w:sz w:val="32"/>
          <w:szCs w:val="32"/>
          <w:highlight w:val="none"/>
        </w:rPr>
        <w:t>的产业集群</w:t>
      </w:r>
      <w:r>
        <w:rPr>
          <w:rFonts w:hint="eastAsia" w:ascii="仿宋_GB2312" w:hAnsi="仿宋_GB2312" w:cs="仿宋_GB2312"/>
          <w:color w:val="auto"/>
          <w:sz w:val="32"/>
          <w:szCs w:val="32"/>
          <w:highlight w:val="none"/>
          <w:lang w:eastAsia="zh-CN"/>
        </w:rPr>
        <w:t>之一。</w:t>
      </w:r>
      <w:r>
        <w:rPr>
          <w:rFonts w:hint="eastAsia" w:ascii="仿宋_GB2312" w:hAnsi="仿宋_GB2312" w:eastAsia="仿宋_GB2312" w:cs="仿宋_GB2312"/>
          <w:color w:val="auto"/>
          <w:sz w:val="32"/>
          <w:szCs w:val="32"/>
          <w:highlight w:val="none"/>
        </w:rPr>
        <w:t>成功认定</w:t>
      </w:r>
      <w:r>
        <w:rPr>
          <w:rFonts w:hint="default" w:ascii="Times New Roman" w:hAnsi="Times New Roman" w:cs="Times New Roman"/>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家跨境资金集中运营中心</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高新技术产业和先进制造业破题破局，</w:t>
      </w:r>
      <w:r>
        <w:rPr>
          <w:rFonts w:hint="eastAsia" w:ascii="仿宋_GB2312" w:hAnsi="仿宋_GB2312" w:eastAsia="仿宋_GB2312" w:cs="仿宋_GB2312"/>
          <w:color w:val="auto"/>
          <w:sz w:val="32"/>
          <w:szCs w:val="32"/>
          <w:highlight w:val="none"/>
          <w:lang w:eastAsia="zh-CN"/>
        </w:rPr>
        <w:t>金谷产业园</w:t>
      </w:r>
      <w:r>
        <w:rPr>
          <w:rFonts w:hint="eastAsia" w:ascii="仿宋_GB2312" w:hAnsi="仿宋_GB2312" w:eastAsia="仿宋_GB2312" w:cs="仿宋_GB2312"/>
          <w:color w:val="auto"/>
          <w:sz w:val="32"/>
          <w:szCs w:val="32"/>
          <w:highlight w:val="none"/>
        </w:rPr>
        <w:t>紫金黄金精</w:t>
      </w:r>
      <w:r>
        <w:rPr>
          <w:rFonts w:hint="eastAsia" w:ascii="仿宋_GB2312" w:hAnsi="仿宋_GB2312" w:eastAsia="仿宋_GB2312" w:cs="仿宋_GB2312"/>
          <w:color w:val="auto"/>
          <w:sz w:val="32"/>
          <w:szCs w:val="32"/>
          <w:highlight w:val="none"/>
          <w:lang w:val="en-US" w:eastAsia="zh-CN"/>
        </w:rPr>
        <w:t>炼项目顺利投产，深海装备加工与装配中心建成投用，种业、深海企业超</w:t>
      </w:r>
      <w:r>
        <w:rPr>
          <w:rFonts w:hint="default" w:ascii="Times New Roman" w:hAnsi="Times New Roman" w:eastAsia="仿宋_GB2312" w:cs="Times New Roman"/>
          <w:color w:val="auto"/>
          <w:sz w:val="32"/>
          <w:szCs w:val="32"/>
          <w:highlight w:val="none"/>
          <w:lang w:val="en-US" w:eastAsia="zh-CN"/>
        </w:rPr>
        <w:t>4000</w:t>
      </w:r>
      <w:r>
        <w:rPr>
          <w:rFonts w:hint="eastAsia" w:ascii="仿宋_GB2312" w:hAnsi="仿宋_GB2312" w:eastAsia="仿宋_GB2312" w:cs="仿宋_GB2312"/>
          <w:color w:val="auto"/>
          <w:sz w:val="32"/>
          <w:szCs w:val="32"/>
          <w:highlight w:val="none"/>
          <w:lang w:val="en-US" w:eastAsia="zh-CN"/>
        </w:rPr>
        <w:t>家，</w:t>
      </w:r>
      <w:r>
        <w:rPr>
          <w:rFonts w:hint="default" w:ascii="Times New Roman" w:hAnsi="Times New Roman" w:eastAsia="仿宋_GB2312" w:cs="Times New Roman"/>
          <w:color w:val="auto"/>
          <w:sz w:val="32"/>
          <w:szCs w:val="32"/>
          <w:highlight w:val="none"/>
          <w:lang w:val="en-US" w:eastAsia="zh-CN"/>
        </w:rPr>
        <w:t>2025</w:t>
      </w:r>
      <w:r>
        <w:rPr>
          <w:rFonts w:hint="eastAsia" w:ascii="仿宋_GB2312" w:hAnsi="仿宋_GB2312" w:eastAsia="仿宋_GB2312" w:cs="仿宋_GB2312"/>
          <w:color w:val="auto"/>
          <w:sz w:val="32"/>
          <w:szCs w:val="32"/>
          <w:highlight w:val="none"/>
          <w:lang w:val="en-US" w:eastAsia="zh-CN"/>
        </w:rPr>
        <w:t>年深海科技相关产业营收同比增长</w:t>
      </w:r>
      <w:r>
        <w:rPr>
          <w:rFonts w:hint="default" w:ascii="Times New Roman" w:hAnsi="Times New Roman" w:eastAsia="仿宋_GB2312" w:cs="Times New Roman"/>
          <w:color w:val="auto"/>
          <w:sz w:val="32"/>
          <w:szCs w:val="32"/>
          <w:highlight w:val="none"/>
          <w:lang w:val="en-US" w:eastAsia="zh-CN"/>
        </w:rPr>
        <w:t>63%</w:t>
      </w:r>
      <w:r>
        <w:rPr>
          <w:rFonts w:hint="eastAsia" w:ascii="仿宋_GB2312" w:hAnsi="仿宋_GB2312" w:eastAsia="仿宋_GB2312" w:cs="仿宋_GB2312"/>
          <w:color w:val="auto"/>
          <w:sz w:val="32"/>
          <w:szCs w:val="32"/>
          <w:highlight w:val="none"/>
          <w:lang w:val="en-US" w:eastAsia="zh-CN"/>
        </w:rPr>
        <w:t>，南繁种业产值增长</w:t>
      </w:r>
      <w:r>
        <w:rPr>
          <w:rFonts w:hint="default" w:ascii="Times New Roman" w:hAnsi="Times New Roman" w:eastAsia="仿宋_GB2312" w:cs="Times New Roman"/>
          <w:color w:val="auto"/>
          <w:sz w:val="32"/>
          <w:szCs w:val="32"/>
          <w:highlight w:val="none"/>
          <w:lang w:val="en-US" w:eastAsia="zh-CN"/>
        </w:rPr>
        <w:t>47</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8%</w:t>
      </w:r>
      <w:r>
        <w:rPr>
          <w:rFonts w:hint="eastAsia" w:ascii="仿宋_GB2312" w:hAnsi="仿宋_GB2312" w:eastAsia="仿宋_GB2312" w:cs="仿宋_GB2312"/>
          <w:color w:val="auto"/>
          <w:sz w:val="32"/>
          <w:szCs w:val="32"/>
          <w:highlight w:val="none"/>
          <w:lang w:val="en-US" w:eastAsia="zh-CN"/>
        </w:rPr>
        <w:t>。热带特色高效农业提质增效，热带果蔬种质资源圃资源引进品种总数达到</w:t>
      </w:r>
      <w:r>
        <w:rPr>
          <w:rFonts w:hint="eastAsia" w:cs="Times New Roman"/>
          <w:color w:val="auto"/>
          <w:sz w:val="32"/>
          <w:szCs w:val="32"/>
          <w:highlight w:val="none"/>
          <w:lang w:val="en-US" w:eastAsia="zh-CN"/>
        </w:rPr>
        <w:t>75</w:t>
      </w:r>
      <w:r>
        <w:rPr>
          <w:rFonts w:hint="default" w:ascii="Times New Roman" w:hAnsi="Times New Roman" w:eastAsia="仿宋_GB2312" w:cs="Times New Roman"/>
          <w:color w:val="auto"/>
          <w:sz w:val="32"/>
          <w:szCs w:val="32"/>
          <w:highlight w:val="none"/>
          <w:lang w:val="en-US" w:eastAsia="zh-CN"/>
        </w:rPr>
        <w:t>0</w:t>
      </w:r>
      <w:r>
        <w:rPr>
          <w:rFonts w:hint="eastAsia" w:ascii="仿宋_GB2312" w:hAnsi="仿宋_GB2312" w:eastAsia="仿宋_GB2312" w:cs="仿宋_GB2312"/>
          <w:color w:val="auto"/>
          <w:sz w:val="32"/>
          <w:szCs w:val="32"/>
          <w:highlight w:val="none"/>
          <w:lang w:val="en-US" w:eastAsia="zh-CN"/>
        </w:rPr>
        <w:t>个，国产榴莲实现规模化量</w:t>
      </w:r>
      <w:r>
        <w:rPr>
          <w:rFonts w:hint="eastAsia" w:ascii="仿宋_GB2312" w:hAnsi="仿宋_GB2312" w:eastAsia="仿宋_GB2312" w:cs="仿宋_GB2312"/>
          <w:color w:val="auto"/>
          <w:spacing w:val="6"/>
          <w:sz w:val="32"/>
          <w:szCs w:val="32"/>
          <w:highlight w:val="none"/>
          <w:lang w:val="en-US" w:eastAsia="zh-CN"/>
        </w:rPr>
        <w:t>产，新增</w:t>
      </w:r>
      <w:r>
        <w:rPr>
          <w:rFonts w:hint="eastAsia" w:cs="Times New Roman"/>
          <w:color w:val="auto"/>
          <w:spacing w:val="6"/>
          <w:sz w:val="32"/>
          <w:szCs w:val="32"/>
          <w:highlight w:val="none"/>
          <w:lang w:val="en-US" w:eastAsia="zh-CN"/>
        </w:rPr>
        <w:t>9</w:t>
      </w:r>
      <w:r>
        <w:rPr>
          <w:rFonts w:hint="eastAsia" w:ascii="仿宋_GB2312" w:hAnsi="仿宋_GB2312" w:eastAsia="仿宋_GB2312" w:cs="仿宋_GB2312"/>
          <w:color w:val="auto"/>
          <w:spacing w:val="6"/>
          <w:sz w:val="32"/>
          <w:szCs w:val="32"/>
          <w:highlight w:val="none"/>
          <w:lang w:val="en-US" w:eastAsia="zh-CN"/>
        </w:rPr>
        <w:t>个全国名特优新农产品和</w:t>
      </w:r>
      <w:r>
        <w:rPr>
          <w:rFonts w:hint="default" w:ascii="Times New Roman" w:hAnsi="Times New Roman" w:eastAsia="仿宋_GB2312" w:cs="Times New Roman"/>
          <w:color w:val="auto"/>
          <w:spacing w:val="6"/>
          <w:sz w:val="32"/>
          <w:szCs w:val="32"/>
          <w:highlight w:val="none"/>
          <w:lang w:val="en-US" w:eastAsia="zh-CN"/>
        </w:rPr>
        <w:t>10</w:t>
      </w:r>
      <w:r>
        <w:rPr>
          <w:rFonts w:hint="eastAsia" w:ascii="仿宋_GB2312" w:hAnsi="仿宋_GB2312" w:eastAsia="仿宋_GB2312" w:cs="仿宋_GB2312"/>
          <w:color w:val="auto"/>
          <w:spacing w:val="6"/>
          <w:sz w:val="32"/>
          <w:szCs w:val="32"/>
          <w:highlight w:val="none"/>
          <w:lang w:val="en-US" w:eastAsia="zh-CN"/>
        </w:rPr>
        <w:t>个全国特质农品。获</w:t>
      </w:r>
      <w:r>
        <w:rPr>
          <w:rFonts w:hint="eastAsia" w:ascii="仿宋_GB2312" w:hAnsi="仿宋_GB2312" w:eastAsia="仿宋_GB2312" w:cs="仿宋_GB2312"/>
          <w:color w:val="auto"/>
          <w:sz w:val="32"/>
          <w:szCs w:val="32"/>
          <w:highlight w:val="none"/>
          <w:lang w:val="en-US" w:eastAsia="zh-CN"/>
        </w:rPr>
        <w:t>批创建</w:t>
      </w:r>
      <w:r>
        <w:rPr>
          <w:rFonts w:hint="default" w:ascii="Times New Roman" w:hAnsi="Times New Roman" w:eastAsia="仿宋_GB2312" w:cs="Times New Roman"/>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val="en-US" w:eastAsia="zh-CN"/>
        </w:rPr>
        <w:t>个国家级现代农业产业园、</w:t>
      </w:r>
      <w:r>
        <w:rPr>
          <w:rFonts w:hint="default" w:ascii="Times New Roman" w:hAnsi="Times New Roman" w:eastAsia="仿宋_GB2312" w:cs="Times New Roman"/>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val="en-US" w:eastAsia="zh-CN"/>
        </w:rPr>
        <w:t>个国家级优势特色产业集</w:t>
      </w:r>
      <w:r>
        <w:rPr>
          <w:rFonts w:hint="eastAsia" w:ascii="仿宋_GB2312" w:hAnsi="仿宋_GB2312" w:eastAsia="仿宋_GB2312" w:cs="仿宋_GB2312"/>
          <w:color w:val="auto"/>
          <w:spacing w:val="6"/>
          <w:sz w:val="32"/>
          <w:szCs w:val="32"/>
          <w:highlight w:val="none"/>
          <w:lang w:val="en-US" w:eastAsia="zh-CN"/>
        </w:rPr>
        <w:t>群。三亚市崖</w:t>
      </w:r>
      <w:r>
        <w:rPr>
          <w:rFonts w:hint="eastAsia" w:ascii="仿宋_GB2312" w:hAnsi="仿宋_GB2312" w:eastAsia="仿宋_GB2312" w:cs="仿宋_GB2312"/>
          <w:color w:val="auto"/>
          <w:spacing w:val="6"/>
          <w:sz w:val="32"/>
          <w:szCs w:val="32"/>
          <w:highlight w:val="none"/>
        </w:rPr>
        <w:t>州</w:t>
      </w:r>
      <w:r>
        <w:rPr>
          <w:rFonts w:hint="eastAsia" w:ascii="仿宋_GB2312" w:hAnsi="仿宋_GB2312" w:cs="仿宋_GB2312"/>
          <w:color w:val="auto"/>
          <w:spacing w:val="6"/>
          <w:sz w:val="32"/>
          <w:szCs w:val="32"/>
          <w:highlight w:val="none"/>
          <w:lang w:eastAsia="zh-CN"/>
        </w:rPr>
        <w:t>中心</w:t>
      </w:r>
      <w:r>
        <w:rPr>
          <w:rFonts w:hint="eastAsia" w:ascii="仿宋_GB2312" w:hAnsi="仿宋_GB2312" w:eastAsia="仿宋_GB2312" w:cs="仿宋_GB2312"/>
          <w:color w:val="auto"/>
          <w:spacing w:val="6"/>
          <w:sz w:val="32"/>
          <w:szCs w:val="32"/>
          <w:highlight w:val="none"/>
        </w:rPr>
        <w:t>渔港成为海南唯一获评的国家级中心渔</w:t>
      </w:r>
      <w:r>
        <w:rPr>
          <w:rFonts w:hint="eastAsia" w:ascii="仿宋_GB2312" w:hAnsi="仿宋_GB2312" w:eastAsia="仿宋_GB2312" w:cs="仿宋_GB2312"/>
          <w:color w:val="auto"/>
          <w:sz w:val="32"/>
          <w:szCs w:val="32"/>
          <w:highlight w:val="none"/>
        </w:rPr>
        <w:t>港。</w:t>
      </w:r>
    </w:p>
    <w:p>
      <w:pPr>
        <w:pStyle w:val="31"/>
        <w:keepNext w:val="0"/>
        <w:keepLines w:val="0"/>
        <w:pageBreakBefore w:val="0"/>
        <w:widowControl w:val="0"/>
        <w:shd w:val="clear"/>
        <w:kinsoku/>
        <w:wordWrap/>
        <w:overflowPunct/>
        <w:topLinePunct w:val="0"/>
        <w:autoSpaceDE/>
        <w:autoSpaceDN/>
        <w:bidi w:val="0"/>
        <w:adjustRightInd w:val="0"/>
        <w:snapToGrid w:val="0"/>
        <w:spacing w:line="576" w:lineRule="exact"/>
        <w:ind w:firstLine="602"/>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城乡区域协调发展</w:t>
      </w:r>
      <w:r>
        <w:rPr>
          <w:rFonts w:hint="eastAsia" w:ascii="仿宋_GB2312" w:hAnsi="仿宋_GB2312" w:eastAsia="仿宋_GB2312" w:cs="仿宋_GB2312"/>
          <w:b/>
          <w:bCs/>
          <w:color w:val="auto"/>
          <w:sz w:val="32"/>
          <w:szCs w:val="32"/>
          <w:highlight w:val="none"/>
          <w:lang w:eastAsia="zh-CN"/>
        </w:rPr>
        <w:t>呈现</w:t>
      </w:r>
      <w:r>
        <w:rPr>
          <w:rFonts w:hint="eastAsia" w:ascii="仿宋_GB2312" w:hAnsi="仿宋_GB2312" w:eastAsia="仿宋_GB2312" w:cs="仿宋_GB2312"/>
          <w:b/>
          <w:bCs/>
          <w:color w:val="auto"/>
          <w:sz w:val="32"/>
          <w:szCs w:val="32"/>
          <w:highlight w:val="none"/>
        </w:rPr>
        <w:t>新面貌。</w:t>
      </w:r>
      <w:r>
        <w:rPr>
          <w:rFonts w:hint="eastAsia" w:ascii="仿宋_GB2312" w:hAnsi="仿宋_GB2312" w:eastAsia="仿宋_GB2312" w:cs="仿宋_GB2312"/>
          <w:color w:val="auto"/>
          <w:sz w:val="32"/>
          <w:szCs w:val="32"/>
          <w:highlight w:val="none"/>
        </w:rPr>
        <w:t>优化国土空间布局，推动详细规划向城</w:t>
      </w:r>
      <w:r>
        <w:rPr>
          <w:rFonts w:hint="eastAsia" w:ascii="仿宋_GB2312" w:hAnsi="仿宋_GB2312" w:eastAsia="仿宋_GB2312" w:cs="仿宋_GB2312"/>
          <w:color w:val="auto"/>
          <w:sz w:val="32"/>
          <w:szCs w:val="32"/>
          <w:highlight w:val="none"/>
          <w:lang w:eastAsia="zh-CN"/>
        </w:rPr>
        <w:t>市</w:t>
      </w:r>
      <w:r>
        <w:rPr>
          <w:rFonts w:hint="eastAsia" w:ascii="仿宋_GB2312" w:hAnsi="仿宋_GB2312" w:eastAsia="仿宋_GB2312" w:cs="仿宋_GB2312"/>
          <w:color w:val="auto"/>
          <w:sz w:val="32"/>
          <w:szCs w:val="32"/>
          <w:highlight w:val="none"/>
        </w:rPr>
        <w:t>、乡村、海域等全域覆盖。基础设施进一步改善，南边海国际游艇码头建成</w:t>
      </w:r>
      <w:r>
        <w:rPr>
          <w:rFonts w:hint="eastAsia" w:ascii="仿宋_GB2312" w:hAnsi="仿宋_GB2312" w:eastAsia="仿宋_GB2312" w:cs="仿宋_GB2312"/>
          <w:color w:val="auto"/>
          <w:sz w:val="32"/>
          <w:szCs w:val="32"/>
          <w:highlight w:val="none"/>
          <w:lang w:val="en"/>
        </w:rPr>
        <w:t>使用</w:t>
      </w:r>
      <w:r>
        <w:rPr>
          <w:rFonts w:hint="eastAsia" w:ascii="仿宋_GB2312" w:hAnsi="仿宋_GB2312" w:eastAsia="仿宋_GB2312" w:cs="仿宋_GB2312"/>
          <w:color w:val="auto"/>
          <w:sz w:val="32"/>
          <w:szCs w:val="32"/>
          <w:highlight w:val="none"/>
        </w:rPr>
        <w:t>，凤凰国际机场三期改扩建、</w:t>
      </w:r>
      <w:r>
        <w:rPr>
          <w:rFonts w:hint="default" w:ascii="Times New Roman" w:hAnsi="Times New Roman" w:eastAsia="仿宋_GB2312" w:cs="Times New Roman"/>
          <w:color w:val="auto"/>
          <w:sz w:val="32"/>
          <w:szCs w:val="32"/>
          <w:highlight w:val="none"/>
        </w:rPr>
        <w:t>G98</w:t>
      </w:r>
      <w:r>
        <w:rPr>
          <w:rFonts w:hint="eastAsia" w:ascii="仿宋_GB2312" w:hAnsi="仿宋_GB2312" w:eastAsia="仿宋_GB2312" w:cs="仿宋_GB2312"/>
          <w:color w:val="auto"/>
          <w:sz w:val="32"/>
          <w:szCs w:val="32"/>
          <w:highlight w:val="none"/>
        </w:rPr>
        <w:t>环岛高速</w:t>
      </w:r>
      <w:r>
        <w:rPr>
          <w:rFonts w:hint="eastAsia" w:ascii="仿宋_GB2312" w:hAnsi="仿宋_GB2312" w:eastAsia="仿宋_GB2312" w:cs="仿宋_GB2312"/>
          <w:i w:val="0"/>
          <w:caps w:val="0"/>
          <w:color w:val="auto"/>
          <w:spacing w:val="0"/>
          <w:kern w:val="2"/>
          <w:sz w:val="32"/>
          <w:szCs w:val="32"/>
          <w:highlight w:val="none"/>
          <w:shd w:val="clear" w:color="auto" w:fill="FFFFFF"/>
          <w:lang w:val="en-US" w:eastAsia="zh-CN" w:bidi="ar"/>
        </w:rPr>
        <w:t>公路</w:t>
      </w:r>
      <w:r>
        <w:rPr>
          <w:rFonts w:hint="eastAsia" w:ascii="仿宋_GB2312" w:hAnsi="仿宋_GB2312" w:eastAsia="仿宋_GB2312" w:cs="仿宋_GB2312"/>
          <w:color w:val="auto"/>
          <w:sz w:val="32"/>
          <w:szCs w:val="32"/>
          <w:highlight w:val="none"/>
        </w:rPr>
        <w:t>大三亚</w:t>
      </w:r>
      <w:r>
        <w:rPr>
          <w:rFonts w:hint="eastAsia" w:ascii="仿宋_GB2312" w:hAnsi="仿宋_GB2312" w:cs="仿宋_GB2312"/>
          <w:color w:val="auto"/>
          <w:sz w:val="32"/>
          <w:szCs w:val="32"/>
          <w:highlight w:val="none"/>
          <w:lang w:eastAsia="zh-CN"/>
        </w:rPr>
        <w:t>段</w:t>
      </w:r>
      <w:r>
        <w:rPr>
          <w:rFonts w:hint="eastAsia" w:ascii="仿宋_GB2312" w:hAnsi="仿宋_GB2312" w:eastAsia="仿宋_GB2312" w:cs="仿宋_GB2312"/>
          <w:color w:val="auto"/>
          <w:sz w:val="32"/>
          <w:szCs w:val="32"/>
          <w:highlight w:val="none"/>
        </w:rPr>
        <w:t>扩容工程、</w:t>
      </w:r>
      <w:r>
        <w:rPr>
          <w:rFonts w:hint="default" w:ascii="Times New Roman" w:hAnsi="Times New Roman" w:eastAsia="仿宋_GB2312" w:cs="Times New Roman"/>
          <w:color w:val="auto"/>
          <w:sz w:val="32"/>
          <w:szCs w:val="32"/>
          <w:highlight w:val="none"/>
        </w:rPr>
        <w:t>G225</w:t>
      </w:r>
      <w:r>
        <w:rPr>
          <w:rFonts w:hint="eastAsia" w:ascii="仿宋_GB2312" w:hAnsi="仿宋_GB2312" w:eastAsia="仿宋_GB2312" w:cs="仿宋_GB2312"/>
          <w:color w:val="auto"/>
          <w:sz w:val="32"/>
          <w:szCs w:val="32"/>
          <w:highlight w:val="none"/>
        </w:rPr>
        <w:t>乐东至三亚段改扩建工程“五网合一”示范项目等</w:t>
      </w:r>
      <w:r>
        <w:rPr>
          <w:rFonts w:hint="eastAsia" w:ascii="仿宋_GB2312" w:hAnsi="仿宋_GB2312" w:eastAsia="仿宋_GB2312" w:cs="仿宋_GB2312"/>
          <w:color w:val="auto"/>
          <w:sz w:val="32"/>
          <w:szCs w:val="32"/>
          <w:highlight w:val="none"/>
          <w:lang w:eastAsia="zh-CN"/>
        </w:rPr>
        <w:t>加快</w:t>
      </w:r>
      <w:r>
        <w:rPr>
          <w:rFonts w:hint="eastAsia" w:ascii="仿宋_GB2312" w:hAnsi="仿宋_GB2312" w:eastAsia="仿宋_GB2312" w:cs="仿宋_GB2312"/>
          <w:color w:val="auto"/>
          <w:sz w:val="32"/>
          <w:szCs w:val="32"/>
          <w:highlight w:val="none"/>
        </w:rPr>
        <w:t>推进，崖州湾科技城数字孪生项目入选全国数字孪生城市典型应用案例，</w:t>
      </w:r>
      <w:r>
        <w:rPr>
          <w:rFonts w:hint="default" w:ascii="Times New Roman" w:hAnsi="Times New Roman" w:eastAsia="仿宋_GB2312" w:cs="Times New Roman"/>
          <w:color w:val="auto"/>
          <w:sz w:val="32"/>
          <w:szCs w:val="32"/>
          <w:highlight w:val="none"/>
        </w:rPr>
        <w:t>500</w:t>
      </w:r>
      <w:r>
        <w:rPr>
          <w:rFonts w:hint="eastAsia" w:ascii="仿宋_GB2312" w:hAnsi="仿宋_GB2312" w:eastAsia="仿宋_GB2312" w:cs="仿宋_GB2312"/>
          <w:color w:val="auto"/>
          <w:sz w:val="32"/>
          <w:szCs w:val="32"/>
          <w:highlight w:val="none"/>
        </w:rPr>
        <w:t>千伏三亚输变电工程开工建设。城市更新和“城市客厅”建设取得新的进展。城乡</w:t>
      </w:r>
      <w:r>
        <w:rPr>
          <w:rFonts w:hint="eastAsia" w:ascii="仿宋_GB2312" w:hAnsi="仿宋_GB2312" w:eastAsia="仿宋_GB2312" w:cs="仿宋_GB2312"/>
          <w:i w:val="0"/>
          <w:caps w:val="0"/>
          <w:color w:val="auto"/>
          <w:spacing w:val="0"/>
          <w:kern w:val="2"/>
          <w:sz w:val="32"/>
          <w:szCs w:val="32"/>
          <w:highlight w:val="none"/>
          <w:shd w:val="clear" w:color="auto" w:fill="FFFFFF"/>
          <w:lang w:val="en-US" w:eastAsia="zh-CN" w:bidi="ar"/>
        </w:rPr>
        <w:t>及垦地</w:t>
      </w:r>
      <w:r>
        <w:rPr>
          <w:rFonts w:hint="eastAsia" w:ascii="仿宋_GB2312" w:hAnsi="仿宋_GB2312" w:eastAsia="仿宋_GB2312" w:cs="仿宋_GB2312"/>
          <w:color w:val="auto"/>
          <w:sz w:val="32"/>
          <w:szCs w:val="32"/>
          <w:highlight w:val="none"/>
        </w:rPr>
        <w:t>融合和乡村振兴压茬拓展</w:t>
      </w:r>
      <w:r>
        <w:rPr>
          <w:rFonts w:hint="eastAsia" w:ascii="仿宋_GB2312" w:hAnsi="仿宋_GB2312" w:eastAsia="仿宋_GB2312" w:cs="仿宋_GB2312"/>
          <w:color w:val="auto"/>
          <w:sz w:val="32"/>
          <w:szCs w:val="32"/>
          <w:highlight w:val="none"/>
          <w:lang w:eastAsia="zh-CN"/>
        </w:rPr>
        <w:t>，</w:t>
      </w:r>
      <w:r>
        <w:rPr>
          <w:rFonts w:hint="default" w:ascii="Times New Roman" w:hAnsi="Times New Roman" w:eastAsia="仿宋_GB2312" w:cs="Times New Roman"/>
          <w:color w:val="auto"/>
          <w:sz w:val="32"/>
          <w:szCs w:val="32"/>
          <w:highlight w:val="none"/>
        </w:rPr>
        <w:t>23</w:t>
      </w:r>
      <w:r>
        <w:rPr>
          <w:rFonts w:hint="eastAsia" w:ascii="仿宋_GB2312" w:hAnsi="仿宋_GB2312" w:eastAsia="仿宋_GB2312" w:cs="仿宋_GB2312"/>
          <w:color w:val="auto"/>
          <w:sz w:val="32"/>
          <w:szCs w:val="32"/>
          <w:highlight w:val="none"/>
        </w:rPr>
        <w:t>个村庄入选全省百个农村集体经济强村</w:t>
      </w:r>
      <w:r>
        <w:rPr>
          <w:rFonts w:hint="eastAsia" w:ascii="仿宋_GB2312" w:hAnsi="仿宋_GB2312" w:eastAsia="仿宋_GB2312" w:cs="仿宋_GB2312"/>
          <w:color w:val="auto"/>
          <w:sz w:val="32"/>
          <w:szCs w:val="32"/>
          <w:highlight w:val="none"/>
          <w:lang w:val="en"/>
        </w:rPr>
        <w:t>，</w:t>
      </w:r>
      <w:r>
        <w:rPr>
          <w:rFonts w:hint="eastAsia" w:ascii="仿宋_GB2312" w:hAnsi="仿宋_GB2312" w:eastAsia="仿宋_GB2312" w:cs="仿宋_GB2312"/>
          <w:color w:val="auto"/>
          <w:sz w:val="32"/>
          <w:szCs w:val="32"/>
          <w:highlight w:val="none"/>
        </w:rPr>
        <w:t>南新社区成为垦地融合发展新型社区</w:t>
      </w:r>
      <w:r>
        <w:rPr>
          <w:rFonts w:hint="eastAsia"/>
          <w:b w:val="0"/>
          <w:bCs/>
          <w:color w:val="auto"/>
          <w:sz w:val="32"/>
          <w:szCs w:val="32"/>
          <w:highlight w:val="none"/>
          <w:lang w:eastAsia="zh-CN"/>
        </w:rPr>
        <w:t>，崖州区获批创建国家乡村振兴示范县</w:t>
      </w:r>
      <w:r>
        <w:rPr>
          <w:rFonts w:hint="eastAsia" w:ascii="仿宋_GB2312" w:hAnsi="仿宋_GB2312" w:eastAsia="仿宋_GB2312" w:cs="仿宋_GB2312"/>
          <w:color w:val="auto"/>
          <w:sz w:val="32"/>
          <w:szCs w:val="32"/>
          <w:highlight w:val="none"/>
        </w:rPr>
        <w:t>。三亚经济圈一体化高质量发展不断深化。</w:t>
      </w:r>
    </w:p>
    <w:p>
      <w:pPr>
        <w:pStyle w:val="31"/>
        <w:keepNext w:val="0"/>
        <w:keepLines w:val="0"/>
        <w:pageBreakBefore w:val="0"/>
        <w:widowControl w:val="0"/>
        <w:shd w:val="clear"/>
        <w:kinsoku/>
        <w:wordWrap/>
        <w:overflowPunct/>
        <w:topLinePunct w:val="0"/>
        <w:autoSpaceDE/>
        <w:autoSpaceDN/>
        <w:bidi w:val="0"/>
        <w:adjustRightInd w:val="0"/>
        <w:snapToGrid w:val="0"/>
        <w:spacing w:line="576" w:lineRule="exact"/>
        <w:ind w:firstLine="602"/>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生态文明建设实现新突破。</w:t>
      </w:r>
      <w:r>
        <w:rPr>
          <w:rFonts w:hint="eastAsia" w:ascii="仿宋_GB2312" w:hAnsi="仿宋_GB2312" w:eastAsia="仿宋_GB2312" w:cs="仿宋_GB2312"/>
          <w:color w:val="auto"/>
          <w:sz w:val="32"/>
          <w:szCs w:val="32"/>
          <w:highlight w:val="none"/>
        </w:rPr>
        <w:t>生态环境质量持续保持全国领先水平，</w:t>
      </w:r>
      <w:r>
        <w:rPr>
          <w:rFonts w:hint="eastAsia" w:ascii="仿宋_GB2312" w:hAnsi="仿宋_GB2312" w:cs="仿宋_GB2312"/>
          <w:color w:val="auto"/>
          <w:sz w:val="32"/>
          <w:szCs w:val="32"/>
          <w:highlight w:val="none"/>
          <w:lang w:eastAsia="zh-CN"/>
        </w:rPr>
        <w:t>获评</w:t>
      </w:r>
      <w:r>
        <w:rPr>
          <w:rFonts w:hint="default" w:ascii="Times New Roman" w:hAnsi="Times New Roman" w:eastAsia="仿宋_GB2312" w:cs="Times New Roman"/>
          <w:color w:val="auto"/>
          <w:sz w:val="32"/>
          <w:szCs w:val="32"/>
          <w:highlight w:val="none"/>
        </w:rPr>
        <w:t>2025</w:t>
      </w:r>
      <w:r>
        <w:rPr>
          <w:rFonts w:hint="eastAsia" w:ascii="仿宋_GB2312" w:hAnsi="仿宋_GB2312" w:eastAsia="仿宋_GB2312" w:cs="仿宋_GB2312"/>
          <w:color w:val="auto"/>
          <w:sz w:val="32"/>
          <w:szCs w:val="32"/>
          <w:highlight w:val="none"/>
        </w:rPr>
        <w:t>年全国生态文明建设示范区</w:t>
      </w:r>
      <w:r>
        <w:rPr>
          <w:rFonts w:hint="eastAsia" w:ascii="仿宋_GB2312" w:hAnsi="仿宋_GB2312" w:eastAsia="仿宋_GB2312" w:cs="仿宋_GB2312"/>
          <w:color w:val="auto"/>
          <w:sz w:val="32"/>
          <w:szCs w:val="32"/>
          <w:highlight w:val="none"/>
          <w:lang w:eastAsia="zh-CN"/>
        </w:rPr>
        <w:t>，</w:t>
      </w:r>
      <w:r>
        <w:rPr>
          <w:rFonts w:hint="default" w:ascii="Times New Roman" w:hAnsi="Times New Roman" w:eastAsia="仿宋_GB2312" w:cs="Times New Roman"/>
          <w:color w:val="auto"/>
          <w:sz w:val="32"/>
          <w:szCs w:val="32"/>
          <w:highlight w:val="none"/>
        </w:rPr>
        <w:t>PM</w:t>
      </w:r>
      <w:r>
        <w:rPr>
          <w:rFonts w:hint="default" w:ascii="Times New Roman" w:hAnsi="Times New Roman" w:eastAsia="仿宋_GB2312" w:cs="Times New Roman"/>
          <w:color w:val="auto"/>
          <w:sz w:val="32"/>
          <w:szCs w:val="32"/>
          <w:highlight w:val="none"/>
          <w:vertAlign w:val="subscript"/>
        </w:rPr>
        <w:t>2</w:t>
      </w:r>
      <w:r>
        <w:rPr>
          <w:rFonts w:hint="eastAsia" w:ascii="仿宋_GB2312" w:hAnsi="仿宋_GB2312" w:eastAsia="仿宋_GB2312" w:cs="仿宋_GB2312"/>
          <w:color w:val="auto"/>
          <w:sz w:val="32"/>
          <w:szCs w:val="32"/>
          <w:highlight w:val="none"/>
          <w:vertAlign w:val="subscript"/>
        </w:rPr>
        <w:t>.</w:t>
      </w:r>
      <w:r>
        <w:rPr>
          <w:rFonts w:hint="default" w:ascii="Times New Roman" w:hAnsi="Times New Roman" w:eastAsia="仿宋_GB2312" w:cs="Times New Roman"/>
          <w:color w:val="auto"/>
          <w:sz w:val="32"/>
          <w:szCs w:val="32"/>
          <w:highlight w:val="none"/>
          <w:vertAlign w:val="subscript"/>
        </w:rPr>
        <w:t>5</w:t>
      </w:r>
      <w:r>
        <w:rPr>
          <w:rFonts w:hint="eastAsia" w:ascii="仿宋_GB2312" w:hAnsi="仿宋_GB2312" w:cs="仿宋_GB2312"/>
          <w:color w:val="auto"/>
          <w:sz w:val="32"/>
          <w:szCs w:val="32"/>
          <w:highlight w:val="none"/>
          <w:lang w:eastAsia="zh-CN"/>
        </w:rPr>
        <w:t>年均</w:t>
      </w:r>
      <w:r>
        <w:rPr>
          <w:rFonts w:hint="eastAsia" w:ascii="仿宋_GB2312" w:hAnsi="仿宋_GB2312" w:eastAsia="仿宋_GB2312" w:cs="仿宋_GB2312"/>
          <w:color w:val="auto"/>
          <w:sz w:val="32"/>
          <w:szCs w:val="32"/>
          <w:highlight w:val="none"/>
        </w:rPr>
        <w:t>浓度</w:t>
      </w:r>
      <w:r>
        <w:rPr>
          <w:rFonts w:hint="eastAsia" w:ascii="仿宋_GB2312" w:hAnsi="仿宋_GB2312" w:eastAsia="仿宋_GB2312" w:cs="仿宋_GB2312"/>
          <w:color w:val="auto"/>
          <w:sz w:val="32"/>
          <w:szCs w:val="32"/>
          <w:highlight w:val="none"/>
          <w:lang w:eastAsia="zh-CN"/>
        </w:rPr>
        <w:t>稳定</w:t>
      </w:r>
      <w:r>
        <w:rPr>
          <w:rFonts w:hint="eastAsia" w:ascii="仿宋_GB2312" w:hAnsi="仿宋_GB2312" w:eastAsia="仿宋_GB2312" w:cs="仿宋_GB2312"/>
          <w:color w:val="auto"/>
          <w:sz w:val="32"/>
          <w:szCs w:val="32"/>
          <w:highlight w:val="none"/>
        </w:rPr>
        <w:t>维持在</w:t>
      </w:r>
      <w:r>
        <w:rPr>
          <w:rFonts w:hint="default" w:ascii="Times New Roman" w:hAnsi="Times New Roman" w:eastAsia="仿宋_GB2312" w:cs="Times New Roman"/>
          <w:color w:val="auto"/>
          <w:sz w:val="32"/>
          <w:szCs w:val="32"/>
          <w:highlight w:val="none"/>
        </w:rPr>
        <w:t>11</w:t>
      </w:r>
      <w:r>
        <w:rPr>
          <w:rFonts w:hint="eastAsia" w:ascii="仿宋_GB2312" w:hAnsi="仿宋_GB2312" w:eastAsia="仿宋_GB2312" w:cs="仿宋_GB2312"/>
          <w:color w:val="auto"/>
          <w:sz w:val="32"/>
          <w:szCs w:val="32"/>
          <w:highlight w:val="none"/>
        </w:rPr>
        <w:t>微克/立方米</w:t>
      </w:r>
      <w:r>
        <w:rPr>
          <w:rFonts w:hint="eastAsia" w:ascii="仿宋_GB2312" w:hAnsi="仿宋_GB2312" w:cs="仿宋_GB2312"/>
          <w:color w:val="auto"/>
          <w:sz w:val="32"/>
          <w:szCs w:val="32"/>
          <w:highlight w:val="none"/>
          <w:lang w:eastAsia="zh-CN"/>
        </w:rPr>
        <w:t>左右</w:t>
      </w:r>
      <w:r>
        <w:rPr>
          <w:rFonts w:hint="eastAsia" w:ascii="仿宋_GB2312" w:hAnsi="仿宋_GB2312" w:eastAsia="仿宋_GB2312" w:cs="仿宋_GB2312"/>
          <w:color w:val="auto"/>
          <w:sz w:val="32"/>
          <w:szCs w:val="32"/>
          <w:highlight w:val="none"/>
        </w:rPr>
        <w:t>，蓝天白云成为三亚最亮丽的城市名片。“六水共治”扎实推进，三亚河、三亚湾、海棠湾入选国家级美丽河湖、美丽海湾案例。赤田水库流域生态环境补偿机制创新实践工作获选国家生态文明试验区改革成果案例，蜈支洲岛珊瑚礁生态系统保护修复项目入选自然资源部海洋生态保护修复典型案例。全方位开展国土空间生态修复工作，扎实推进山水林田湖草沙一体化保护和修复工程</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i w:val="0"/>
          <w:caps w:val="0"/>
          <w:color w:val="auto"/>
          <w:spacing w:val="0"/>
          <w:kern w:val="2"/>
          <w:sz w:val="32"/>
          <w:szCs w:val="32"/>
          <w:highlight w:val="none"/>
          <w:shd w:val="clear" w:color="auto" w:fill="FFFFFF"/>
          <w:lang w:val="en-US" w:eastAsia="zh-CN" w:bidi="ar"/>
        </w:rPr>
        <w:t>“无废城市”建设、新能源汽车推广等走在全省前列。崖州区、海棠区分别入选“绿水青山就是金山银山”实践创新基地。</w:t>
      </w:r>
      <w:r>
        <w:rPr>
          <w:rFonts w:hint="eastAsia" w:ascii="仿宋_GB2312" w:hAnsi="仿宋_GB2312" w:eastAsia="仿宋_GB2312" w:cs="仿宋_GB2312"/>
          <w:color w:val="auto"/>
          <w:sz w:val="32"/>
          <w:szCs w:val="32"/>
          <w:highlight w:val="none"/>
        </w:rPr>
        <w:t>深入推进环保督察和海洋督察反馈问题整改，凤凰岛二期项目、红塘湾临空商贸区拆除和生态修复提前完成。</w:t>
      </w:r>
    </w:p>
    <w:p>
      <w:pPr>
        <w:pStyle w:val="31"/>
        <w:keepNext w:val="0"/>
        <w:keepLines w:val="0"/>
        <w:pageBreakBefore w:val="0"/>
        <w:widowControl w:val="0"/>
        <w:shd w:val="clear"/>
        <w:kinsoku/>
        <w:wordWrap/>
        <w:overflowPunct/>
        <w:topLinePunct w:val="0"/>
        <w:autoSpaceDE/>
        <w:autoSpaceDN/>
        <w:bidi w:val="0"/>
        <w:adjustRightInd w:val="0"/>
        <w:snapToGrid w:val="0"/>
        <w:spacing w:line="576" w:lineRule="exact"/>
        <w:ind w:firstLine="602"/>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bCs/>
          <w:color w:val="auto"/>
          <w:sz w:val="32"/>
          <w:szCs w:val="32"/>
          <w:highlight w:val="none"/>
        </w:rPr>
        <w:t>增进民生福祉取得新成效。</w:t>
      </w:r>
      <w:r>
        <w:rPr>
          <w:rFonts w:hint="eastAsia" w:ascii="仿宋_GB2312" w:hAnsi="仿宋_GB2312" w:eastAsia="仿宋_GB2312" w:cs="仿宋_GB2312"/>
          <w:color w:val="auto"/>
          <w:sz w:val="32"/>
          <w:szCs w:val="32"/>
          <w:highlight w:val="none"/>
        </w:rPr>
        <w:t>强化就业优先政策，市、区、社区（村）三级就业服务体系不断完善，社会保障网进一步织密扎牢。教育供给提质增量，迎宾学校等</w:t>
      </w:r>
      <w:r>
        <w:rPr>
          <w:rFonts w:hint="default" w:ascii="Times New Roman" w:hAnsi="Times New Roman" w:eastAsia="仿宋_GB2312" w:cs="Times New Roman"/>
          <w:color w:val="auto"/>
          <w:sz w:val="32"/>
          <w:szCs w:val="32"/>
          <w:highlight w:val="none"/>
        </w:rPr>
        <w:t>6</w:t>
      </w:r>
      <w:r>
        <w:rPr>
          <w:rFonts w:hint="eastAsia" w:cs="Times New Roman"/>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所中小学、幼儿园建成开学。引进巴蜀中学、苏州中学合作办学，三亚护理职业学院</w:t>
      </w:r>
      <w:r>
        <w:rPr>
          <w:rFonts w:hint="eastAsia" w:ascii="仿宋_GB2312" w:hAnsi="仿宋_GB2312" w:eastAsia="仿宋_GB2312" w:cs="仿宋_GB2312"/>
          <w:color w:val="auto"/>
          <w:sz w:val="32"/>
          <w:szCs w:val="32"/>
          <w:highlight w:val="none"/>
          <w:lang w:eastAsia="zh-CN"/>
        </w:rPr>
        <w:t>和海南洛桑旅游大学正式招生</w:t>
      </w:r>
      <w:r>
        <w:rPr>
          <w:rFonts w:hint="eastAsia" w:ascii="仿宋_GB2312" w:hAnsi="仿宋_GB2312" w:eastAsia="仿宋_GB2312" w:cs="仿宋_GB2312"/>
          <w:color w:val="auto"/>
          <w:sz w:val="32"/>
          <w:szCs w:val="32"/>
          <w:highlight w:val="none"/>
        </w:rPr>
        <w:t>。医疗卫生服务能力快速提升，成功获批建设</w:t>
      </w:r>
      <w:r>
        <w:rPr>
          <w:rFonts w:hint="default" w:ascii="Times New Roman" w:hAnsi="Times New Roman" w:eastAsia="仿宋_GB2312" w:cs="Times New Roman"/>
          <w:color w:val="auto"/>
          <w:sz w:val="32"/>
          <w:szCs w:val="32"/>
          <w:highlight w:val="none"/>
        </w:rPr>
        <w:t>2</w:t>
      </w:r>
      <w:r>
        <w:rPr>
          <w:rFonts w:hint="eastAsia" w:ascii="仿宋_GB2312" w:hAnsi="仿宋_GB2312" w:eastAsia="仿宋_GB2312" w:cs="仿宋_GB2312"/>
          <w:color w:val="auto"/>
          <w:sz w:val="32"/>
          <w:szCs w:val="32"/>
          <w:highlight w:val="none"/>
        </w:rPr>
        <w:t>家国家区域医疗中心，国家中医药传承创新发展试验区加快建设，公立医院改革和高质量发展试点加快推进，医疗集团建设取得突破，引入新加坡鹏瑞利集团开设海南自由贸易港外商独资医院，居民主要健康指标保持全省前列，全市人均预期寿命稳步提高。安居房、公共租赁住房</w:t>
      </w:r>
      <w:r>
        <w:rPr>
          <w:rFonts w:hint="eastAsia" w:ascii="仿宋_GB2312" w:hAnsi="仿宋_GB2312" w:eastAsia="仿宋_GB2312" w:cs="仿宋_GB2312"/>
          <w:color w:val="auto"/>
          <w:sz w:val="32"/>
          <w:szCs w:val="32"/>
          <w:highlight w:val="none"/>
          <w:lang w:eastAsia="zh-CN"/>
        </w:rPr>
        <w:t>保障能力提升，</w:t>
      </w:r>
      <w:r>
        <w:rPr>
          <w:rFonts w:hint="eastAsia" w:ascii="仿宋_GB2312" w:hAnsi="仿宋_GB2312" w:eastAsia="仿宋_GB2312" w:cs="仿宋_GB2312"/>
          <w:color w:val="auto"/>
          <w:sz w:val="32"/>
          <w:szCs w:val="32"/>
          <w:highlight w:val="none"/>
        </w:rPr>
        <w:t>建设安居房约</w:t>
      </w:r>
      <w:r>
        <w:rPr>
          <w:rFonts w:hint="default" w:ascii="Times New Roman" w:hAnsi="Times New Roman" w:eastAsia="仿宋_GB2312" w:cs="Times New Roman"/>
          <w:color w:val="auto"/>
          <w:sz w:val="32"/>
          <w:szCs w:val="32"/>
          <w:highlight w:val="none"/>
        </w:rPr>
        <w:t>2</w:t>
      </w:r>
      <w:r>
        <w:rPr>
          <w:rFonts w:hint="eastAsia" w:ascii="仿宋_GB2312" w:hAnsi="仿宋_GB2312" w:eastAsia="仿宋_GB2312" w:cs="仿宋_GB2312"/>
          <w:color w:val="auto"/>
          <w:sz w:val="32"/>
          <w:szCs w:val="32"/>
          <w:highlight w:val="none"/>
        </w:rPr>
        <w:t>.</w:t>
      </w:r>
      <w:r>
        <w:rPr>
          <w:rFonts w:hint="default" w:ascii="Times New Roman" w:hAnsi="Times New Roman" w:eastAsia="仿宋_GB2312" w:cs="Times New Roman"/>
          <w:color w:val="auto"/>
          <w:sz w:val="32"/>
          <w:szCs w:val="32"/>
          <w:highlight w:val="none"/>
        </w:rPr>
        <w:t>5</w:t>
      </w:r>
      <w:r>
        <w:rPr>
          <w:rFonts w:hint="eastAsia" w:ascii="仿宋_GB2312" w:hAnsi="仿宋_GB2312" w:eastAsia="仿宋_GB2312" w:cs="仿宋_GB2312"/>
          <w:color w:val="auto"/>
          <w:sz w:val="32"/>
          <w:szCs w:val="32"/>
          <w:highlight w:val="none"/>
        </w:rPr>
        <w:t>万套</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公租房</w:t>
      </w:r>
      <w:r>
        <w:rPr>
          <w:rFonts w:hint="default" w:ascii="Times New Roman" w:hAnsi="Times New Roman" w:cs="Times New Roman"/>
          <w:color w:val="auto"/>
          <w:sz w:val="32"/>
          <w:szCs w:val="32"/>
          <w:highlight w:val="none"/>
          <w:lang w:val="en-US" w:eastAsia="zh-CN"/>
        </w:rPr>
        <w:t>1167</w:t>
      </w:r>
      <w:r>
        <w:rPr>
          <w:rFonts w:hint="eastAsia" w:ascii="仿宋_GB2312" w:hAnsi="仿宋_GB2312" w:cs="仿宋_GB2312"/>
          <w:color w:val="auto"/>
          <w:sz w:val="32"/>
          <w:szCs w:val="32"/>
          <w:highlight w:val="none"/>
          <w:lang w:val="en-US" w:eastAsia="zh-CN"/>
        </w:rPr>
        <w:t>套，</w:t>
      </w:r>
      <w:r>
        <w:rPr>
          <w:rFonts w:hint="eastAsia" w:ascii="仿宋_GB2312" w:hAnsi="仿宋_GB2312" w:eastAsia="仿宋_GB2312" w:cs="仿宋_GB2312"/>
          <w:color w:val="auto"/>
          <w:sz w:val="32"/>
          <w:szCs w:val="32"/>
          <w:highlight w:val="none"/>
        </w:rPr>
        <w:t>筹集保障性租赁住房</w:t>
      </w:r>
      <w:r>
        <w:rPr>
          <w:rFonts w:hint="default" w:ascii="Times New Roman" w:hAnsi="Times New Roman" w:eastAsia="仿宋_GB2312" w:cs="Times New Roman"/>
          <w:color w:val="auto"/>
          <w:sz w:val="32"/>
          <w:szCs w:val="32"/>
          <w:highlight w:val="none"/>
        </w:rPr>
        <w:t>4056</w:t>
      </w:r>
      <w:r>
        <w:rPr>
          <w:rFonts w:hint="eastAsia" w:ascii="仿宋_GB2312" w:hAnsi="仿宋_GB2312" w:eastAsia="仿宋_GB2312" w:cs="仿宋_GB2312"/>
          <w:color w:val="auto"/>
          <w:sz w:val="32"/>
          <w:szCs w:val="32"/>
          <w:highlight w:val="none"/>
        </w:rPr>
        <w:t>套</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养老托育服务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孤困儿童关爱保障水平</w:t>
      </w:r>
      <w:r>
        <w:rPr>
          <w:rFonts w:hint="eastAsia" w:ascii="仿宋_GB2312" w:hAnsi="仿宋_GB2312" w:eastAsia="仿宋_GB2312" w:cs="仿宋_GB2312"/>
          <w:color w:val="auto"/>
          <w:sz w:val="32"/>
          <w:szCs w:val="32"/>
          <w:highlight w:val="none"/>
          <w:lang w:eastAsia="zh-CN"/>
        </w:rPr>
        <w:t>不断提升</w:t>
      </w:r>
      <w:r>
        <w:rPr>
          <w:rFonts w:hint="eastAsia" w:ascii="仿宋_GB2312" w:hAnsi="仿宋_GB2312" w:eastAsia="仿宋_GB2312" w:cs="仿宋_GB2312"/>
          <w:color w:val="auto"/>
          <w:sz w:val="32"/>
          <w:szCs w:val="32"/>
          <w:highlight w:val="none"/>
        </w:rPr>
        <w:t>，低收入人口社会救助</w:t>
      </w:r>
      <w:r>
        <w:rPr>
          <w:rFonts w:hint="eastAsia" w:ascii="仿宋_GB2312" w:hAnsi="仿宋_GB2312" w:cs="仿宋_GB2312"/>
          <w:color w:val="auto"/>
          <w:sz w:val="32"/>
          <w:szCs w:val="32"/>
          <w:highlight w:val="none"/>
          <w:lang w:eastAsia="zh-CN"/>
        </w:rPr>
        <w:t>实现</w:t>
      </w:r>
      <w:r>
        <w:rPr>
          <w:rFonts w:hint="eastAsia" w:ascii="仿宋_GB2312" w:hAnsi="仿宋_GB2312" w:eastAsia="仿宋_GB2312" w:cs="仿宋_GB2312"/>
          <w:color w:val="auto"/>
          <w:sz w:val="32"/>
          <w:szCs w:val="32"/>
          <w:highlight w:val="none"/>
        </w:rPr>
        <w:t>扩围增效。守牢不发生规模性返贫致贫底线，脱贫人口实现持续稳定增收。</w:t>
      </w:r>
      <w:r>
        <w:rPr>
          <w:rFonts w:hint="eastAsia" w:ascii="仿宋_GB2312" w:hAnsi="仿宋_GB2312" w:eastAsia="仿宋_GB2312" w:cs="仿宋_GB2312"/>
          <w:color w:val="auto"/>
          <w:sz w:val="32"/>
          <w:szCs w:val="32"/>
          <w:highlight w:val="none"/>
          <w:lang w:val="en-US" w:eastAsia="zh-CN"/>
        </w:rPr>
        <w:t>文化事业和文化产业蓬勃发展，圆满承办第十二届全国少数民族传统体育运动会和海南岛国际电影节，群众性文体活动广泛开展，市体育</w:t>
      </w:r>
      <w:r>
        <w:rPr>
          <w:rFonts w:hint="eastAsia" w:ascii="仿宋_GB2312" w:hAnsi="仿宋_GB2312" w:eastAsia="仿宋_GB2312" w:cs="仿宋_GB2312"/>
          <w:i w:val="0"/>
          <w:caps w:val="0"/>
          <w:color w:val="auto"/>
          <w:spacing w:val="0"/>
          <w:kern w:val="2"/>
          <w:sz w:val="32"/>
          <w:szCs w:val="32"/>
          <w:highlight w:val="none"/>
          <w:shd w:val="clear" w:color="auto" w:fill="FFFFFF"/>
          <w:lang w:val="en-US" w:eastAsia="zh-CN" w:bidi="ar"/>
        </w:rPr>
        <w:t>中心建成运营</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i w:val="0"/>
          <w:caps w:val="0"/>
          <w:color w:val="auto"/>
          <w:spacing w:val="0"/>
          <w:kern w:val="2"/>
          <w:sz w:val="32"/>
          <w:szCs w:val="32"/>
          <w:highlight w:val="none"/>
          <w:shd w:val="clear" w:color="auto" w:fill="FFFFFF"/>
          <w:lang w:val="en-US" w:eastAsia="zh-CN" w:bidi="ar"/>
        </w:rPr>
        <w:t>文明城市创建取得积极成效。</w:t>
      </w:r>
      <w:r>
        <w:rPr>
          <w:rFonts w:hint="eastAsia" w:ascii="仿宋_GB2312" w:hAnsi="仿宋_GB2312" w:cs="仿宋_GB2312"/>
          <w:color w:val="auto"/>
          <w:sz w:val="32"/>
          <w:szCs w:val="32"/>
          <w:highlight w:val="none"/>
          <w:lang w:eastAsia="zh-CN"/>
        </w:rPr>
        <w:t>全市干部群众齐心协力抗击“剑鱼”台风，迅速恢复生产生活秩序。</w:t>
      </w:r>
      <w:r>
        <w:rPr>
          <w:rFonts w:hint="eastAsia" w:ascii="仿宋_GB2312" w:hAnsi="仿宋_GB2312" w:eastAsia="仿宋_GB2312" w:cs="仿宋_GB2312"/>
          <w:color w:val="auto"/>
          <w:sz w:val="32"/>
          <w:szCs w:val="32"/>
          <w:highlight w:val="none"/>
        </w:rPr>
        <w:t>公共服务全面改善，人民群众的获得感幸福感安全感</w:t>
      </w:r>
      <w:r>
        <w:rPr>
          <w:rFonts w:hint="eastAsia" w:ascii="仿宋_GB2312" w:hAnsi="仿宋_GB2312" w:eastAsia="仿宋_GB2312" w:cs="仿宋_GB2312"/>
          <w:color w:val="auto"/>
          <w:sz w:val="32"/>
          <w:szCs w:val="32"/>
          <w:highlight w:val="none"/>
          <w:lang w:eastAsia="zh-CN"/>
        </w:rPr>
        <w:t>不断增强</w:t>
      </w:r>
      <w:r>
        <w:rPr>
          <w:rFonts w:hint="eastAsia" w:ascii="仿宋_GB2312" w:hAnsi="仿宋_GB2312" w:eastAsia="仿宋_GB2312" w:cs="仿宋_GB2312"/>
          <w:color w:val="auto"/>
          <w:sz w:val="32"/>
          <w:szCs w:val="32"/>
          <w:highlight w:val="none"/>
        </w:rPr>
        <w:t>。</w:t>
      </w:r>
    </w:p>
    <w:p>
      <w:pPr>
        <w:pStyle w:val="31"/>
        <w:keepNext w:val="0"/>
        <w:keepLines w:val="0"/>
        <w:pageBreakBefore w:val="0"/>
        <w:widowControl w:val="0"/>
        <w:shd w:val="clear"/>
        <w:kinsoku/>
        <w:wordWrap/>
        <w:overflowPunct/>
        <w:topLinePunct w:val="0"/>
        <w:autoSpaceDE/>
        <w:autoSpaceDN/>
        <w:bidi w:val="0"/>
        <w:adjustRightInd w:val="0"/>
        <w:snapToGrid w:val="0"/>
        <w:spacing w:line="576" w:lineRule="exact"/>
        <w:ind w:firstLine="602"/>
        <w:textAlignment w:val="auto"/>
        <w:rPr>
          <w:rFonts w:hint="eastAsia"/>
          <w:color w:val="auto"/>
          <w:sz w:val="32"/>
          <w:szCs w:val="32"/>
          <w:highlight w:val="none"/>
        </w:rPr>
      </w:pPr>
      <w:r>
        <w:rPr>
          <w:rFonts w:hint="eastAsia" w:ascii="仿宋_GB2312" w:hAnsi="仿宋_GB2312" w:eastAsia="仿宋_GB2312" w:cs="仿宋_GB2312"/>
          <w:b/>
          <w:bCs/>
          <w:color w:val="auto"/>
          <w:sz w:val="32"/>
          <w:szCs w:val="32"/>
          <w:highlight w:val="none"/>
        </w:rPr>
        <w:t>统筹发展和安全展现新作为。</w:t>
      </w:r>
      <w:r>
        <w:rPr>
          <w:rFonts w:hint="eastAsia" w:ascii="仿宋_GB2312" w:hAnsi="仿宋_GB2312" w:eastAsia="仿宋_GB2312" w:cs="仿宋_GB2312"/>
          <w:color w:val="auto"/>
          <w:sz w:val="32"/>
          <w:szCs w:val="32"/>
          <w:highlight w:val="none"/>
        </w:rPr>
        <w:t>健全体制机制，形成工作合力，牢牢守住不发生系统性风险的底线，社会治理体系进一步完善。全面推进法治三亚建设，获评第三批全国法治政府建设示范市。扎实推进平安三亚建设，深化协同高效“八严工程”工作机制，获评全国禁毒示范城市。积极防范应对自然灾害影响，深入开展安全生产专项整治，安全生产形势保持稳定。</w:t>
      </w:r>
    </w:p>
    <w:p>
      <w:pPr>
        <w:pStyle w:val="4"/>
        <w:keepNext w:val="0"/>
        <w:keepLines w:val="0"/>
        <w:pageBreakBefore w:val="0"/>
        <w:widowControl w:val="0"/>
        <w:shd w:val="clear"/>
        <w:kinsoku/>
        <w:wordWrap/>
        <w:overflowPunct/>
        <w:topLinePunct w:val="0"/>
        <w:autoSpaceDE/>
        <w:autoSpaceDN/>
        <w:bidi w:val="0"/>
        <w:adjustRightInd w:val="0"/>
        <w:snapToGrid w:val="0"/>
        <w:spacing w:line="576" w:lineRule="exact"/>
        <w:ind w:left="0" w:leftChars="0" w:firstLine="0" w:firstLineChars="0"/>
        <w:textAlignment w:val="auto"/>
        <w:rPr>
          <w:rFonts w:hint="eastAsia"/>
          <w:color w:val="auto"/>
          <w:sz w:val="32"/>
          <w:szCs w:val="32"/>
          <w:highlight w:val="none"/>
        </w:rPr>
      </w:pPr>
      <w:bookmarkStart w:id="54" w:name="_Toc1921073558"/>
      <w:bookmarkStart w:id="55" w:name="_Toc1480989566"/>
      <w:bookmarkStart w:id="56" w:name="_Toc25093"/>
      <w:bookmarkStart w:id="57" w:name="_Toc1730664934"/>
      <w:bookmarkStart w:id="58" w:name="_Toc1787624065"/>
      <w:bookmarkStart w:id="59" w:name="_Toc187978992"/>
      <w:bookmarkStart w:id="60" w:name="_Toc280104298"/>
      <w:bookmarkStart w:id="61" w:name="_Toc159032532"/>
      <w:bookmarkStart w:id="62" w:name="_Toc211979406"/>
      <w:bookmarkStart w:id="63" w:name="_Toc1281456908"/>
      <w:bookmarkStart w:id="64" w:name="_Toc213447230"/>
    </w:p>
    <w:p>
      <w:pPr>
        <w:pStyle w:val="4"/>
        <w:keepNext w:val="0"/>
        <w:keepLines w:val="0"/>
        <w:pageBreakBefore w:val="0"/>
        <w:widowControl w:val="0"/>
        <w:shd w:val="clear"/>
        <w:kinsoku/>
        <w:wordWrap/>
        <w:overflowPunct/>
        <w:topLinePunct w:val="0"/>
        <w:autoSpaceDE/>
        <w:autoSpaceDN/>
        <w:bidi w:val="0"/>
        <w:adjustRightInd w:val="0"/>
        <w:snapToGrid w:val="0"/>
        <w:spacing w:line="576" w:lineRule="exact"/>
        <w:ind w:left="0" w:leftChars="0" w:firstLine="0" w:firstLineChars="0"/>
        <w:jc w:val="center"/>
        <w:textAlignment w:val="auto"/>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2"/>
          <w:szCs w:val="32"/>
          <w:highlight w:val="none"/>
        </w:rPr>
        <w:t>第二节  机遇挑战</w:t>
      </w:r>
      <w:bookmarkEnd w:id="47"/>
      <w:bookmarkEnd w:id="48"/>
      <w:bookmarkEnd w:id="49"/>
      <w:bookmarkEnd w:id="50"/>
      <w:bookmarkEnd w:id="51"/>
      <w:bookmarkEnd w:id="52"/>
      <w:bookmarkEnd w:id="54"/>
      <w:bookmarkEnd w:id="55"/>
      <w:bookmarkEnd w:id="56"/>
      <w:bookmarkEnd w:id="57"/>
      <w:bookmarkEnd w:id="58"/>
      <w:bookmarkEnd w:id="59"/>
      <w:bookmarkEnd w:id="60"/>
      <w:bookmarkEnd w:id="61"/>
      <w:bookmarkEnd w:id="62"/>
      <w:bookmarkEnd w:id="63"/>
      <w:bookmarkEnd w:id="64"/>
    </w:p>
    <w:p>
      <w:pPr>
        <w:pStyle w:val="31"/>
        <w:keepNext w:val="0"/>
        <w:keepLines w:val="0"/>
        <w:pageBreakBefore w:val="0"/>
        <w:widowControl w:val="0"/>
        <w:shd w:val="clear"/>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color w:val="auto"/>
          <w:sz w:val="32"/>
          <w:szCs w:val="32"/>
          <w:highlight w:val="none"/>
          <w:lang w:val="en-US" w:eastAsia="zh-CN"/>
        </w:rPr>
      </w:pPr>
    </w:p>
    <w:p>
      <w:pPr>
        <w:pStyle w:val="31"/>
        <w:keepNext w:val="0"/>
        <w:keepLines w:val="0"/>
        <w:pageBreakBefore w:val="0"/>
        <w:widowControl w:val="0"/>
        <w:shd w:val="clear"/>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ascii="仿宋_GB2312" w:hAnsi="仿宋_GB2312" w:eastAsia="仿宋_GB2312" w:cs="仿宋_GB2312"/>
          <w:color w:val="auto"/>
          <w:sz w:val="32"/>
          <w:szCs w:val="32"/>
          <w:highlight w:val="none"/>
          <w:lang w:val="en-US" w:eastAsia="zh-CN"/>
        </w:rPr>
        <w:t>“十五五”时期对于三亚基本建成世界知名宜居宜游宜业现代化滨海城市、实现社会主义现代化建设走在全国同类城市前列具有承前启后的重要地位。</w:t>
      </w:r>
      <w:r>
        <w:rPr>
          <w:rFonts w:hint="default"/>
          <w:color w:val="auto"/>
          <w:sz w:val="32"/>
          <w:szCs w:val="32"/>
          <w:highlight w:val="none"/>
          <w:lang w:val="en-US" w:eastAsia="zh-CN"/>
        </w:rPr>
        <w:t>三亚处于战略机遇和风险挑战并存、不确定难预料因素增多</w:t>
      </w:r>
      <w:r>
        <w:rPr>
          <w:rFonts w:hint="eastAsia"/>
          <w:color w:val="auto"/>
          <w:sz w:val="32"/>
          <w:szCs w:val="32"/>
          <w:highlight w:val="none"/>
          <w:lang w:val="en-US" w:eastAsia="zh-CN"/>
        </w:rPr>
        <w:t>的</w:t>
      </w:r>
      <w:r>
        <w:rPr>
          <w:rFonts w:hint="default"/>
          <w:color w:val="auto"/>
          <w:sz w:val="32"/>
          <w:szCs w:val="32"/>
          <w:highlight w:val="none"/>
          <w:lang w:val="en-US" w:eastAsia="zh-CN"/>
        </w:rPr>
        <w:t>时期，但总体上机遇大于挑战、有利因素</w:t>
      </w:r>
      <w:r>
        <w:rPr>
          <w:rFonts w:hint="eastAsia"/>
          <w:color w:val="auto"/>
          <w:sz w:val="32"/>
          <w:szCs w:val="32"/>
          <w:highlight w:val="none"/>
          <w:lang w:val="en-US" w:eastAsia="zh-CN"/>
        </w:rPr>
        <w:t>多</w:t>
      </w:r>
      <w:r>
        <w:rPr>
          <w:rFonts w:hint="default"/>
          <w:color w:val="auto"/>
          <w:sz w:val="32"/>
          <w:szCs w:val="32"/>
          <w:highlight w:val="none"/>
          <w:lang w:val="en-US" w:eastAsia="zh-CN"/>
        </w:rPr>
        <w:t>于不利因素。</w:t>
      </w:r>
    </w:p>
    <w:p>
      <w:pPr>
        <w:pStyle w:val="31"/>
        <w:keepNext w:val="0"/>
        <w:keepLines w:val="0"/>
        <w:pageBreakBefore w:val="0"/>
        <w:widowControl w:val="0"/>
        <w:shd w:val="clear"/>
        <w:kinsoku/>
        <w:wordWrap/>
        <w:overflowPunct/>
        <w:topLinePunct w:val="0"/>
        <w:autoSpaceDE/>
        <w:autoSpaceDN/>
        <w:bidi w:val="0"/>
        <w:adjustRightInd w:val="0"/>
        <w:snapToGrid w:val="0"/>
        <w:spacing w:line="576" w:lineRule="exact"/>
        <w:ind w:firstLine="602"/>
        <w:textAlignment w:val="auto"/>
        <w:rPr>
          <w:rFonts w:hint="eastAsia"/>
          <w:b/>
          <w:color w:val="auto"/>
          <w:sz w:val="32"/>
          <w:szCs w:val="32"/>
          <w:highlight w:val="none"/>
        </w:rPr>
      </w:pPr>
      <w:r>
        <w:rPr>
          <w:rFonts w:hint="eastAsia"/>
          <w:b/>
          <w:color w:val="auto"/>
          <w:sz w:val="32"/>
          <w:szCs w:val="32"/>
          <w:highlight w:val="none"/>
        </w:rPr>
        <w:t>主要机遇。</w:t>
      </w:r>
      <w:r>
        <w:rPr>
          <w:rFonts w:hint="eastAsia"/>
          <w:color w:val="auto"/>
          <w:sz w:val="32"/>
          <w:szCs w:val="32"/>
          <w:highlight w:val="none"/>
          <w:lang w:val="en-US" w:eastAsia="zh-CN"/>
        </w:rPr>
        <w:t>全球经济处于产业链供应链深度调整期、新一轮科技革命和产业变革重大机遇期、大国博弈战略相持期，为三亚发挥独特作用创造了条件。全国统一大市场加速构建，</w:t>
      </w:r>
      <w:r>
        <w:rPr>
          <w:rFonts w:hint="default"/>
          <w:color w:val="auto"/>
          <w:sz w:val="32"/>
          <w:szCs w:val="32"/>
          <w:highlight w:val="none"/>
          <w:lang w:val="en-US" w:eastAsia="zh-CN"/>
        </w:rPr>
        <w:t>海南</w:t>
      </w:r>
      <w:r>
        <w:rPr>
          <w:rFonts w:hint="default"/>
          <w:color w:val="auto"/>
          <w:sz w:val="32"/>
          <w:szCs w:val="32"/>
          <w:highlight w:val="none"/>
          <w:lang w:val="en" w:eastAsia="zh-CN"/>
        </w:rPr>
        <w:t>自由贸易港</w:t>
      </w:r>
      <w:r>
        <w:rPr>
          <w:rFonts w:hint="eastAsia"/>
          <w:color w:val="auto"/>
          <w:sz w:val="32"/>
          <w:szCs w:val="32"/>
          <w:highlight w:val="none"/>
          <w:lang w:val="en-US" w:eastAsia="zh-CN"/>
        </w:rPr>
        <w:t>高标准建设，实施更</w:t>
      </w:r>
      <w:r>
        <w:rPr>
          <w:rFonts w:hint="default"/>
          <w:color w:val="auto"/>
          <w:sz w:val="32"/>
          <w:szCs w:val="32"/>
          <w:highlight w:val="none"/>
          <w:lang w:val="en-US" w:eastAsia="zh-CN"/>
        </w:rPr>
        <w:t>高水平</w:t>
      </w:r>
      <w:r>
        <w:rPr>
          <w:rFonts w:hint="eastAsia"/>
          <w:color w:val="auto"/>
          <w:sz w:val="32"/>
          <w:szCs w:val="32"/>
          <w:highlight w:val="none"/>
          <w:lang w:val="en-US" w:eastAsia="zh-CN"/>
        </w:rPr>
        <w:t>对外</w:t>
      </w:r>
      <w:r>
        <w:rPr>
          <w:rFonts w:hint="default"/>
          <w:color w:val="auto"/>
          <w:sz w:val="32"/>
          <w:szCs w:val="32"/>
          <w:highlight w:val="none"/>
          <w:lang w:val="en-US" w:eastAsia="zh-CN"/>
        </w:rPr>
        <w:t>开放政策</w:t>
      </w:r>
      <w:r>
        <w:rPr>
          <w:rFonts w:hint="eastAsia"/>
          <w:color w:val="auto"/>
          <w:sz w:val="32"/>
          <w:szCs w:val="32"/>
          <w:highlight w:val="none"/>
          <w:lang w:val="en-US" w:eastAsia="zh-CN"/>
        </w:rPr>
        <w:t>，为</w:t>
      </w:r>
      <w:r>
        <w:rPr>
          <w:rFonts w:hint="default"/>
          <w:color w:val="auto"/>
          <w:sz w:val="32"/>
          <w:szCs w:val="32"/>
          <w:highlight w:val="none"/>
          <w:lang w:val="en-US" w:eastAsia="zh-CN"/>
        </w:rPr>
        <w:t>三亚</w:t>
      </w:r>
      <w:r>
        <w:rPr>
          <w:rFonts w:hint="eastAsia"/>
          <w:color w:val="auto"/>
          <w:sz w:val="32"/>
          <w:szCs w:val="32"/>
          <w:highlight w:val="none"/>
          <w:lang w:val="en-US" w:eastAsia="zh-CN"/>
        </w:rPr>
        <w:t>深化改革开放、推进高质量发展带来重大机遇。三亚</w:t>
      </w:r>
      <w:r>
        <w:rPr>
          <w:rFonts w:hint="default"/>
          <w:color w:val="auto"/>
          <w:sz w:val="32"/>
          <w:szCs w:val="32"/>
          <w:highlight w:val="none"/>
          <w:lang w:val="en-US" w:eastAsia="zh-CN"/>
        </w:rPr>
        <w:t>在连接国内国际市场</w:t>
      </w:r>
      <w:r>
        <w:rPr>
          <w:rFonts w:hint="eastAsia"/>
          <w:color w:val="auto"/>
          <w:sz w:val="32"/>
          <w:szCs w:val="32"/>
          <w:highlight w:val="none"/>
          <w:lang w:val="en-US" w:eastAsia="zh-CN"/>
        </w:rPr>
        <w:t>、</w:t>
      </w:r>
      <w:r>
        <w:rPr>
          <w:rFonts w:hint="default"/>
          <w:color w:val="auto"/>
          <w:sz w:val="32"/>
          <w:szCs w:val="32"/>
          <w:highlight w:val="none"/>
          <w:lang w:val="en-US" w:eastAsia="zh-CN"/>
        </w:rPr>
        <w:t>对接东南亚中具有天然区位优势，有望成为国内国际双循环的</w:t>
      </w:r>
      <w:r>
        <w:rPr>
          <w:rFonts w:hint="eastAsia"/>
          <w:color w:val="auto"/>
          <w:sz w:val="32"/>
          <w:szCs w:val="32"/>
          <w:highlight w:val="none"/>
          <w:lang w:val="en-US" w:eastAsia="zh-CN"/>
        </w:rPr>
        <w:t>重要节点</w:t>
      </w:r>
      <w:r>
        <w:rPr>
          <w:rFonts w:hint="default"/>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w:t>
      </w:r>
      <w:r>
        <w:rPr>
          <w:rFonts w:hint="default"/>
          <w:color w:val="auto"/>
          <w:sz w:val="32"/>
          <w:szCs w:val="32"/>
          <w:highlight w:val="none"/>
          <w:lang w:val="en-US" w:eastAsia="zh-CN"/>
        </w:rPr>
        <w:t>四大主导产业</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加速补链延链、优化升级，种业、深海、生物制造等</w:t>
      </w:r>
      <w:r>
        <w:rPr>
          <w:rFonts w:hint="default"/>
          <w:color w:val="auto"/>
          <w:sz w:val="32"/>
          <w:szCs w:val="32"/>
          <w:highlight w:val="none"/>
          <w:lang w:val="en-US" w:eastAsia="zh-CN"/>
        </w:rPr>
        <w:t>未来产业</w:t>
      </w:r>
      <w:r>
        <w:rPr>
          <w:rFonts w:hint="eastAsia"/>
          <w:color w:val="auto"/>
          <w:sz w:val="32"/>
          <w:szCs w:val="32"/>
          <w:highlight w:val="none"/>
          <w:lang w:val="en-US" w:eastAsia="zh-CN"/>
        </w:rPr>
        <w:t>加快培育壮大，具有三亚特色和优势的</w:t>
      </w:r>
      <w:r>
        <w:rPr>
          <w:rFonts w:hint="default"/>
          <w:color w:val="auto"/>
          <w:sz w:val="32"/>
          <w:szCs w:val="32"/>
          <w:highlight w:val="none"/>
          <w:lang w:val="en-US" w:eastAsia="zh-CN"/>
        </w:rPr>
        <w:t>现代化产业体系基本</w:t>
      </w:r>
      <w:r>
        <w:rPr>
          <w:rFonts w:hint="eastAsia"/>
          <w:color w:val="auto"/>
          <w:sz w:val="32"/>
          <w:szCs w:val="32"/>
          <w:highlight w:val="none"/>
          <w:lang w:val="en-US" w:eastAsia="zh-CN"/>
        </w:rPr>
        <w:t>建</w:t>
      </w:r>
      <w:r>
        <w:rPr>
          <w:rFonts w:hint="default"/>
          <w:color w:val="auto"/>
          <w:sz w:val="32"/>
          <w:szCs w:val="32"/>
          <w:highlight w:val="none"/>
          <w:lang w:val="en-US" w:eastAsia="zh-CN"/>
        </w:rPr>
        <w:t>成，新质生产力培育初见成效，为经济跨越式发展提供了强劲引擎。作为国际知名旅游目的地，</w:t>
      </w:r>
      <w:r>
        <w:rPr>
          <w:rFonts w:hint="eastAsia"/>
          <w:color w:val="auto"/>
          <w:sz w:val="32"/>
          <w:szCs w:val="32"/>
          <w:highlight w:val="none"/>
          <w:lang w:val="en-US" w:eastAsia="zh-CN"/>
        </w:rPr>
        <w:t>三亚</w:t>
      </w:r>
      <w:r>
        <w:rPr>
          <w:rFonts w:hint="default"/>
          <w:color w:val="auto"/>
          <w:sz w:val="32"/>
          <w:szCs w:val="32"/>
          <w:highlight w:val="none"/>
          <w:lang w:val="en-US" w:eastAsia="zh-CN"/>
        </w:rPr>
        <w:t>在吸引全球高端要素、打造国际旅游消费中心核心区方面潜力巨大。</w:t>
      </w:r>
    </w:p>
    <w:p>
      <w:pPr>
        <w:pStyle w:val="31"/>
        <w:keepNext w:val="0"/>
        <w:keepLines w:val="0"/>
        <w:pageBreakBefore w:val="0"/>
        <w:widowControl w:val="0"/>
        <w:shd w:val="clear"/>
        <w:kinsoku/>
        <w:wordWrap/>
        <w:overflowPunct/>
        <w:topLinePunct w:val="0"/>
        <w:autoSpaceDE/>
        <w:autoSpaceDN/>
        <w:bidi w:val="0"/>
        <w:adjustRightInd w:val="0"/>
        <w:snapToGrid w:val="0"/>
        <w:spacing w:line="576" w:lineRule="exact"/>
        <w:ind w:firstLine="0"/>
        <w:textAlignment w:val="auto"/>
        <w:rPr>
          <w:color w:val="auto"/>
          <w:sz w:val="32"/>
          <w:szCs w:val="32"/>
          <w:highlight w:val="none"/>
        </w:rPr>
      </w:pPr>
      <w:r>
        <w:rPr>
          <w:rFonts w:hint="eastAsia"/>
          <w:b/>
          <w:color w:val="auto"/>
          <w:sz w:val="32"/>
          <w:szCs w:val="32"/>
          <w:highlight w:val="none"/>
        </w:rPr>
        <w:t>主要挑战。</w:t>
      </w:r>
      <w:r>
        <w:rPr>
          <w:rFonts w:hint="default"/>
          <w:color w:val="auto"/>
          <w:sz w:val="32"/>
          <w:szCs w:val="32"/>
          <w:highlight w:val="none"/>
          <w:lang w:val="en-US" w:eastAsia="zh-CN"/>
        </w:rPr>
        <w:t>世界百年</w:t>
      </w:r>
      <w:r>
        <w:rPr>
          <w:rFonts w:hint="eastAsia"/>
          <w:color w:val="auto"/>
          <w:sz w:val="32"/>
          <w:szCs w:val="32"/>
          <w:highlight w:val="none"/>
          <w:lang w:val="en-US" w:eastAsia="zh-CN"/>
        </w:rPr>
        <w:t>未有之大</w:t>
      </w:r>
      <w:r>
        <w:rPr>
          <w:rFonts w:hint="default"/>
          <w:color w:val="auto"/>
          <w:sz w:val="32"/>
          <w:szCs w:val="32"/>
          <w:highlight w:val="none"/>
          <w:lang w:val="en-US" w:eastAsia="zh-CN"/>
        </w:rPr>
        <w:t>变局加速演进，国际地缘冲突</w:t>
      </w:r>
      <w:r>
        <w:rPr>
          <w:rFonts w:hint="eastAsia"/>
          <w:color w:val="auto"/>
          <w:sz w:val="32"/>
          <w:szCs w:val="32"/>
          <w:highlight w:val="none"/>
          <w:lang w:val="en-US" w:eastAsia="zh-CN"/>
        </w:rPr>
        <w:t>易发多发，</w:t>
      </w:r>
      <w:r>
        <w:rPr>
          <w:rFonts w:hint="default"/>
          <w:color w:val="auto"/>
          <w:sz w:val="32"/>
          <w:szCs w:val="32"/>
          <w:highlight w:val="none"/>
          <w:lang w:val="en-US" w:eastAsia="zh-CN"/>
        </w:rPr>
        <w:t>全球经济下行压力</w:t>
      </w:r>
      <w:r>
        <w:rPr>
          <w:rFonts w:hint="eastAsia"/>
          <w:color w:val="auto"/>
          <w:sz w:val="32"/>
          <w:szCs w:val="32"/>
          <w:highlight w:val="none"/>
          <w:lang w:val="en-US" w:eastAsia="zh-CN"/>
        </w:rPr>
        <w:t>加大</w:t>
      </w:r>
      <w:r>
        <w:rPr>
          <w:rFonts w:hint="default"/>
          <w:color w:val="auto"/>
          <w:sz w:val="32"/>
          <w:szCs w:val="32"/>
          <w:highlight w:val="none"/>
          <w:lang w:val="en-US" w:eastAsia="zh-CN"/>
        </w:rPr>
        <w:t>，对旅游业、对外贸易和投资合作带来冲击。三亚</w:t>
      </w:r>
      <w:r>
        <w:rPr>
          <w:rFonts w:hint="eastAsia"/>
          <w:color w:val="auto"/>
          <w:sz w:val="32"/>
          <w:szCs w:val="32"/>
          <w:highlight w:val="none"/>
          <w:lang w:val="en-US" w:eastAsia="zh-CN"/>
        </w:rPr>
        <w:t>产业结构亟需优化升级</w:t>
      </w:r>
      <w:r>
        <w:rPr>
          <w:rFonts w:hint="default"/>
          <w:color w:val="auto"/>
          <w:sz w:val="32"/>
          <w:szCs w:val="32"/>
          <w:highlight w:val="none"/>
          <w:lang w:val="en-US" w:eastAsia="zh-CN"/>
        </w:rPr>
        <w:t>，科技创新策源和成果转化能力有待进一步</w:t>
      </w:r>
      <w:r>
        <w:rPr>
          <w:rFonts w:hint="eastAsia"/>
          <w:color w:val="auto"/>
          <w:sz w:val="32"/>
          <w:szCs w:val="32"/>
          <w:highlight w:val="none"/>
          <w:lang w:val="en-US" w:eastAsia="zh-CN"/>
        </w:rPr>
        <w:t>提高</w:t>
      </w:r>
      <w:r>
        <w:rPr>
          <w:rFonts w:hint="default"/>
          <w:color w:val="auto"/>
          <w:sz w:val="32"/>
          <w:szCs w:val="32"/>
          <w:highlight w:val="none"/>
          <w:lang w:val="en-US" w:eastAsia="zh-CN"/>
        </w:rPr>
        <w:t>，城乡发展不平衡</w:t>
      </w:r>
      <w:r>
        <w:rPr>
          <w:rFonts w:hint="eastAsia"/>
          <w:color w:val="auto"/>
          <w:sz w:val="32"/>
          <w:szCs w:val="32"/>
          <w:highlight w:val="none"/>
          <w:lang w:val="en-US" w:eastAsia="zh-CN"/>
        </w:rPr>
        <w:t>不充分</w:t>
      </w:r>
      <w:r>
        <w:rPr>
          <w:rFonts w:hint="default"/>
          <w:color w:val="auto"/>
          <w:sz w:val="32"/>
          <w:szCs w:val="32"/>
          <w:highlight w:val="none"/>
          <w:lang w:val="en-US" w:eastAsia="zh-CN"/>
        </w:rPr>
        <w:t>、民生领域短板等问题</w:t>
      </w:r>
      <w:r>
        <w:rPr>
          <w:rFonts w:hint="eastAsia"/>
          <w:color w:val="auto"/>
          <w:sz w:val="32"/>
          <w:szCs w:val="32"/>
          <w:highlight w:val="none"/>
          <w:lang w:val="en-US" w:eastAsia="zh-CN"/>
        </w:rPr>
        <w:t>比较突出</w:t>
      </w:r>
      <w:r>
        <w:rPr>
          <w:rFonts w:hint="default"/>
          <w:color w:val="auto"/>
          <w:sz w:val="32"/>
          <w:szCs w:val="32"/>
          <w:highlight w:val="none"/>
          <w:lang w:val="en-US" w:eastAsia="zh-CN"/>
        </w:rPr>
        <w:t>。封关运作</w:t>
      </w:r>
      <w:r>
        <w:rPr>
          <w:rFonts w:hint="eastAsia"/>
          <w:color w:val="auto"/>
          <w:sz w:val="32"/>
          <w:szCs w:val="32"/>
          <w:highlight w:val="none"/>
          <w:lang w:val="en-US" w:eastAsia="zh-CN"/>
        </w:rPr>
        <w:t>后在</w:t>
      </w:r>
      <w:r>
        <w:rPr>
          <w:rFonts w:hint="default"/>
          <w:color w:val="auto"/>
          <w:sz w:val="32"/>
          <w:szCs w:val="32"/>
          <w:highlight w:val="none"/>
          <w:lang w:val="en-US" w:eastAsia="zh-CN"/>
        </w:rPr>
        <w:t>贸易、金融、数据</w:t>
      </w:r>
      <w:r>
        <w:rPr>
          <w:rFonts w:hint="eastAsia"/>
          <w:color w:val="auto"/>
          <w:sz w:val="32"/>
          <w:szCs w:val="32"/>
          <w:highlight w:val="none"/>
          <w:lang w:val="en-US" w:eastAsia="zh-CN"/>
        </w:rPr>
        <w:t>、走私</w:t>
      </w:r>
      <w:r>
        <w:rPr>
          <w:rFonts w:hint="default"/>
          <w:color w:val="auto"/>
          <w:sz w:val="32"/>
          <w:szCs w:val="32"/>
          <w:highlight w:val="none"/>
          <w:lang w:val="en-US" w:eastAsia="zh-CN"/>
        </w:rPr>
        <w:t>等</w:t>
      </w:r>
      <w:r>
        <w:rPr>
          <w:rFonts w:hint="eastAsia"/>
          <w:color w:val="auto"/>
          <w:sz w:val="32"/>
          <w:szCs w:val="32"/>
          <w:highlight w:val="none"/>
          <w:lang w:val="en-US" w:eastAsia="zh-CN"/>
        </w:rPr>
        <w:t>方面</w:t>
      </w:r>
      <w:r>
        <w:rPr>
          <w:rFonts w:hint="default"/>
          <w:color w:val="auto"/>
          <w:sz w:val="32"/>
          <w:szCs w:val="32"/>
          <w:highlight w:val="none"/>
          <w:lang w:val="en-US" w:eastAsia="zh-CN"/>
        </w:rPr>
        <w:t>的风险</w:t>
      </w:r>
      <w:r>
        <w:rPr>
          <w:rFonts w:hint="eastAsia"/>
          <w:color w:val="auto"/>
          <w:sz w:val="32"/>
          <w:szCs w:val="32"/>
          <w:highlight w:val="none"/>
          <w:lang w:val="en-US" w:eastAsia="zh-CN"/>
        </w:rPr>
        <w:t>隐患增多</w:t>
      </w:r>
      <w:r>
        <w:rPr>
          <w:rFonts w:hint="default"/>
          <w:color w:val="auto"/>
          <w:sz w:val="32"/>
          <w:szCs w:val="32"/>
          <w:highlight w:val="none"/>
          <w:lang w:val="en-US" w:eastAsia="zh-CN"/>
        </w:rPr>
        <w:t>，既</w:t>
      </w:r>
      <w:r>
        <w:rPr>
          <w:rFonts w:hint="eastAsia" w:ascii="仿宋_GB2312" w:hAnsi="仿宋_GB2312" w:eastAsia="仿宋_GB2312" w:cs="仿宋_GB2312"/>
          <w:color w:val="auto"/>
          <w:sz w:val="32"/>
          <w:szCs w:val="32"/>
          <w:highlight w:val="none"/>
          <w:lang w:val="en-US" w:eastAsia="zh-CN"/>
        </w:rPr>
        <w:t>“</w:t>
      </w:r>
      <w:r>
        <w:rPr>
          <w:rFonts w:hint="default"/>
          <w:color w:val="auto"/>
          <w:sz w:val="32"/>
          <w:szCs w:val="32"/>
          <w:highlight w:val="none"/>
          <w:lang w:val="en-US" w:eastAsia="zh-CN"/>
        </w:rPr>
        <w:t>放得活</w:t>
      </w:r>
      <w:r>
        <w:rPr>
          <w:rFonts w:hint="eastAsia" w:ascii="仿宋_GB2312" w:hAnsi="仿宋_GB2312" w:eastAsia="仿宋_GB2312" w:cs="仿宋_GB2312"/>
          <w:color w:val="auto"/>
          <w:sz w:val="32"/>
          <w:szCs w:val="32"/>
          <w:highlight w:val="none"/>
          <w:lang w:val="en-US" w:eastAsia="zh-CN"/>
        </w:rPr>
        <w:t>”</w:t>
      </w:r>
      <w:r>
        <w:rPr>
          <w:rFonts w:hint="default"/>
          <w:color w:val="auto"/>
          <w:sz w:val="32"/>
          <w:szCs w:val="32"/>
          <w:highlight w:val="none"/>
          <w:lang w:val="en-US" w:eastAsia="zh-CN"/>
        </w:rPr>
        <w:t>又</w:t>
      </w:r>
      <w:r>
        <w:rPr>
          <w:rFonts w:hint="eastAsia" w:ascii="仿宋_GB2312" w:hAnsi="仿宋_GB2312" w:eastAsia="仿宋_GB2312" w:cs="仿宋_GB2312"/>
          <w:color w:val="auto"/>
          <w:sz w:val="32"/>
          <w:szCs w:val="32"/>
          <w:highlight w:val="none"/>
          <w:lang w:val="en-US" w:eastAsia="zh-CN"/>
        </w:rPr>
        <w:t>“</w:t>
      </w:r>
      <w:r>
        <w:rPr>
          <w:rFonts w:hint="default"/>
          <w:color w:val="auto"/>
          <w:sz w:val="32"/>
          <w:szCs w:val="32"/>
          <w:highlight w:val="none"/>
          <w:lang w:val="en-US" w:eastAsia="zh-CN"/>
        </w:rPr>
        <w:t>管得好</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面临严峻考验</w:t>
      </w:r>
      <w:r>
        <w:rPr>
          <w:rFonts w:hint="default"/>
          <w:color w:val="auto"/>
          <w:sz w:val="32"/>
          <w:szCs w:val="32"/>
          <w:highlight w:val="none"/>
          <w:lang w:val="en-US" w:eastAsia="zh-CN"/>
        </w:rPr>
        <w:t>。</w:t>
      </w:r>
    </w:p>
    <w:p>
      <w:pPr>
        <w:pStyle w:val="31"/>
        <w:keepNext w:val="0"/>
        <w:keepLines w:val="0"/>
        <w:pageBreakBefore w:val="0"/>
        <w:widowControl w:val="0"/>
        <w:shd w:val="clear"/>
        <w:kinsoku/>
        <w:wordWrap/>
        <w:overflowPunct/>
        <w:topLinePunct w:val="0"/>
        <w:autoSpaceDE/>
        <w:autoSpaceDN/>
        <w:bidi w:val="0"/>
        <w:adjustRightInd w:val="0"/>
        <w:snapToGrid w:val="0"/>
        <w:spacing w:line="576" w:lineRule="exact"/>
        <w:ind w:firstLine="0"/>
        <w:textAlignment w:val="auto"/>
        <w:rPr>
          <w:color w:val="auto"/>
          <w:sz w:val="32"/>
          <w:szCs w:val="32"/>
          <w:highlight w:val="none"/>
        </w:rPr>
      </w:pPr>
      <w:r>
        <w:rPr>
          <w:rFonts w:hint="default"/>
          <w:color w:val="auto"/>
          <w:sz w:val="32"/>
          <w:szCs w:val="32"/>
          <w:highlight w:val="none"/>
          <w:lang w:val="en-US" w:eastAsia="zh-CN"/>
        </w:rPr>
        <w:t>变局蕴藏机遇，挑战激发斗志。全市上下</w:t>
      </w:r>
      <w:r>
        <w:rPr>
          <w:rFonts w:hint="eastAsia"/>
          <w:color w:val="auto"/>
          <w:sz w:val="32"/>
          <w:szCs w:val="32"/>
          <w:highlight w:val="none"/>
          <w:lang w:val="en-US" w:eastAsia="zh-CN"/>
        </w:rPr>
        <w:t>要</w:t>
      </w:r>
      <w:r>
        <w:rPr>
          <w:rFonts w:hint="default"/>
          <w:color w:val="auto"/>
          <w:sz w:val="32"/>
          <w:szCs w:val="32"/>
          <w:highlight w:val="none"/>
          <w:lang w:val="en-US" w:eastAsia="zh-CN"/>
        </w:rPr>
        <w:t>深刻领悟</w:t>
      </w:r>
      <w:r>
        <w:rPr>
          <w:rFonts w:hint="eastAsia" w:ascii="仿宋_GB2312" w:hAnsi="仿宋_GB2312" w:eastAsia="仿宋_GB2312" w:cs="仿宋_GB2312"/>
          <w:color w:val="auto"/>
          <w:sz w:val="32"/>
          <w:szCs w:val="32"/>
          <w:highlight w:val="none"/>
          <w:lang w:val="en-US" w:eastAsia="zh-CN"/>
        </w:rPr>
        <w:t>“</w:t>
      </w:r>
      <w:r>
        <w:rPr>
          <w:rFonts w:hint="default"/>
          <w:color w:val="auto"/>
          <w:sz w:val="32"/>
          <w:szCs w:val="32"/>
          <w:highlight w:val="none"/>
          <w:lang w:val="en-US" w:eastAsia="zh-CN"/>
        </w:rPr>
        <w:t>两个确立</w:t>
      </w:r>
      <w:r>
        <w:rPr>
          <w:rFonts w:hint="eastAsia" w:ascii="仿宋_GB2312" w:hAnsi="仿宋_GB2312" w:eastAsia="仿宋_GB2312" w:cs="仿宋_GB2312"/>
          <w:color w:val="auto"/>
          <w:sz w:val="32"/>
          <w:szCs w:val="32"/>
          <w:highlight w:val="none"/>
          <w:lang w:val="en-US" w:eastAsia="zh-CN"/>
        </w:rPr>
        <w:t>”</w:t>
      </w:r>
      <w:r>
        <w:rPr>
          <w:rFonts w:hint="default"/>
          <w:color w:val="auto"/>
          <w:sz w:val="32"/>
          <w:szCs w:val="32"/>
          <w:highlight w:val="none"/>
          <w:lang w:val="en-US" w:eastAsia="zh-CN"/>
        </w:rPr>
        <w:t>的决定性意义，增强</w:t>
      </w:r>
      <w:r>
        <w:rPr>
          <w:rFonts w:hint="eastAsia" w:ascii="仿宋_GB2312" w:hAnsi="仿宋_GB2312" w:eastAsia="仿宋_GB2312" w:cs="仿宋_GB2312"/>
          <w:color w:val="auto"/>
          <w:sz w:val="32"/>
          <w:szCs w:val="32"/>
          <w:highlight w:val="none"/>
          <w:lang w:val="en-US" w:eastAsia="zh-CN"/>
        </w:rPr>
        <w:t>“</w:t>
      </w:r>
      <w:r>
        <w:rPr>
          <w:rFonts w:hint="default"/>
          <w:color w:val="auto"/>
          <w:sz w:val="32"/>
          <w:szCs w:val="32"/>
          <w:highlight w:val="none"/>
          <w:lang w:val="en-US" w:eastAsia="zh-CN"/>
        </w:rPr>
        <w:t>四个意识</w:t>
      </w:r>
      <w:r>
        <w:rPr>
          <w:rFonts w:hint="eastAsia" w:ascii="仿宋_GB2312" w:hAnsi="仿宋_GB2312" w:eastAsia="仿宋_GB2312" w:cs="仿宋_GB2312"/>
          <w:color w:val="auto"/>
          <w:sz w:val="32"/>
          <w:szCs w:val="32"/>
          <w:highlight w:val="none"/>
          <w:lang w:val="en-US" w:eastAsia="zh-CN"/>
        </w:rPr>
        <w:t>”</w:t>
      </w:r>
      <w:r>
        <w:rPr>
          <w:rFonts w:hint="default"/>
          <w:color w:val="auto"/>
          <w:sz w:val="32"/>
          <w:szCs w:val="32"/>
          <w:highlight w:val="none"/>
          <w:lang w:val="en-US" w:eastAsia="zh-CN"/>
        </w:rPr>
        <w:t>、坚定</w:t>
      </w:r>
      <w:r>
        <w:rPr>
          <w:rFonts w:hint="eastAsia" w:ascii="仿宋_GB2312" w:hAnsi="仿宋_GB2312" w:eastAsia="仿宋_GB2312" w:cs="仿宋_GB2312"/>
          <w:color w:val="auto"/>
          <w:sz w:val="32"/>
          <w:szCs w:val="32"/>
          <w:highlight w:val="none"/>
          <w:lang w:val="en-US" w:eastAsia="zh-CN"/>
        </w:rPr>
        <w:t>“</w:t>
      </w:r>
      <w:r>
        <w:rPr>
          <w:rFonts w:hint="default"/>
          <w:color w:val="auto"/>
          <w:sz w:val="32"/>
          <w:szCs w:val="32"/>
          <w:highlight w:val="none"/>
          <w:lang w:val="en-US" w:eastAsia="zh-CN"/>
        </w:rPr>
        <w:t>四个自信</w:t>
      </w:r>
      <w:r>
        <w:rPr>
          <w:rFonts w:hint="eastAsia" w:ascii="仿宋_GB2312" w:hAnsi="仿宋_GB2312" w:eastAsia="仿宋_GB2312" w:cs="仿宋_GB2312"/>
          <w:color w:val="auto"/>
          <w:sz w:val="32"/>
          <w:szCs w:val="32"/>
          <w:highlight w:val="none"/>
          <w:lang w:val="en-US" w:eastAsia="zh-CN"/>
        </w:rPr>
        <w:t>”</w:t>
      </w:r>
      <w:r>
        <w:rPr>
          <w:rFonts w:hint="default"/>
          <w:color w:val="auto"/>
          <w:sz w:val="32"/>
          <w:szCs w:val="32"/>
          <w:highlight w:val="none"/>
          <w:lang w:val="en-US" w:eastAsia="zh-CN"/>
        </w:rPr>
        <w:t>、做到</w:t>
      </w:r>
      <w:r>
        <w:rPr>
          <w:rFonts w:hint="eastAsia" w:ascii="仿宋_GB2312" w:hAnsi="仿宋_GB2312" w:eastAsia="仿宋_GB2312" w:cs="仿宋_GB2312"/>
          <w:color w:val="auto"/>
          <w:sz w:val="32"/>
          <w:szCs w:val="32"/>
          <w:highlight w:val="none"/>
          <w:lang w:val="en-US" w:eastAsia="zh-CN"/>
        </w:rPr>
        <w:t>“</w:t>
      </w:r>
      <w:r>
        <w:rPr>
          <w:rFonts w:hint="default"/>
          <w:color w:val="auto"/>
          <w:sz w:val="32"/>
          <w:szCs w:val="32"/>
          <w:highlight w:val="none"/>
          <w:lang w:val="en-US" w:eastAsia="zh-CN"/>
        </w:rPr>
        <w:t>两个维护</w:t>
      </w:r>
      <w:r>
        <w:rPr>
          <w:rFonts w:hint="eastAsia" w:ascii="仿宋_GB2312" w:hAnsi="仿宋_GB2312" w:eastAsia="仿宋_GB2312" w:cs="仿宋_GB2312"/>
          <w:color w:val="auto"/>
          <w:sz w:val="32"/>
          <w:szCs w:val="32"/>
          <w:highlight w:val="none"/>
          <w:lang w:val="en-US" w:eastAsia="zh-CN"/>
        </w:rPr>
        <w:t>”</w:t>
      </w:r>
      <w:r>
        <w:rPr>
          <w:rFonts w:hint="default"/>
          <w:color w:val="auto"/>
          <w:sz w:val="32"/>
          <w:szCs w:val="32"/>
          <w:highlight w:val="none"/>
          <w:lang w:val="en-US" w:eastAsia="zh-CN"/>
        </w:rPr>
        <w:t>，</w:t>
      </w:r>
      <w:r>
        <w:rPr>
          <w:rFonts w:hint="eastAsia"/>
          <w:color w:val="auto"/>
          <w:sz w:val="32"/>
          <w:szCs w:val="32"/>
          <w:highlight w:val="none"/>
          <w:lang w:val="en-US" w:eastAsia="zh-CN"/>
        </w:rPr>
        <w:t>充分</w:t>
      </w:r>
      <w:r>
        <w:rPr>
          <w:rFonts w:hint="default"/>
          <w:color w:val="auto"/>
          <w:sz w:val="32"/>
          <w:szCs w:val="32"/>
          <w:highlight w:val="none"/>
          <w:lang w:val="en-US" w:eastAsia="zh-CN"/>
        </w:rPr>
        <w:t>认识三亚在服务国家战略和</w:t>
      </w:r>
      <w:r>
        <w:rPr>
          <w:rFonts w:hint="default"/>
          <w:color w:val="auto"/>
          <w:sz w:val="32"/>
          <w:szCs w:val="32"/>
          <w:highlight w:val="none"/>
          <w:lang w:val="en" w:eastAsia="zh-CN"/>
        </w:rPr>
        <w:t>自由贸易港</w:t>
      </w:r>
      <w:r>
        <w:rPr>
          <w:rFonts w:hint="default"/>
          <w:color w:val="auto"/>
          <w:sz w:val="32"/>
          <w:szCs w:val="32"/>
          <w:highlight w:val="none"/>
          <w:lang w:val="en-US" w:eastAsia="zh-CN"/>
        </w:rPr>
        <w:t>建设大局中的特殊使命，解放思想、大胆创新，以历史主动精神</w:t>
      </w:r>
      <w:r>
        <w:rPr>
          <w:rFonts w:hint="eastAsia"/>
          <w:color w:val="auto"/>
          <w:sz w:val="32"/>
          <w:szCs w:val="32"/>
          <w:highlight w:val="none"/>
          <w:lang w:val="en-US" w:eastAsia="zh-CN"/>
        </w:rPr>
        <w:t>抢抓机遇</w:t>
      </w:r>
      <w:r>
        <w:rPr>
          <w:rFonts w:hint="default"/>
          <w:color w:val="auto"/>
          <w:sz w:val="32"/>
          <w:szCs w:val="32"/>
          <w:highlight w:val="none"/>
          <w:lang w:val="en-US" w:eastAsia="zh-CN"/>
        </w:rPr>
        <w:t>、应对挑战，为基本建成世界知名宜居宜游宜业现代化滨海城市奠定</w:t>
      </w:r>
      <w:r>
        <w:rPr>
          <w:rFonts w:hint="eastAsia"/>
          <w:color w:val="auto"/>
          <w:sz w:val="32"/>
          <w:szCs w:val="32"/>
          <w:highlight w:val="none"/>
          <w:lang w:val="en-US" w:eastAsia="zh-CN"/>
        </w:rPr>
        <w:t>坚实</w:t>
      </w:r>
      <w:r>
        <w:rPr>
          <w:rFonts w:hint="default"/>
          <w:color w:val="auto"/>
          <w:sz w:val="32"/>
          <w:szCs w:val="32"/>
          <w:highlight w:val="none"/>
          <w:lang w:val="en-US" w:eastAsia="zh-CN"/>
        </w:rPr>
        <w:t>基础，在</w:t>
      </w:r>
      <w:r>
        <w:rPr>
          <w:rFonts w:hint="eastAsia" w:ascii="仿宋_GB2312" w:hAnsi="仿宋_GB2312" w:eastAsia="仿宋_GB2312" w:cs="仿宋_GB2312"/>
          <w:color w:val="auto"/>
          <w:sz w:val="32"/>
          <w:szCs w:val="32"/>
          <w:highlight w:val="none"/>
          <w:lang w:val="en-US" w:eastAsia="zh-CN"/>
        </w:rPr>
        <w:t>“</w:t>
      </w:r>
      <w:r>
        <w:rPr>
          <w:rFonts w:hint="default"/>
          <w:color w:val="auto"/>
          <w:sz w:val="32"/>
          <w:szCs w:val="32"/>
          <w:highlight w:val="none"/>
          <w:lang w:val="en-US" w:eastAsia="zh-CN"/>
        </w:rPr>
        <w:t>十五五</w:t>
      </w:r>
      <w:r>
        <w:rPr>
          <w:rFonts w:hint="eastAsia" w:ascii="仿宋_GB2312" w:hAnsi="仿宋_GB2312" w:eastAsia="仿宋_GB2312" w:cs="仿宋_GB2312"/>
          <w:color w:val="auto"/>
          <w:sz w:val="32"/>
          <w:szCs w:val="32"/>
          <w:highlight w:val="none"/>
          <w:lang w:val="en-US" w:eastAsia="zh-CN"/>
        </w:rPr>
        <w:t>”</w:t>
      </w:r>
      <w:r>
        <w:rPr>
          <w:rFonts w:hint="default"/>
          <w:color w:val="auto"/>
          <w:sz w:val="32"/>
          <w:szCs w:val="32"/>
          <w:highlight w:val="none"/>
          <w:lang w:val="en-US" w:eastAsia="zh-CN"/>
        </w:rPr>
        <w:t>时期奋力谱写中国式现代化海南篇章三亚章节。</w:t>
      </w:r>
    </w:p>
    <w:p>
      <w:pPr>
        <w:pStyle w:val="4"/>
        <w:keepNext w:val="0"/>
        <w:keepLines w:val="0"/>
        <w:pageBreakBefore w:val="0"/>
        <w:widowControl w:val="0"/>
        <w:shd w:val="clear"/>
        <w:kinsoku/>
        <w:wordWrap/>
        <w:overflowPunct/>
        <w:topLinePunct w:val="0"/>
        <w:autoSpaceDE/>
        <w:autoSpaceDN/>
        <w:bidi w:val="0"/>
        <w:adjustRightInd w:val="0"/>
        <w:snapToGrid w:val="0"/>
        <w:spacing w:line="550" w:lineRule="exact"/>
        <w:ind w:left="0" w:leftChars="0" w:firstLine="0" w:firstLineChars="0"/>
        <w:textAlignment w:val="auto"/>
        <w:rPr>
          <w:rFonts w:hint="eastAsia"/>
          <w:color w:val="auto"/>
          <w:sz w:val="32"/>
          <w:szCs w:val="32"/>
          <w:highlight w:val="none"/>
        </w:rPr>
      </w:pPr>
      <w:bookmarkStart w:id="65" w:name="_Toc1335413708"/>
      <w:bookmarkStart w:id="66" w:name="_Toc741882026"/>
      <w:bookmarkStart w:id="67" w:name="_Toc1334775239"/>
      <w:bookmarkStart w:id="68" w:name="_Toc1306934068"/>
      <w:bookmarkStart w:id="69" w:name="_Toc211979407"/>
      <w:bookmarkStart w:id="70" w:name="_Toc603637983"/>
      <w:bookmarkStart w:id="71" w:name="_Toc588636569"/>
      <w:bookmarkStart w:id="72" w:name="_Toc1003409334"/>
      <w:bookmarkStart w:id="73" w:name="_Toc1113023904"/>
      <w:bookmarkStart w:id="74" w:name="_Toc1029796800"/>
      <w:bookmarkStart w:id="75" w:name="_Toc213447231"/>
      <w:bookmarkStart w:id="76" w:name="_Toc30661"/>
      <w:bookmarkStart w:id="77" w:name="_Toc1829518434"/>
      <w:bookmarkStart w:id="78" w:name="_Toc1874017306"/>
      <w:bookmarkStart w:id="79" w:name="_Toc665517437"/>
      <w:bookmarkStart w:id="80" w:name="_Toc155488560"/>
      <w:bookmarkStart w:id="81" w:name="_Toc16823"/>
    </w:p>
    <w:p>
      <w:pPr>
        <w:pStyle w:val="4"/>
        <w:keepNext w:val="0"/>
        <w:keepLines w:val="0"/>
        <w:pageBreakBefore w:val="0"/>
        <w:widowControl w:val="0"/>
        <w:shd w:val="clear"/>
        <w:kinsoku/>
        <w:wordWrap/>
        <w:overflowPunct/>
        <w:topLinePunct w:val="0"/>
        <w:autoSpaceDE/>
        <w:autoSpaceDN/>
        <w:bidi w:val="0"/>
        <w:adjustRightInd w:val="0"/>
        <w:snapToGrid w:val="0"/>
        <w:spacing w:line="550"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第三节  指导思想</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pPr>
        <w:pStyle w:val="31"/>
        <w:keepNext w:val="0"/>
        <w:keepLines w:val="0"/>
        <w:pageBreakBefore w:val="0"/>
        <w:widowControl w:val="0"/>
        <w:kinsoku/>
        <w:wordWrap/>
        <w:overflowPunct/>
        <w:topLinePunct w:val="0"/>
        <w:autoSpaceDE/>
        <w:autoSpaceDN/>
        <w:bidi w:val="0"/>
        <w:adjustRightInd w:val="0"/>
        <w:snapToGrid w:val="0"/>
        <w:spacing w:line="550" w:lineRule="exact"/>
        <w:textAlignment w:val="auto"/>
        <w:rPr>
          <w:rFonts w:hint="eastAsia"/>
          <w:color w:val="auto"/>
          <w:sz w:val="32"/>
          <w:szCs w:val="32"/>
          <w:highlight w:val="none"/>
          <w:lang w:val="en-US" w:eastAsia="zh-CN"/>
        </w:rPr>
      </w:pPr>
      <w:bookmarkStart w:id="82" w:name="_Toc198798316"/>
    </w:p>
    <w:p>
      <w:pPr>
        <w:pStyle w:val="31"/>
        <w:keepNext w:val="0"/>
        <w:keepLines w:val="0"/>
        <w:pageBreakBefore w:val="0"/>
        <w:widowControl w:val="0"/>
        <w:kinsoku/>
        <w:wordWrap/>
        <w:overflowPunct/>
        <w:topLinePunct w:val="0"/>
        <w:autoSpaceDE/>
        <w:autoSpaceDN/>
        <w:bidi w:val="0"/>
        <w:adjustRightInd w:val="0"/>
        <w:snapToGrid w:val="0"/>
        <w:spacing w:line="550" w:lineRule="exact"/>
        <w:textAlignment w:val="auto"/>
        <w:rPr>
          <w:rFonts w:hint="default"/>
          <w:color w:val="auto"/>
          <w:sz w:val="32"/>
          <w:szCs w:val="32"/>
          <w:highlight w:val="none"/>
          <w:lang w:val="en-US" w:eastAsia="zh-CN"/>
        </w:rPr>
      </w:pPr>
      <w:r>
        <w:rPr>
          <w:rFonts w:hint="eastAsia"/>
          <w:color w:val="auto"/>
          <w:sz w:val="32"/>
          <w:szCs w:val="32"/>
          <w:highlight w:val="none"/>
          <w:lang w:val="en-US" w:eastAsia="zh-CN"/>
        </w:rPr>
        <w:t>坚持马克思列宁主义、毛泽东思想、邓小平理论、</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三个代表</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重要思想、科学发展观，全面贯彻习近平新时代中国特色社会主义思想，深入贯彻党的二十大和二十届历次全会精神，统筹推进</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五位一体</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总体布局，协调推进</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四个全面</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战略布局，锚定</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三区一中心</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战略定位和</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一本三基四梁八柱</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战略框架，围绕打造</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一标杆、五个区</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发展目标，完整准确全面贯彻新发展理念，坚持稳中求进工作总基调，坚持以经济建设为中心，以推动高质量发展为主题，以改革创新为根本动力，以满足人民日益增长的美好生活需要为根本目的，以全面从严治党为根本保障，全面提高经济社会发展水平，全力建设世界知名宜居宜游宜业现代化滨海城市，努力在把海南自由贸易港打造成为引领我国新时代对外开放的重要门户中挑大梁、当先锋，奋力谱写中国式现代化海南篇章三亚章节，确保在基本实现社会主义现代化建设走在全国同类城市前列上取得决定性进展。</w:t>
      </w:r>
      <w:bookmarkEnd w:id="82"/>
      <w:bookmarkStart w:id="83" w:name="_Toc923388283"/>
      <w:bookmarkStart w:id="84" w:name="_Toc434495002"/>
      <w:bookmarkStart w:id="85" w:name="_Toc198798317"/>
      <w:bookmarkStart w:id="86" w:name="_Toc1477235977"/>
      <w:bookmarkStart w:id="87" w:name="_Toc211979409"/>
      <w:bookmarkStart w:id="88" w:name="_Toc894162898"/>
      <w:bookmarkStart w:id="89" w:name="_Toc838895863"/>
      <w:bookmarkStart w:id="90" w:name="_Toc471107861"/>
      <w:bookmarkStart w:id="91" w:name="_Toc213447233"/>
      <w:bookmarkStart w:id="92" w:name="_Toc530350219"/>
      <w:bookmarkStart w:id="93" w:name="_Toc1641465433"/>
      <w:bookmarkStart w:id="94" w:name="_Toc20248"/>
    </w:p>
    <w:p>
      <w:pPr>
        <w:pStyle w:val="4"/>
        <w:keepNext w:val="0"/>
        <w:keepLines w:val="0"/>
        <w:pageBreakBefore w:val="0"/>
        <w:widowControl w:val="0"/>
        <w:shd w:val="clear"/>
        <w:kinsoku/>
        <w:wordWrap/>
        <w:overflowPunct/>
        <w:topLinePunct w:val="0"/>
        <w:autoSpaceDE/>
        <w:autoSpaceDN/>
        <w:bidi w:val="0"/>
        <w:adjustRightInd w:val="0"/>
        <w:snapToGrid w:val="0"/>
        <w:spacing w:line="550" w:lineRule="exact"/>
        <w:ind w:left="0" w:leftChars="0" w:firstLine="0" w:firstLineChars="0"/>
        <w:textAlignment w:val="auto"/>
        <w:rPr>
          <w:rFonts w:hint="default"/>
          <w:color w:val="auto"/>
          <w:sz w:val="32"/>
          <w:szCs w:val="32"/>
          <w:highlight w:val="none"/>
          <w:lang w:eastAsia="zh-CN"/>
        </w:rPr>
      </w:pPr>
      <w:bookmarkStart w:id="95" w:name="_Toc175660859"/>
      <w:bookmarkStart w:id="96" w:name="_Toc26431"/>
      <w:bookmarkStart w:id="97" w:name="_Toc202801264"/>
      <w:bookmarkStart w:id="98" w:name="_Toc1355374835"/>
      <w:bookmarkStart w:id="99" w:name="_Toc338667175"/>
    </w:p>
    <w:p>
      <w:pPr>
        <w:pStyle w:val="4"/>
        <w:keepNext w:val="0"/>
        <w:keepLines w:val="0"/>
        <w:pageBreakBefore w:val="0"/>
        <w:widowControl w:val="0"/>
        <w:shd w:val="clear"/>
        <w:kinsoku/>
        <w:wordWrap/>
        <w:overflowPunct/>
        <w:topLinePunct w:val="0"/>
        <w:autoSpaceDE/>
        <w:autoSpaceDN/>
        <w:bidi w:val="0"/>
        <w:adjustRightInd w:val="0"/>
        <w:snapToGrid w:val="0"/>
        <w:spacing w:line="550" w:lineRule="exact"/>
        <w:ind w:left="0" w:leftChars="0" w:firstLine="0" w:firstLineChars="0"/>
        <w:jc w:val="center"/>
        <w:textAlignment w:val="auto"/>
        <w:rPr>
          <w:rFonts w:hint="eastAsia" w:ascii="黑体" w:hAnsi="黑体" w:eastAsia="黑体" w:cs="黑体"/>
          <w:b w:val="0"/>
          <w:bCs/>
          <w:color w:val="auto"/>
          <w:sz w:val="32"/>
          <w:szCs w:val="32"/>
          <w:highlight w:val="none"/>
          <w:lang w:val="en-US" w:eastAsia="zh-CN"/>
        </w:rPr>
      </w:pPr>
      <w:r>
        <w:rPr>
          <w:rFonts w:hint="eastAsia" w:ascii="黑体" w:hAnsi="黑体" w:eastAsia="黑体" w:cs="黑体"/>
          <w:b w:val="0"/>
          <w:bCs/>
          <w:color w:val="auto"/>
          <w:sz w:val="32"/>
          <w:szCs w:val="32"/>
          <w:highlight w:val="none"/>
          <w:lang w:eastAsia="zh-CN"/>
        </w:rPr>
        <w:t>第四节</w:t>
      </w:r>
      <w:r>
        <w:rPr>
          <w:rFonts w:hint="eastAsia" w:ascii="黑体" w:hAnsi="黑体" w:eastAsia="黑体" w:cs="黑体"/>
          <w:b w:val="0"/>
          <w:bCs/>
          <w:color w:val="auto"/>
          <w:sz w:val="32"/>
          <w:szCs w:val="32"/>
          <w:highlight w:val="none"/>
          <w:lang w:val="en-US" w:eastAsia="zh-CN"/>
        </w:rPr>
        <w:t xml:space="preserve">  基本原则</w:t>
      </w:r>
      <w:bookmarkEnd w:id="83"/>
      <w:bookmarkEnd w:id="84"/>
      <w:bookmarkEnd w:id="95"/>
      <w:bookmarkEnd w:id="96"/>
      <w:bookmarkEnd w:id="97"/>
      <w:bookmarkEnd w:id="98"/>
      <w:bookmarkEnd w:id="99"/>
    </w:p>
    <w:p>
      <w:pPr>
        <w:pStyle w:val="31"/>
        <w:keepNext w:val="0"/>
        <w:keepLines w:val="0"/>
        <w:pageBreakBefore w:val="0"/>
        <w:widowControl w:val="0"/>
        <w:shd w:val="clear"/>
        <w:kinsoku/>
        <w:wordWrap/>
        <w:overflowPunct/>
        <w:topLinePunct w:val="0"/>
        <w:autoSpaceDE/>
        <w:autoSpaceDN/>
        <w:bidi w:val="0"/>
        <w:adjustRightInd w:val="0"/>
        <w:snapToGrid w:val="0"/>
        <w:spacing w:line="550" w:lineRule="exact"/>
        <w:ind w:firstLine="602"/>
        <w:textAlignment w:val="auto"/>
        <w:rPr>
          <w:rFonts w:hint="eastAsia" w:ascii="仿宋_GB2312" w:hAnsi="仿宋_GB2312" w:eastAsia="仿宋_GB2312" w:cs="仿宋_GB2312"/>
          <w:b/>
          <w:color w:val="auto"/>
          <w:sz w:val="32"/>
          <w:szCs w:val="32"/>
          <w:highlight w:val="none"/>
        </w:rPr>
      </w:pPr>
    </w:p>
    <w:p>
      <w:pPr>
        <w:pStyle w:val="31"/>
        <w:keepNext w:val="0"/>
        <w:keepLines w:val="0"/>
        <w:pageBreakBefore w:val="0"/>
        <w:widowControl w:val="0"/>
        <w:shd w:val="clear"/>
        <w:kinsoku/>
        <w:wordWrap/>
        <w:overflowPunct/>
        <w:topLinePunct w:val="0"/>
        <w:autoSpaceDE/>
        <w:autoSpaceDN/>
        <w:bidi w:val="0"/>
        <w:adjustRightInd w:val="0"/>
        <w:snapToGrid w:val="0"/>
        <w:spacing w:line="576" w:lineRule="exact"/>
        <w:ind w:firstLine="602"/>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坚持党的全面领导。</w:t>
      </w:r>
      <w:r>
        <w:rPr>
          <w:rFonts w:hint="eastAsia" w:ascii="仿宋_GB2312" w:hAnsi="仿宋_GB2312" w:eastAsia="仿宋_GB2312" w:cs="仿宋_GB2312"/>
          <w:color w:val="auto"/>
          <w:sz w:val="32"/>
          <w:szCs w:val="32"/>
          <w:highlight w:val="none"/>
        </w:rPr>
        <w:t>坚决维护党中央权威和集中统一领导，充分发挥党总揽全局、协调各方的领导核心作用，把党的领导贯穿经济社会发展各方面全过程，持之以恒净化政治生态，确保改革开放和经济社会高质量发展始终沿着正确方向前进。</w:t>
      </w:r>
    </w:p>
    <w:p>
      <w:pPr>
        <w:pStyle w:val="31"/>
        <w:keepNext w:val="0"/>
        <w:keepLines w:val="0"/>
        <w:pageBreakBefore w:val="0"/>
        <w:widowControl w:val="0"/>
        <w:shd w:val="clear"/>
        <w:kinsoku/>
        <w:wordWrap/>
        <w:overflowPunct/>
        <w:topLinePunct w:val="0"/>
        <w:autoSpaceDE/>
        <w:autoSpaceDN/>
        <w:bidi w:val="0"/>
        <w:adjustRightInd w:val="0"/>
        <w:snapToGrid w:val="0"/>
        <w:spacing w:line="576" w:lineRule="exact"/>
        <w:ind w:firstLine="602"/>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坚持人民至上。</w:t>
      </w:r>
      <w:r>
        <w:rPr>
          <w:rFonts w:hint="eastAsia" w:ascii="仿宋_GB2312" w:hAnsi="仿宋_GB2312" w:eastAsia="仿宋_GB2312" w:cs="仿宋_GB2312"/>
          <w:color w:val="auto"/>
          <w:sz w:val="32"/>
          <w:szCs w:val="32"/>
          <w:highlight w:val="none"/>
        </w:rPr>
        <w:t>尊重人民主体地位，紧紧依靠人民，注重在发展中保障和改善民生，在满足民生需求中拓展发展空间，推动经济和社会协调发展、物质文明和精神文明相得益彰，让自由贸易港建设成果更多更公平惠及全市人民，缩小城乡和地区间差距，扎实推进共同富裕。</w:t>
      </w:r>
    </w:p>
    <w:p>
      <w:pPr>
        <w:pStyle w:val="31"/>
        <w:keepNext w:val="0"/>
        <w:keepLines w:val="0"/>
        <w:pageBreakBefore w:val="0"/>
        <w:widowControl w:val="0"/>
        <w:shd w:val="clear"/>
        <w:kinsoku/>
        <w:wordWrap/>
        <w:overflowPunct/>
        <w:topLinePunct w:val="0"/>
        <w:autoSpaceDE/>
        <w:autoSpaceDN/>
        <w:bidi w:val="0"/>
        <w:adjustRightInd w:val="0"/>
        <w:snapToGrid w:val="0"/>
        <w:spacing w:line="576" w:lineRule="exact"/>
        <w:ind w:firstLine="602"/>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坚持全面深化改革</w:t>
      </w:r>
      <w:r>
        <w:rPr>
          <w:rFonts w:hint="eastAsia" w:ascii="仿宋_GB2312" w:hAnsi="仿宋_GB2312" w:eastAsia="仿宋_GB2312" w:cs="仿宋_GB2312"/>
          <w:b/>
          <w:color w:val="auto"/>
          <w:sz w:val="32"/>
          <w:szCs w:val="32"/>
          <w:highlight w:val="none"/>
          <w:lang w:val="en"/>
        </w:rPr>
        <w:t>开放</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color w:val="auto"/>
          <w:sz w:val="32"/>
          <w:szCs w:val="32"/>
          <w:highlight w:val="none"/>
        </w:rPr>
        <w:t>全面落实海南自由贸易港建设总体方案，深入实施海南自由贸易港法，把制度集成创新摆在突出位置，推进深层次改革，扩大高水平开放，持续增强发展动力和社会活力，主动融入和服务全国构建新发展格局。</w:t>
      </w:r>
    </w:p>
    <w:p>
      <w:pPr>
        <w:pStyle w:val="31"/>
        <w:keepNext w:val="0"/>
        <w:keepLines w:val="0"/>
        <w:pageBreakBefore w:val="0"/>
        <w:widowControl w:val="0"/>
        <w:shd w:val="clear"/>
        <w:kinsoku/>
        <w:wordWrap/>
        <w:overflowPunct/>
        <w:topLinePunct w:val="0"/>
        <w:autoSpaceDE/>
        <w:autoSpaceDN/>
        <w:bidi w:val="0"/>
        <w:adjustRightInd w:val="0"/>
        <w:snapToGrid w:val="0"/>
        <w:spacing w:line="576" w:lineRule="exact"/>
        <w:ind w:firstLine="602"/>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坚持高质量发展。</w:t>
      </w:r>
      <w:r>
        <w:rPr>
          <w:rFonts w:hint="eastAsia" w:ascii="仿宋_GB2312" w:hAnsi="仿宋_GB2312" w:eastAsia="仿宋_GB2312" w:cs="仿宋_GB2312"/>
          <w:color w:val="auto"/>
          <w:sz w:val="32"/>
          <w:szCs w:val="32"/>
          <w:highlight w:val="none"/>
        </w:rPr>
        <w:t>以新发展理念为引领，着力构建具有三亚特色和优势的现代化产业体系，统筹扩大内需和深化供给侧结构性改革，培育新动能，打造新增长极，深化区域协调、城乡及垦地融合发展，在做优做精三亚经济圈中发挥牵引作用，促进经济持续健康发展和社会全面进步。</w:t>
      </w:r>
    </w:p>
    <w:p>
      <w:pPr>
        <w:pStyle w:val="31"/>
        <w:keepNext w:val="0"/>
        <w:keepLines w:val="0"/>
        <w:pageBreakBefore w:val="0"/>
        <w:widowControl w:val="0"/>
        <w:shd w:val="clear"/>
        <w:kinsoku/>
        <w:wordWrap/>
        <w:overflowPunct/>
        <w:topLinePunct w:val="0"/>
        <w:autoSpaceDE/>
        <w:autoSpaceDN/>
        <w:bidi w:val="0"/>
        <w:adjustRightInd w:val="0"/>
        <w:snapToGrid w:val="0"/>
        <w:spacing w:line="576" w:lineRule="exact"/>
        <w:ind w:firstLine="602"/>
        <w:textAlignment w:val="auto"/>
        <w:rPr>
          <w:rFonts w:hint="eastAsia" w:ascii="仿宋_GB2312" w:hAnsi="仿宋_GB2312" w:eastAsia="仿宋_GB2312" w:cs="仿宋_GB2312"/>
          <w:b/>
          <w:bCs w:val="0"/>
          <w:i w:val="0"/>
          <w:caps w:val="0"/>
          <w:color w:val="auto"/>
          <w:spacing w:val="0"/>
          <w:kern w:val="2"/>
          <w:sz w:val="30"/>
          <w:szCs w:val="30"/>
          <w:highlight w:val="none"/>
          <w:shd w:val="clear" w:color="auto" w:fill="FFFFFF"/>
          <w:lang w:val="en-US" w:eastAsia="zh-CN" w:bidi="ar-SA"/>
        </w:rPr>
      </w:pPr>
      <w:r>
        <w:rPr>
          <w:rFonts w:hint="eastAsia" w:ascii="仿宋_GB2312" w:hAnsi="仿宋_GB2312" w:eastAsia="仿宋_GB2312" w:cs="仿宋_GB2312"/>
          <w:b/>
          <w:color w:val="auto"/>
          <w:sz w:val="32"/>
          <w:szCs w:val="32"/>
          <w:highlight w:val="none"/>
        </w:rPr>
        <w:t>坚持有效市场和有为政府相结合</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color w:val="auto"/>
          <w:sz w:val="32"/>
          <w:szCs w:val="32"/>
          <w:highlight w:val="none"/>
        </w:rPr>
        <w:t>坚持和完善社会主义基本经济制度，充分发挥市场在资源配置中的决定性作用，更好发挥政府作用，深化行政体制改革，建立健全更加灵活高效的监管模式和管理体制，优化政务服务，打造市场化、法治化、国际化一流营商环</w:t>
      </w:r>
      <w:r>
        <w:rPr>
          <w:rFonts w:hint="eastAsia" w:ascii="仿宋_GB2312" w:hAnsi="仿宋_GB2312" w:eastAsia="仿宋_GB2312" w:cs="仿宋_GB2312"/>
          <w:color w:val="auto"/>
          <w:highlight w:val="none"/>
        </w:rPr>
        <w:t>境。</w:t>
      </w:r>
    </w:p>
    <w:p>
      <w:pPr>
        <w:pStyle w:val="31"/>
        <w:keepNext w:val="0"/>
        <w:keepLines w:val="0"/>
        <w:pageBreakBefore w:val="0"/>
        <w:widowControl w:val="0"/>
        <w:shd w:val="clear"/>
        <w:kinsoku/>
        <w:wordWrap/>
        <w:overflowPunct/>
        <w:topLinePunct w:val="0"/>
        <w:autoSpaceDE/>
        <w:autoSpaceDN/>
        <w:bidi w:val="0"/>
        <w:adjustRightInd w:val="0"/>
        <w:snapToGrid w:val="0"/>
        <w:spacing w:line="556" w:lineRule="exact"/>
        <w:ind w:firstLine="602"/>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val="0"/>
          <w:i w:val="0"/>
          <w:caps w:val="0"/>
          <w:color w:val="auto"/>
          <w:spacing w:val="0"/>
          <w:kern w:val="2"/>
          <w:sz w:val="32"/>
          <w:szCs w:val="32"/>
          <w:highlight w:val="none"/>
          <w:shd w:val="clear" w:color="auto" w:fill="FFFFFF"/>
          <w:lang w:val="en-US" w:eastAsia="zh-CN" w:bidi="ar-SA"/>
        </w:rPr>
        <w:t>坚持生态优先绿色发展。</w:t>
      </w:r>
      <w:r>
        <w:rPr>
          <w:rFonts w:hint="eastAsia" w:ascii="仿宋_GB2312" w:hAnsi="仿宋_GB2312" w:eastAsia="仿宋_GB2312" w:cs="仿宋_GB2312"/>
          <w:color w:val="auto"/>
          <w:sz w:val="32"/>
          <w:szCs w:val="32"/>
          <w:highlight w:val="none"/>
        </w:rPr>
        <w:t>协同推进高质量发展、高水平保护、高品质生活、高效能治理，用最严格制度、最严密法治保护生态环境，推动经济社会发展全面绿色转型，加快打造美丽中国先行区，为海南高质量建设国家生态文明试验区作出三亚贡献。</w:t>
      </w:r>
    </w:p>
    <w:p>
      <w:pPr>
        <w:pStyle w:val="31"/>
        <w:keepNext w:val="0"/>
        <w:keepLines w:val="0"/>
        <w:pageBreakBefore w:val="0"/>
        <w:widowControl w:val="0"/>
        <w:shd w:val="clear"/>
        <w:kinsoku/>
        <w:wordWrap/>
        <w:overflowPunct/>
        <w:topLinePunct w:val="0"/>
        <w:autoSpaceDE/>
        <w:autoSpaceDN/>
        <w:bidi w:val="0"/>
        <w:adjustRightInd w:val="0"/>
        <w:snapToGrid w:val="0"/>
        <w:spacing w:line="556" w:lineRule="exact"/>
        <w:ind w:firstLine="642" w:firstLineChars="200"/>
        <w:textAlignment w:val="auto"/>
        <w:rPr>
          <w:rFonts w:hint="eastAsia" w:ascii="Times New Roman" w:hAnsi="Times New Roman" w:eastAsia="仿宋"/>
          <w:b/>
          <w:color w:val="auto"/>
          <w:sz w:val="32"/>
          <w:szCs w:val="32"/>
          <w:highlight w:val="none"/>
          <w:shd w:val="clear" w:color="auto" w:fill="FFFFFF"/>
          <w:lang w:val="en-US" w:eastAsia="zh-CN"/>
        </w:rPr>
      </w:pPr>
      <w:r>
        <w:rPr>
          <w:rFonts w:hint="eastAsia" w:ascii="仿宋_GB2312" w:hAnsi="仿宋_GB2312" w:eastAsia="仿宋_GB2312" w:cs="仿宋_GB2312"/>
          <w:b/>
          <w:color w:val="auto"/>
          <w:sz w:val="32"/>
          <w:szCs w:val="32"/>
          <w:highlight w:val="none"/>
          <w:shd w:val="clear" w:color="auto" w:fill="FFFFFF"/>
        </w:rPr>
        <w:t>坚持统筹发展和安全。</w:t>
      </w:r>
      <w:r>
        <w:rPr>
          <w:rFonts w:hint="eastAsia" w:ascii="仿宋_GB2312" w:hAnsi="仿宋_GB2312" w:eastAsia="仿宋_GB2312" w:cs="仿宋_GB2312"/>
          <w:color w:val="auto"/>
          <w:sz w:val="32"/>
          <w:szCs w:val="32"/>
          <w:highlight w:val="none"/>
        </w:rPr>
        <w:t>强化底线思维和极限思维，始终把风险防控和安全保障放在前提位置，加强风险识别和防范，稳扎稳打、步步为营，有效防范化解各类风险挑战，增强经济社会发展韧性。深入推进双拥共建，坚决守好祖国南大门，打造国家重大战略服务保障区。</w:t>
      </w:r>
    </w:p>
    <w:p>
      <w:pPr>
        <w:pStyle w:val="4"/>
        <w:keepNext w:val="0"/>
        <w:keepLines w:val="0"/>
        <w:pageBreakBefore w:val="0"/>
        <w:widowControl w:val="0"/>
        <w:shd w:val="clear"/>
        <w:kinsoku/>
        <w:wordWrap/>
        <w:overflowPunct/>
        <w:topLinePunct w:val="0"/>
        <w:autoSpaceDE/>
        <w:autoSpaceDN/>
        <w:bidi w:val="0"/>
        <w:adjustRightInd w:val="0"/>
        <w:snapToGrid w:val="0"/>
        <w:spacing w:line="556" w:lineRule="exact"/>
        <w:ind w:left="0" w:leftChars="0" w:firstLine="0" w:firstLineChars="0"/>
        <w:textAlignment w:val="auto"/>
        <w:rPr>
          <w:rFonts w:hint="eastAsia"/>
          <w:color w:val="auto"/>
          <w:sz w:val="32"/>
          <w:szCs w:val="32"/>
          <w:highlight w:val="none"/>
        </w:rPr>
      </w:pPr>
      <w:bookmarkStart w:id="100" w:name="_Toc19661"/>
      <w:bookmarkStart w:id="101" w:name="_Toc1007484163"/>
      <w:bookmarkStart w:id="102" w:name="_Toc724075382"/>
      <w:bookmarkStart w:id="103" w:name="_Toc1166426685"/>
      <w:bookmarkStart w:id="104" w:name="_Toc1734099957"/>
      <w:bookmarkStart w:id="105" w:name="_Toc1989490209"/>
      <w:bookmarkStart w:id="106" w:name="_Toc1600793002"/>
      <w:bookmarkStart w:id="107" w:name="_Toc1492613867"/>
    </w:p>
    <w:p>
      <w:pPr>
        <w:pStyle w:val="4"/>
        <w:keepNext w:val="0"/>
        <w:keepLines w:val="0"/>
        <w:pageBreakBefore w:val="0"/>
        <w:widowControl w:val="0"/>
        <w:shd w:val="clear"/>
        <w:kinsoku/>
        <w:wordWrap/>
        <w:overflowPunct/>
        <w:topLinePunct w:val="0"/>
        <w:autoSpaceDE/>
        <w:autoSpaceDN/>
        <w:bidi w:val="0"/>
        <w:adjustRightInd w:val="0"/>
        <w:snapToGrid w:val="0"/>
        <w:spacing w:line="556"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第五节  发展目标</w:t>
      </w:r>
      <w:bookmarkEnd w:id="85"/>
      <w:bookmarkEnd w:id="86"/>
      <w:bookmarkEnd w:id="87"/>
      <w:bookmarkEnd w:id="88"/>
      <w:bookmarkEnd w:id="89"/>
      <w:bookmarkEnd w:id="90"/>
      <w:bookmarkEnd w:id="91"/>
      <w:bookmarkEnd w:id="92"/>
      <w:bookmarkEnd w:id="93"/>
      <w:bookmarkEnd w:id="94"/>
      <w:bookmarkEnd w:id="100"/>
      <w:bookmarkEnd w:id="101"/>
      <w:bookmarkEnd w:id="102"/>
      <w:bookmarkEnd w:id="103"/>
      <w:bookmarkEnd w:id="104"/>
      <w:bookmarkEnd w:id="105"/>
      <w:bookmarkEnd w:id="106"/>
      <w:bookmarkEnd w:id="107"/>
    </w:p>
    <w:p>
      <w:pPr>
        <w:pStyle w:val="31"/>
        <w:keepNext w:val="0"/>
        <w:keepLines w:val="0"/>
        <w:pageBreakBefore w:val="0"/>
        <w:widowControl w:val="0"/>
        <w:kinsoku/>
        <w:wordWrap/>
        <w:overflowPunct/>
        <w:topLinePunct w:val="0"/>
        <w:autoSpaceDE/>
        <w:autoSpaceDN/>
        <w:bidi w:val="0"/>
        <w:adjustRightInd w:val="0"/>
        <w:snapToGrid w:val="0"/>
        <w:spacing w:line="556" w:lineRule="exact"/>
        <w:textAlignment w:val="auto"/>
        <w:rPr>
          <w:rFonts w:hint="eastAsia"/>
          <w:color w:val="auto"/>
          <w:sz w:val="32"/>
          <w:szCs w:val="32"/>
          <w:highlight w:val="none"/>
          <w:lang w:val="en-US" w:eastAsia="zh-CN"/>
        </w:rPr>
      </w:pPr>
    </w:p>
    <w:p>
      <w:pPr>
        <w:pStyle w:val="31"/>
        <w:keepNext w:val="0"/>
        <w:keepLines w:val="0"/>
        <w:pageBreakBefore w:val="0"/>
        <w:widowControl w:val="0"/>
        <w:kinsoku/>
        <w:wordWrap/>
        <w:overflowPunct/>
        <w:topLinePunct w:val="0"/>
        <w:autoSpaceDE/>
        <w:autoSpaceDN/>
        <w:bidi w:val="0"/>
        <w:adjustRightInd w:val="0"/>
        <w:snapToGrid w:val="0"/>
        <w:spacing w:line="556" w:lineRule="exact"/>
        <w:textAlignment w:val="auto"/>
        <w:rPr>
          <w:color w:val="auto"/>
          <w:sz w:val="32"/>
          <w:szCs w:val="32"/>
          <w:highlight w:val="none"/>
        </w:rPr>
      </w:pPr>
      <w:r>
        <w:rPr>
          <w:rFonts w:hint="eastAsia"/>
          <w:color w:val="auto"/>
          <w:sz w:val="32"/>
          <w:szCs w:val="32"/>
          <w:highlight w:val="none"/>
          <w:lang w:val="en-US" w:eastAsia="zh-CN"/>
        </w:rPr>
        <w:t>锚定</w:t>
      </w:r>
      <w:r>
        <w:rPr>
          <w:rFonts w:hint="eastAsia"/>
          <w:color w:val="auto"/>
          <w:sz w:val="32"/>
          <w:szCs w:val="32"/>
          <w:highlight w:val="none"/>
        </w:rPr>
        <w:t>把海南自由贸易港打造成为引领我国新时代对外开放重要门户</w:t>
      </w:r>
      <w:r>
        <w:rPr>
          <w:rFonts w:hint="eastAsia"/>
          <w:color w:val="auto"/>
          <w:sz w:val="32"/>
          <w:szCs w:val="32"/>
          <w:highlight w:val="none"/>
          <w:lang w:eastAsia="zh-CN"/>
        </w:rPr>
        <w:t>的</w:t>
      </w:r>
      <w:r>
        <w:rPr>
          <w:rFonts w:hint="eastAsia"/>
          <w:color w:val="auto"/>
          <w:sz w:val="32"/>
          <w:szCs w:val="32"/>
          <w:highlight w:val="none"/>
          <w:lang w:val="en-US" w:eastAsia="zh-CN"/>
        </w:rPr>
        <w:t>战略目标不动摇，</w:t>
      </w:r>
      <w:r>
        <w:rPr>
          <w:rFonts w:hint="eastAsia"/>
          <w:color w:val="auto"/>
          <w:sz w:val="32"/>
          <w:szCs w:val="32"/>
          <w:highlight w:val="none"/>
        </w:rPr>
        <w:t>到</w:t>
      </w:r>
      <w:r>
        <w:rPr>
          <w:rFonts w:hint="default" w:ascii="Times New Roman" w:hAnsi="Times New Roman" w:cs="Times New Roman"/>
          <w:color w:val="auto"/>
          <w:sz w:val="32"/>
          <w:szCs w:val="32"/>
          <w:highlight w:val="none"/>
        </w:rPr>
        <w:t>2030</w:t>
      </w:r>
      <w:r>
        <w:rPr>
          <w:color w:val="auto"/>
          <w:sz w:val="32"/>
          <w:szCs w:val="32"/>
          <w:highlight w:val="none"/>
        </w:rPr>
        <w:t>年，高质量发展</w:t>
      </w:r>
      <w:r>
        <w:rPr>
          <w:rFonts w:hint="eastAsia"/>
          <w:color w:val="auto"/>
          <w:sz w:val="32"/>
          <w:szCs w:val="32"/>
          <w:highlight w:val="none"/>
        </w:rPr>
        <w:t>再上新台阶，以自贸港建设为引领的全面深化改革开放迈出坚实步伐</w:t>
      </w:r>
      <w:r>
        <w:rPr>
          <w:color w:val="auto"/>
          <w:sz w:val="32"/>
          <w:szCs w:val="32"/>
          <w:highlight w:val="none"/>
        </w:rPr>
        <w:t>，</w:t>
      </w:r>
      <w:r>
        <w:rPr>
          <w:rFonts w:hint="eastAsia"/>
          <w:color w:val="auto"/>
          <w:sz w:val="32"/>
          <w:szCs w:val="32"/>
          <w:highlight w:val="none"/>
        </w:rPr>
        <w:t>具有三亚特色</w:t>
      </w:r>
      <w:r>
        <w:rPr>
          <w:rFonts w:hint="default"/>
          <w:color w:val="auto"/>
          <w:sz w:val="32"/>
          <w:szCs w:val="32"/>
          <w:highlight w:val="none"/>
          <w:lang w:val="en"/>
        </w:rPr>
        <w:t>和优势</w:t>
      </w:r>
      <w:r>
        <w:rPr>
          <w:rFonts w:hint="eastAsia"/>
          <w:color w:val="auto"/>
          <w:sz w:val="32"/>
          <w:szCs w:val="32"/>
          <w:highlight w:val="none"/>
        </w:rPr>
        <w:t>的现代化产业体系成型起势，世界知名宜居宜游宜业现代化滨海城市建设取得决定性进展。</w:t>
      </w:r>
    </w:p>
    <w:p>
      <w:pPr>
        <w:pStyle w:val="31"/>
        <w:keepNext w:val="0"/>
        <w:keepLines w:val="0"/>
        <w:pageBreakBefore w:val="0"/>
        <w:widowControl w:val="0"/>
        <w:shd w:val="clear"/>
        <w:kinsoku/>
        <w:wordWrap/>
        <w:overflowPunct/>
        <w:topLinePunct w:val="0"/>
        <w:autoSpaceDE/>
        <w:autoSpaceDN/>
        <w:bidi w:val="0"/>
        <w:adjustRightInd w:val="0"/>
        <w:snapToGrid w:val="0"/>
        <w:spacing w:line="556" w:lineRule="exact"/>
        <w:ind w:firstLine="602"/>
        <w:textAlignment w:val="auto"/>
        <w:rPr>
          <w:rFonts w:hint="eastAsia"/>
          <w:b w:val="0"/>
          <w:bCs/>
          <w:color w:val="auto"/>
          <w:sz w:val="32"/>
          <w:szCs w:val="32"/>
          <w:highlight w:val="none"/>
        </w:rPr>
      </w:pPr>
      <w:bookmarkStart w:id="108" w:name="_Toc200982534"/>
      <w:bookmarkStart w:id="109" w:name="_Toc6313"/>
      <w:bookmarkStart w:id="110" w:name="_Hlk206760273"/>
      <w:r>
        <w:rPr>
          <w:rFonts w:hint="eastAsia"/>
          <w:b/>
          <w:bCs w:val="0"/>
          <w:color w:val="auto"/>
          <w:sz w:val="32"/>
          <w:szCs w:val="32"/>
          <w:highlight w:val="none"/>
        </w:rPr>
        <w:t>自由贸易港建设和深化改革开放取得新突破。</w:t>
      </w:r>
      <w:r>
        <w:rPr>
          <w:rFonts w:hint="eastAsia"/>
          <w:b w:val="0"/>
          <w:bCs/>
          <w:color w:val="auto"/>
          <w:sz w:val="32"/>
          <w:szCs w:val="32"/>
          <w:highlight w:val="none"/>
        </w:rPr>
        <w:t>进一步全面深化改革取得积极进展，社会主义市场经济体制更加完善，高水平对外开放体制机制更加健全，制度型开放稳步扩大，商品和要素流动型开放深入推进，各类要素基本实现跨境自由有序安全便捷流动，市场化、法治化、国际化一流营商环境建设不断完善，货物、服务</w:t>
      </w:r>
      <w:r>
        <w:rPr>
          <w:rFonts w:hint="eastAsia"/>
          <w:b w:val="0"/>
          <w:bCs/>
          <w:color w:val="auto"/>
          <w:sz w:val="32"/>
          <w:szCs w:val="32"/>
          <w:highlight w:val="none"/>
          <w:lang w:eastAsia="zh-CN"/>
        </w:rPr>
        <w:t>进出口总额</w:t>
      </w:r>
      <w:r>
        <w:rPr>
          <w:rFonts w:hint="eastAsia"/>
          <w:b w:val="0"/>
          <w:bCs/>
          <w:color w:val="auto"/>
          <w:sz w:val="32"/>
          <w:szCs w:val="32"/>
          <w:highlight w:val="none"/>
        </w:rPr>
        <w:t>年均分别增</w:t>
      </w:r>
      <w:r>
        <w:rPr>
          <w:rFonts w:hint="eastAsia"/>
          <w:b w:val="0"/>
          <w:bCs/>
          <w:color w:val="auto"/>
          <w:sz w:val="32"/>
          <w:szCs w:val="32"/>
          <w:highlight w:val="none"/>
          <w:lang w:eastAsia="zh-CN"/>
        </w:rPr>
        <w:t>长</w:t>
      </w:r>
      <w:r>
        <w:rPr>
          <w:rFonts w:hint="eastAsia"/>
          <w:b w:val="0"/>
          <w:bCs/>
          <w:color w:val="auto"/>
          <w:sz w:val="32"/>
          <w:szCs w:val="32"/>
          <w:highlight w:val="none"/>
        </w:rPr>
        <w:t>10%、20%，利用外资规模稳中有增、质量持续提升。</w:t>
      </w:r>
    </w:p>
    <w:p>
      <w:pPr>
        <w:pStyle w:val="31"/>
        <w:keepNext w:val="0"/>
        <w:keepLines w:val="0"/>
        <w:pageBreakBefore w:val="0"/>
        <w:widowControl w:val="0"/>
        <w:shd w:val="clear"/>
        <w:kinsoku/>
        <w:wordWrap/>
        <w:overflowPunct/>
        <w:topLinePunct w:val="0"/>
        <w:autoSpaceDE/>
        <w:autoSpaceDN/>
        <w:bidi w:val="0"/>
        <w:adjustRightInd w:val="0"/>
        <w:snapToGrid w:val="0"/>
        <w:spacing w:line="556" w:lineRule="exact"/>
        <w:ind w:firstLine="602"/>
        <w:textAlignment w:val="auto"/>
        <w:rPr>
          <w:rFonts w:hint="eastAsia"/>
          <w:b w:val="0"/>
          <w:bCs/>
          <w:color w:val="auto"/>
          <w:sz w:val="32"/>
          <w:szCs w:val="32"/>
          <w:highlight w:val="none"/>
        </w:rPr>
      </w:pPr>
      <w:r>
        <w:rPr>
          <w:rFonts w:hint="eastAsia"/>
          <w:b/>
          <w:bCs w:val="0"/>
          <w:color w:val="auto"/>
          <w:sz w:val="32"/>
          <w:szCs w:val="32"/>
          <w:highlight w:val="none"/>
        </w:rPr>
        <w:t>经济发展质效实现新跨越。</w:t>
      </w:r>
      <w:r>
        <w:rPr>
          <w:rFonts w:hint="eastAsia"/>
          <w:b w:val="0"/>
          <w:bCs/>
          <w:color w:val="auto"/>
          <w:sz w:val="32"/>
          <w:szCs w:val="32"/>
          <w:highlight w:val="none"/>
        </w:rPr>
        <w:t>地区生产总值年均增</w:t>
      </w:r>
      <w:r>
        <w:rPr>
          <w:rFonts w:hint="eastAsia"/>
          <w:b w:val="0"/>
          <w:bCs/>
          <w:color w:val="auto"/>
          <w:sz w:val="32"/>
          <w:szCs w:val="32"/>
          <w:highlight w:val="none"/>
          <w:lang w:eastAsia="zh-CN"/>
        </w:rPr>
        <w:t>长</w:t>
      </w:r>
      <w:r>
        <w:rPr>
          <w:rFonts w:hint="eastAsia"/>
          <w:b w:val="0"/>
          <w:bCs/>
          <w:color w:val="auto"/>
          <w:sz w:val="32"/>
          <w:szCs w:val="32"/>
          <w:highlight w:val="none"/>
          <w:lang w:val="en-US" w:eastAsia="zh-CN"/>
        </w:rPr>
        <w:t>6</w:t>
      </w:r>
      <w:r>
        <w:rPr>
          <w:rFonts w:hint="eastAsia"/>
          <w:b w:val="0"/>
          <w:bCs/>
          <w:color w:val="auto"/>
          <w:sz w:val="32"/>
          <w:szCs w:val="32"/>
          <w:highlight w:val="none"/>
        </w:rPr>
        <w:t>%</w:t>
      </w:r>
      <w:r>
        <w:rPr>
          <w:rFonts w:hint="eastAsia"/>
          <w:b w:val="0"/>
          <w:bCs/>
          <w:color w:val="auto"/>
          <w:sz w:val="32"/>
          <w:szCs w:val="32"/>
          <w:highlight w:val="none"/>
          <w:lang w:eastAsia="zh-CN"/>
        </w:rPr>
        <w:t>以上</w:t>
      </w:r>
      <w:r>
        <w:rPr>
          <w:rFonts w:hint="eastAsia"/>
          <w:b w:val="0"/>
          <w:bCs/>
          <w:color w:val="auto"/>
          <w:sz w:val="32"/>
          <w:szCs w:val="32"/>
          <w:highlight w:val="none"/>
        </w:rPr>
        <w:t>，“四大主导产业”竞争力持续提升，产业结构持续优化，2030年工业增加值占GDP比重</w:t>
      </w:r>
      <w:r>
        <w:rPr>
          <w:rFonts w:hint="eastAsia"/>
          <w:b w:val="0"/>
          <w:bCs/>
          <w:color w:val="auto"/>
          <w:sz w:val="32"/>
          <w:szCs w:val="32"/>
          <w:highlight w:val="none"/>
          <w:lang w:eastAsia="zh-CN"/>
        </w:rPr>
        <w:t>提升至</w:t>
      </w:r>
      <w:r>
        <w:rPr>
          <w:rFonts w:hint="eastAsia"/>
          <w:b w:val="0"/>
          <w:bCs/>
          <w:color w:val="auto"/>
          <w:sz w:val="32"/>
          <w:szCs w:val="32"/>
          <w:highlight w:val="none"/>
        </w:rPr>
        <w:t>10%、数字经济核心产业营业收入达3</w:t>
      </w:r>
      <w:r>
        <w:rPr>
          <w:rFonts w:hint="eastAsia"/>
          <w:b w:val="0"/>
          <w:bCs/>
          <w:color w:val="auto"/>
          <w:sz w:val="32"/>
          <w:szCs w:val="32"/>
          <w:highlight w:val="none"/>
          <w:lang w:val="en-US" w:eastAsia="zh-CN"/>
        </w:rPr>
        <w:t>3</w:t>
      </w:r>
      <w:r>
        <w:rPr>
          <w:rFonts w:hint="eastAsia"/>
          <w:b w:val="0"/>
          <w:bCs/>
          <w:color w:val="auto"/>
          <w:sz w:val="32"/>
          <w:szCs w:val="32"/>
          <w:highlight w:val="none"/>
        </w:rPr>
        <w:t>0亿元，</w:t>
      </w:r>
      <w:r>
        <w:rPr>
          <w:rFonts w:hint="eastAsia"/>
          <w:color w:val="auto"/>
          <w:sz w:val="32"/>
          <w:szCs w:val="32"/>
          <w:highlight w:val="none"/>
        </w:rPr>
        <w:t>旅游接待总人数</w:t>
      </w:r>
      <w:r>
        <w:rPr>
          <w:rFonts w:hint="eastAsia"/>
          <w:color w:val="auto"/>
          <w:sz w:val="32"/>
          <w:szCs w:val="32"/>
          <w:highlight w:val="none"/>
          <w:lang w:eastAsia="zh-CN"/>
        </w:rPr>
        <w:t>超</w:t>
      </w:r>
      <w:r>
        <w:rPr>
          <w:rFonts w:hint="default" w:ascii="Times New Roman" w:hAnsi="Times New Roman" w:cs="Times New Roman"/>
          <w:color w:val="auto"/>
          <w:sz w:val="32"/>
          <w:szCs w:val="32"/>
          <w:highlight w:val="none"/>
        </w:rPr>
        <w:t>5000</w:t>
      </w:r>
      <w:r>
        <w:rPr>
          <w:rFonts w:hint="eastAsia"/>
          <w:color w:val="auto"/>
          <w:sz w:val="32"/>
          <w:szCs w:val="32"/>
          <w:highlight w:val="none"/>
        </w:rPr>
        <w:t>万人次，游客总花费</w:t>
      </w:r>
      <w:r>
        <w:rPr>
          <w:rFonts w:hint="eastAsia"/>
          <w:color w:val="auto"/>
          <w:sz w:val="32"/>
          <w:szCs w:val="32"/>
          <w:highlight w:val="none"/>
          <w:lang w:eastAsia="zh-CN"/>
        </w:rPr>
        <w:t>超</w:t>
      </w:r>
      <w:r>
        <w:rPr>
          <w:rFonts w:hint="default" w:ascii="Times New Roman" w:hAnsi="Times New Roman" w:cs="Times New Roman"/>
          <w:color w:val="auto"/>
          <w:sz w:val="32"/>
          <w:szCs w:val="32"/>
          <w:highlight w:val="none"/>
        </w:rPr>
        <w:t>16</w:t>
      </w:r>
      <w:r>
        <w:rPr>
          <w:rFonts w:hint="eastAsia" w:ascii="Times New Roman" w:hAnsi="Times New Roman" w:cs="Times New Roman"/>
          <w:color w:val="auto"/>
          <w:sz w:val="32"/>
          <w:szCs w:val="32"/>
          <w:highlight w:val="none"/>
          <w:lang w:val="en-US" w:eastAsia="zh-CN"/>
        </w:rPr>
        <w:t>00</w:t>
      </w:r>
      <w:r>
        <w:rPr>
          <w:rFonts w:hint="eastAsia"/>
          <w:color w:val="auto"/>
          <w:sz w:val="32"/>
          <w:szCs w:val="32"/>
          <w:highlight w:val="none"/>
        </w:rPr>
        <w:t>亿元，</w:t>
      </w:r>
      <w:r>
        <w:rPr>
          <w:rFonts w:hint="eastAsia"/>
          <w:color w:val="auto"/>
          <w:sz w:val="32"/>
          <w:szCs w:val="32"/>
          <w:highlight w:val="none"/>
          <w:lang w:eastAsia="zh-CN"/>
        </w:rPr>
        <w:t>入境游客人数</w:t>
      </w:r>
      <w:r>
        <w:rPr>
          <w:rFonts w:hint="eastAsia"/>
          <w:color w:val="auto"/>
          <w:sz w:val="32"/>
          <w:szCs w:val="32"/>
          <w:highlight w:val="none"/>
        </w:rPr>
        <w:t>超</w:t>
      </w:r>
      <w:r>
        <w:rPr>
          <w:rFonts w:hint="default" w:ascii="Times New Roman" w:hAnsi="Times New Roman" w:cs="Times New Roman"/>
          <w:color w:val="auto"/>
          <w:sz w:val="32"/>
          <w:szCs w:val="32"/>
          <w:highlight w:val="none"/>
        </w:rPr>
        <w:t>200</w:t>
      </w:r>
      <w:r>
        <w:rPr>
          <w:rFonts w:hint="eastAsia"/>
          <w:color w:val="auto"/>
          <w:sz w:val="32"/>
          <w:szCs w:val="32"/>
          <w:highlight w:val="none"/>
        </w:rPr>
        <w:t>万人次。</w:t>
      </w:r>
      <w:r>
        <w:rPr>
          <w:rFonts w:hint="eastAsia"/>
          <w:b w:val="0"/>
          <w:bCs/>
          <w:color w:val="auto"/>
          <w:sz w:val="32"/>
          <w:szCs w:val="32"/>
          <w:highlight w:val="none"/>
        </w:rPr>
        <w:t>新兴产业、未来产业加快培育，“五向图强”新质生产力发展取得重大突破，全要素生产率稳步提升，消费和投资持续均衡增长，旅游消费吸引力持续增强。</w:t>
      </w:r>
    </w:p>
    <w:p>
      <w:pPr>
        <w:pStyle w:val="31"/>
        <w:keepNext w:val="0"/>
        <w:keepLines w:val="0"/>
        <w:pageBreakBefore w:val="0"/>
        <w:widowControl w:val="0"/>
        <w:shd w:val="clear"/>
        <w:kinsoku/>
        <w:wordWrap/>
        <w:overflowPunct/>
        <w:topLinePunct w:val="0"/>
        <w:autoSpaceDE/>
        <w:autoSpaceDN/>
        <w:bidi w:val="0"/>
        <w:adjustRightInd w:val="0"/>
        <w:snapToGrid w:val="0"/>
        <w:spacing w:line="556" w:lineRule="exact"/>
        <w:ind w:firstLine="602"/>
        <w:textAlignment w:val="auto"/>
        <w:rPr>
          <w:rFonts w:hint="eastAsia"/>
          <w:b w:val="0"/>
          <w:bCs/>
          <w:color w:val="auto"/>
          <w:sz w:val="32"/>
          <w:szCs w:val="32"/>
          <w:highlight w:val="none"/>
        </w:rPr>
      </w:pPr>
      <w:r>
        <w:rPr>
          <w:rFonts w:hint="eastAsia"/>
          <w:b/>
          <w:bCs w:val="0"/>
          <w:color w:val="auto"/>
          <w:sz w:val="32"/>
          <w:szCs w:val="32"/>
          <w:highlight w:val="none"/>
        </w:rPr>
        <w:t>科技创新能级迈上新台阶。</w:t>
      </w:r>
      <w:r>
        <w:rPr>
          <w:rFonts w:hint="eastAsia"/>
          <w:b w:val="0"/>
          <w:bCs/>
          <w:color w:val="auto"/>
          <w:sz w:val="32"/>
          <w:szCs w:val="32"/>
          <w:highlight w:val="none"/>
        </w:rPr>
        <w:t>科技创新体系更加完善，全社会研发经费投入总量持续较快增长</w:t>
      </w:r>
      <w:r>
        <w:rPr>
          <w:rFonts w:hint="eastAsia"/>
          <w:b w:val="0"/>
          <w:bCs/>
          <w:color w:val="auto"/>
          <w:sz w:val="32"/>
          <w:szCs w:val="32"/>
          <w:highlight w:val="none"/>
          <w:lang w:eastAsia="zh-CN"/>
        </w:rPr>
        <w:t>，</w:t>
      </w:r>
      <w:r>
        <w:rPr>
          <w:rFonts w:hint="eastAsia"/>
          <w:b w:val="0"/>
          <w:bCs/>
          <w:color w:val="auto"/>
          <w:sz w:val="32"/>
          <w:szCs w:val="32"/>
          <w:highlight w:val="none"/>
        </w:rPr>
        <w:t>2030年</w:t>
      </w:r>
      <w:r>
        <w:rPr>
          <w:rFonts w:hint="eastAsia"/>
          <w:b w:val="0"/>
          <w:bCs/>
          <w:color w:val="auto"/>
          <w:sz w:val="32"/>
          <w:szCs w:val="32"/>
          <w:highlight w:val="none"/>
          <w:lang w:eastAsia="zh-CN"/>
        </w:rPr>
        <w:t>占</w:t>
      </w:r>
      <w:r>
        <w:rPr>
          <w:rFonts w:hint="eastAsia"/>
          <w:b w:val="0"/>
          <w:bCs/>
          <w:color w:val="auto"/>
          <w:sz w:val="32"/>
          <w:szCs w:val="32"/>
          <w:highlight w:val="none"/>
        </w:rPr>
        <w:t>地区生产总值</w:t>
      </w:r>
      <w:r>
        <w:rPr>
          <w:rFonts w:hint="eastAsia"/>
          <w:b w:val="0"/>
          <w:bCs/>
          <w:color w:val="auto"/>
          <w:sz w:val="32"/>
          <w:szCs w:val="32"/>
          <w:highlight w:val="none"/>
          <w:lang w:eastAsia="zh-CN"/>
        </w:rPr>
        <w:t>比重提升至</w:t>
      </w:r>
      <w:r>
        <w:rPr>
          <w:rFonts w:hint="eastAsia"/>
          <w:b w:val="0"/>
          <w:bCs/>
          <w:color w:val="auto"/>
          <w:sz w:val="32"/>
          <w:szCs w:val="32"/>
          <w:highlight w:val="none"/>
        </w:rPr>
        <w:t>4.5%，研发种业、深海、生物制造等创新平台能级进一步提升，“政产学研金服用”一体化创新生态持续优化，教育科技人才一体发展格局基本形成，科技创新和产业创新深度融合发展，创成崖州湾国家高新技术产业开发区，全国种业深海科技产业创新示范区建设成型起势。</w:t>
      </w:r>
    </w:p>
    <w:p>
      <w:pPr>
        <w:pStyle w:val="31"/>
        <w:keepNext w:val="0"/>
        <w:keepLines w:val="0"/>
        <w:pageBreakBefore w:val="0"/>
        <w:widowControl w:val="0"/>
        <w:shd w:val="clear"/>
        <w:kinsoku/>
        <w:wordWrap/>
        <w:overflowPunct/>
        <w:topLinePunct w:val="0"/>
        <w:autoSpaceDE/>
        <w:autoSpaceDN/>
        <w:bidi w:val="0"/>
        <w:adjustRightInd w:val="0"/>
        <w:snapToGrid w:val="0"/>
        <w:spacing w:line="556" w:lineRule="exact"/>
        <w:ind w:firstLine="602"/>
        <w:textAlignment w:val="auto"/>
        <w:rPr>
          <w:rFonts w:hint="eastAsia"/>
          <w:b w:val="0"/>
          <w:bCs/>
          <w:color w:val="auto"/>
          <w:sz w:val="32"/>
          <w:szCs w:val="32"/>
          <w:highlight w:val="none"/>
        </w:rPr>
      </w:pPr>
      <w:r>
        <w:rPr>
          <w:rFonts w:hint="eastAsia"/>
          <w:b/>
          <w:bCs w:val="0"/>
          <w:color w:val="auto"/>
          <w:sz w:val="32"/>
          <w:szCs w:val="32"/>
          <w:highlight w:val="none"/>
        </w:rPr>
        <w:t>区域协调发展格局呈现新气象。</w:t>
      </w:r>
      <w:r>
        <w:rPr>
          <w:rFonts w:hint="eastAsia"/>
          <w:b w:val="0"/>
          <w:bCs/>
          <w:color w:val="auto"/>
          <w:sz w:val="32"/>
          <w:szCs w:val="32"/>
          <w:highlight w:val="none"/>
        </w:rPr>
        <w:t>现代化城市新格局初步形成，以人为本的新型城镇化深入推进，乡村全面振兴、和美乡村建设取得新的突破，三亚经济圈“领头羊”地位更加凸显、辐射带动能力明显增强，区域差距、城乡差距进一步缩小，城乡协调发展和两个文明提升样板区建设取得重大进展。</w:t>
      </w:r>
    </w:p>
    <w:p>
      <w:pPr>
        <w:pStyle w:val="31"/>
        <w:keepNext w:val="0"/>
        <w:keepLines w:val="0"/>
        <w:pageBreakBefore w:val="0"/>
        <w:widowControl w:val="0"/>
        <w:shd w:val="clear"/>
        <w:kinsoku/>
        <w:wordWrap/>
        <w:overflowPunct/>
        <w:topLinePunct w:val="0"/>
        <w:autoSpaceDE/>
        <w:autoSpaceDN/>
        <w:bidi w:val="0"/>
        <w:adjustRightInd w:val="0"/>
        <w:snapToGrid w:val="0"/>
        <w:spacing w:line="556" w:lineRule="exact"/>
        <w:ind w:firstLine="602"/>
        <w:textAlignment w:val="auto"/>
        <w:rPr>
          <w:rFonts w:hint="eastAsia"/>
          <w:b w:val="0"/>
          <w:bCs/>
          <w:color w:val="auto"/>
          <w:sz w:val="32"/>
          <w:szCs w:val="32"/>
          <w:highlight w:val="none"/>
        </w:rPr>
      </w:pPr>
      <w:r>
        <w:rPr>
          <w:rFonts w:hint="eastAsia"/>
          <w:b/>
          <w:bCs w:val="0"/>
          <w:color w:val="auto"/>
          <w:sz w:val="32"/>
          <w:szCs w:val="32"/>
          <w:highlight w:val="none"/>
        </w:rPr>
        <w:t>美丽中国先行区建设展现新图景。</w:t>
      </w:r>
      <w:r>
        <w:rPr>
          <w:rFonts w:hint="eastAsia"/>
          <w:b w:val="0"/>
          <w:bCs/>
          <w:color w:val="auto"/>
          <w:sz w:val="32"/>
          <w:szCs w:val="32"/>
          <w:highlight w:val="none"/>
        </w:rPr>
        <w:t>生态优先、节约集约、绿色低碳发展不断推进，现代化绿色低碳产业体系和清洁能源消费供给体系不断完善，如期实现碳达峰，生态环境问题得到有效治理，生态环境质量保持全国一流、全省领先，生态系统多样性稳定性持续性不断提升，经济社会发展全面绿色转型步伐加快，成为向世界展示习近平生态文明思想实践伟力的重要窗口。</w:t>
      </w:r>
    </w:p>
    <w:p>
      <w:pPr>
        <w:pStyle w:val="31"/>
        <w:keepNext w:val="0"/>
        <w:keepLines w:val="0"/>
        <w:pageBreakBefore w:val="0"/>
        <w:widowControl w:val="0"/>
        <w:shd w:val="clear"/>
        <w:kinsoku/>
        <w:wordWrap/>
        <w:overflowPunct/>
        <w:topLinePunct w:val="0"/>
        <w:autoSpaceDE/>
        <w:autoSpaceDN/>
        <w:bidi w:val="0"/>
        <w:adjustRightInd w:val="0"/>
        <w:snapToGrid w:val="0"/>
        <w:spacing w:line="550" w:lineRule="exact"/>
        <w:ind w:firstLine="602"/>
        <w:textAlignment w:val="auto"/>
        <w:rPr>
          <w:rFonts w:hint="eastAsia"/>
          <w:b w:val="0"/>
          <w:bCs/>
          <w:color w:val="auto"/>
          <w:sz w:val="32"/>
          <w:szCs w:val="32"/>
          <w:highlight w:val="none"/>
        </w:rPr>
      </w:pPr>
      <w:r>
        <w:rPr>
          <w:rFonts w:hint="eastAsia"/>
          <w:b/>
          <w:bCs w:val="0"/>
          <w:color w:val="auto"/>
          <w:sz w:val="32"/>
          <w:szCs w:val="32"/>
          <w:highlight w:val="none"/>
        </w:rPr>
        <w:t>人民生活水平达到新高度。</w:t>
      </w:r>
      <w:r>
        <w:rPr>
          <w:rFonts w:hint="eastAsia"/>
          <w:b w:val="0"/>
          <w:bCs/>
          <w:color w:val="auto"/>
          <w:sz w:val="32"/>
          <w:szCs w:val="32"/>
          <w:highlight w:val="none"/>
        </w:rPr>
        <w:t>高质量充分就业取得新进展，居民收入增长和经济增长同步、劳动报酬增加和劳动生产率提高同步，城乡收入差距逐步缩小，中等收入群体持续扩大，社会保障制度更加优化，教育、医疗、住房、养老托育等基本公共服务均等化水平明显提升，人民精神文化生活更加丰富，文化软实力不断增强，居民文明素养和社会文明程度持续提升，力争创成全国文明城市。</w:t>
      </w:r>
    </w:p>
    <w:p>
      <w:pPr>
        <w:pStyle w:val="31"/>
        <w:keepNext w:val="0"/>
        <w:keepLines w:val="0"/>
        <w:pageBreakBefore w:val="0"/>
        <w:widowControl w:val="0"/>
        <w:shd w:val="clear"/>
        <w:kinsoku/>
        <w:wordWrap/>
        <w:overflowPunct/>
        <w:topLinePunct w:val="0"/>
        <w:autoSpaceDE/>
        <w:autoSpaceDN/>
        <w:bidi w:val="0"/>
        <w:adjustRightInd w:val="0"/>
        <w:snapToGrid w:val="0"/>
        <w:spacing w:line="550" w:lineRule="exact"/>
        <w:ind w:firstLine="602"/>
        <w:textAlignment w:val="auto"/>
        <w:rPr>
          <w:rFonts w:hint="eastAsia"/>
          <w:b/>
          <w:color w:val="auto"/>
          <w:sz w:val="32"/>
          <w:szCs w:val="32"/>
          <w:highlight w:val="none"/>
        </w:rPr>
      </w:pPr>
      <w:r>
        <w:rPr>
          <w:rFonts w:hint="eastAsia"/>
          <w:b/>
          <w:bCs w:val="0"/>
          <w:color w:val="auto"/>
          <w:sz w:val="32"/>
          <w:szCs w:val="32"/>
          <w:highlight w:val="none"/>
        </w:rPr>
        <w:t>安全保障能力得到新提升。</w:t>
      </w:r>
      <w:r>
        <w:rPr>
          <w:rFonts w:hint="eastAsia"/>
          <w:b w:val="0"/>
          <w:bCs/>
          <w:color w:val="auto"/>
          <w:sz w:val="32"/>
          <w:szCs w:val="32"/>
          <w:highlight w:val="none"/>
        </w:rPr>
        <w:t>国家安全体系和能力进一步加强，风险防控体系更加严密，重点领域风险得到有效防范化解，社会治理和公共安全治理水平明显提高，平安三亚建设迈上更高水平。军地协作体制机制更加顺畅，双拥共建工作深入开展，国家重大战略服务保障区建设取得显著成效。</w:t>
      </w:r>
    </w:p>
    <w:p>
      <w:pPr>
        <w:pStyle w:val="31"/>
        <w:keepNext w:val="0"/>
        <w:keepLines w:val="0"/>
        <w:pageBreakBefore w:val="0"/>
        <w:widowControl w:val="0"/>
        <w:shd w:val="clear"/>
        <w:kinsoku/>
        <w:wordWrap/>
        <w:overflowPunct/>
        <w:topLinePunct w:val="0"/>
        <w:autoSpaceDE/>
        <w:autoSpaceDN/>
        <w:bidi w:val="0"/>
        <w:adjustRightInd w:val="0"/>
        <w:snapToGrid w:val="0"/>
        <w:spacing w:after="251" w:afterLines="80" w:line="550" w:lineRule="exact"/>
        <w:ind w:firstLine="602"/>
        <w:textAlignment w:val="auto"/>
        <w:rPr>
          <w:rFonts w:hint="eastAsia"/>
          <w:color w:val="auto"/>
          <w:sz w:val="32"/>
          <w:szCs w:val="32"/>
          <w:highlight w:val="none"/>
        </w:rPr>
      </w:pPr>
      <w:r>
        <w:rPr>
          <w:rFonts w:hint="eastAsia"/>
          <w:color w:val="auto"/>
          <w:sz w:val="32"/>
          <w:szCs w:val="32"/>
          <w:highlight w:val="none"/>
        </w:rPr>
        <w:t>在此基础上再奋斗五年，到二〇三五年实现经济实力、开放活力、科技实力、区域辐射力、国际影响力大幅跃升，全体人民共同富裕迈出坚实步伐，人民生活更加幸福美好，建成世界知名宜居宜游宜业现代化滨海城市，中国式现代化建设领先全国同类城市。</w:t>
      </w:r>
    </w:p>
    <w:tbl>
      <w:tblPr>
        <w:tblStyle w:val="23"/>
        <w:tblW w:w="89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3431"/>
        <w:gridCol w:w="998"/>
        <w:gridCol w:w="911"/>
        <w:gridCol w:w="860"/>
        <w:gridCol w:w="1063"/>
        <w:gridCol w:w="9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blHeader/>
          <w:jc w:val="center"/>
        </w:trPr>
        <w:tc>
          <w:tcPr>
            <w:tcW w:w="8952" w:type="dxa"/>
            <w:gridSpan w:val="7"/>
            <w:vAlign w:val="center"/>
          </w:tcPr>
          <w:p>
            <w:pPr>
              <w:keepNext w:val="0"/>
              <w:keepLines w:val="0"/>
              <w:pageBreakBefore w:val="0"/>
              <w:widowControl w:val="0"/>
              <w:shd w:val="clear"/>
              <w:kinsoku/>
              <w:wordWrap/>
              <w:overflowPunct/>
              <w:topLinePunct w:val="0"/>
              <w:autoSpaceDE/>
              <w:autoSpaceDN/>
              <w:bidi w:val="0"/>
              <w:adjustRightInd w:val="0"/>
              <w:snapToGrid w:val="0"/>
              <w:spacing w:before="0" w:beforeLines="0" w:after="0" w:afterLines="0" w:line="240" w:lineRule="atLeast"/>
              <w:jc w:val="center"/>
              <w:textAlignment w:val="auto"/>
              <w:rPr>
                <w:rFonts w:ascii="Times New Roman" w:hAnsi="Times New Roman" w:eastAsia="黑体"/>
                <w:color w:val="auto"/>
                <w:sz w:val="24"/>
                <w:highlight w:val="none"/>
              </w:rPr>
            </w:pPr>
            <w:r>
              <w:rPr>
                <w:rFonts w:hint="eastAsia" w:ascii="Times New Roman" w:hAnsi="Times New Roman" w:eastAsia="黑体"/>
                <w:color w:val="auto"/>
                <w:sz w:val="28"/>
                <w:szCs w:val="28"/>
                <w:highlight w:val="none"/>
              </w:rPr>
              <w:t>专栏</w:t>
            </w:r>
            <w:r>
              <w:rPr>
                <w:rFonts w:hint="default" w:ascii="Times New Roman" w:hAnsi="Times New Roman" w:eastAsia="黑体" w:cs="Times New Roman"/>
                <w:bCs/>
                <w:color w:val="auto"/>
                <w:sz w:val="28"/>
                <w:szCs w:val="28"/>
                <w:highlight w:val="none"/>
                <w:lang w:val="en-US" w:eastAsia="zh-CN"/>
              </w:rPr>
              <w:t>1</w:t>
            </w:r>
            <w:r>
              <w:rPr>
                <w:rFonts w:hint="eastAsia" w:ascii="Times New Roman" w:hAnsi="Times New Roman" w:eastAsia="黑体"/>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w:t>
            </w:r>
            <w:r>
              <w:rPr>
                <w:rFonts w:hint="eastAsia" w:ascii="Times New Roman" w:hAnsi="Times New Roman" w:eastAsia="黑体"/>
                <w:color w:val="auto"/>
                <w:sz w:val="28"/>
                <w:szCs w:val="28"/>
                <w:highlight w:val="none"/>
              </w:rPr>
              <w:t>十五五</w:t>
            </w:r>
            <w:r>
              <w:rPr>
                <w:rFonts w:hint="eastAsia" w:ascii="仿宋_GB2312" w:hAnsi="仿宋_GB2312" w:eastAsia="仿宋_GB2312" w:cs="仿宋_GB2312"/>
                <w:color w:val="auto"/>
                <w:sz w:val="28"/>
                <w:szCs w:val="28"/>
                <w:highlight w:val="none"/>
              </w:rPr>
              <w:t>”</w:t>
            </w:r>
            <w:r>
              <w:rPr>
                <w:rFonts w:hint="eastAsia" w:ascii="Times New Roman" w:hAnsi="Times New Roman" w:eastAsia="黑体"/>
                <w:color w:val="auto"/>
                <w:sz w:val="28"/>
                <w:szCs w:val="28"/>
                <w:highlight w:val="none"/>
              </w:rPr>
              <w:t>时期经济社会发展主要指标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0" w:type="dxa"/>
            <w:shd w:val="clear" w:color="auto" w:fill="E7E6E6"/>
            <w:vAlign w:val="center"/>
          </w:tcPr>
          <w:p>
            <w:pPr>
              <w:pageBreakBefore w:val="0"/>
              <w:shd w:val="clear"/>
              <w:kinsoku/>
              <w:wordWrap/>
              <w:overflowPunct/>
              <w:topLinePunct w:val="0"/>
              <w:bidi w:val="0"/>
              <w:adjustRightInd w:val="0"/>
              <w:snapToGrid w:val="0"/>
              <w:spacing w:beforeLines="0" w:afterLines="0" w:line="240" w:lineRule="atLeast"/>
              <w:jc w:val="center"/>
              <w:textAlignment w:val="auto"/>
              <w:rPr>
                <w:rFonts w:ascii="Times New Roman" w:hAnsi="Times New Roman" w:eastAsia="黑体"/>
                <w:color w:val="auto"/>
                <w:sz w:val="24"/>
                <w:highlight w:val="none"/>
              </w:rPr>
            </w:pPr>
            <w:r>
              <w:rPr>
                <w:rFonts w:hint="eastAsia" w:ascii="Times New Roman" w:hAnsi="Times New Roman" w:eastAsia="黑体"/>
                <w:color w:val="auto"/>
                <w:sz w:val="24"/>
                <w:highlight w:val="none"/>
              </w:rPr>
              <w:t>类别</w:t>
            </w:r>
          </w:p>
        </w:tc>
        <w:tc>
          <w:tcPr>
            <w:tcW w:w="3431" w:type="dxa"/>
            <w:shd w:val="clear" w:color="auto" w:fill="E7E6E6"/>
            <w:vAlign w:val="center"/>
          </w:tcPr>
          <w:p>
            <w:pPr>
              <w:pageBreakBefore w:val="0"/>
              <w:shd w:val="clear"/>
              <w:kinsoku/>
              <w:wordWrap/>
              <w:overflowPunct/>
              <w:topLinePunct w:val="0"/>
              <w:bidi w:val="0"/>
              <w:adjustRightInd w:val="0"/>
              <w:snapToGrid w:val="0"/>
              <w:spacing w:beforeLines="0" w:afterLines="0" w:line="240" w:lineRule="atLeast"/>
              <w:jc w:val="center"/>
              <w:textAlignment w:val="auto"/>
              <w:rPr>
                <w:rFonts w:ascii="Times New Roman" w:hAnsi="Times New Roman" w:eastAsia="黑体"/>
                <w:color w:val="auto"/>
                <w:sz w:val="24"/>
                <w:highlight w:val="none"/>
              </w:rPr>
            </w:pPr>
            <w:r>
              <w:rPr>
                <w:rFonts w:hint="eastAsia" w:ascii="Times New Roman" w:hAnsi="Times New Roman" w:eastAsia="黑体"/>
                <w:color w:val="auto"/>
                <w:sz w:val="24"/>
                <w:highlight w:val="none"/>
              </w:rPr>
              <w:t>指标</w:t>
            </w:r>
          </w:p>
        </w:tc>
        <w:tc>
          <w:tcPr>
            <w:tcW w:w="998" w:type="dxa"/>
            <w:shd w:val="clear" w:color="auto" w:fill="E7E6E6"/>
            <w:vAlign w:val="center"/>
          </w:tcPr>
          <w:p>
            <w:pPr>
              <w:pageBreakBefore w:val="0"/>
              <w:shd w:val="clear"/>
              <w:kinsoku/>
              <w:wordWrap/>
              <w:overflowPunct/>
              <w:topLinePunct w:val="0"/>
              <w:bidi w:val="0"/>
              <w:adjustRightInd w:val="0"/>
              <w:snapToGrid w:val="0"/>
              <w:spacing w:beforeLines="0" w:afterLines="0" w:line="240" w:lineRule="atLeast"/>
              <w:jc w:val="center"/>
              <w:textAlignment w:val="auto"/>
              <w:rPr>
                <w:rFonts w:ascii="Times New Roman" w:hAnsi="Times New Roman" w:eastAsia="黑体"/>
                <w:color w:val="auto"/>
                <w:sz w:val="24"/>
                <w:highlight w:val="none"/>
              </w:rPr>
            </w:pPr>
            <w:r>
              <w:rPr>
                <w:rFonts w:hint="eastAsia" w:ascii="Times New Roman" w:hAnsi="Times New Roman" w:eastAsia="黑体"/>
                <w:color w:val="auto"/>
                <w:sz w:val="24"/>
                <w:highlight w:val="none"/>
              </w:rPr>
              <w:t>单位</w:t>
            </w:r>
          </w:p>
        </w:tc>
        <w:tc>
          <w:tcPr>
            <w:tcW w:w="911" w:type="dxa"/>
            <w:shd w:val="clear" w:color="auto" w:fill="E7E6E6"/>
            <w:vAlign w:val="center"/>
          </w:tcPr>
          <w:p>
            <w:pPr>
              <w:pageBreakBefore w:val="0"/>
              <w:shd w:val="clear"/>
              <w:kinsoku/>
              <w:wordWrap/>
              <w:overflowPunct/>
              <w:topLinePunct w:val="0"/>
              <w:bidi w:val="0"/>
              <w:adjustRightInd w:val="0"/>
              <w:snapToGrid w:val="0"/>
              <w:spacing w:beforeLines="0" w:afterLines="0" w:line="240" w:lineRule="atLeast"/>
              <w:jc w:val="center"/>
              <w:textAlignment w:val="auto"/>
              <w:rPr>
                <w:rFonts w:ascii="Times New Roman" w:hAnsi="Times New Roman" w:eastAsia="黑体"/>
                <w:color w:val="auto"/>
                <w:sz w:val="24"/>
                <w:highlight w:val="none"/>
              </w:rPr>
            </w:pPr>
            <w:r>
              <w:rPr>
                <w:rFonts w:hint="default" w:ascii="Times New Roman" w:hAnsi="Times New Roman" w:eastAsia="黑体" w:cs="Times New Roman"/>
                <w:color w:val="auto"/>
                <w:sz w:val="24"/>
                <w:highlight w:val="none"/>
              </w:rPr>
              <w:t>202</w:t>
            </w:r>
            <w:r>
              <w:rPr>
                <w:rFonts w:hint="eastAsia" w:ascii="Times New Roman" w:hAnsi="Times New Roman" w:eastAsia="黑体" w:cs="Times New Roman"/>
                <w:color w:val="auto"/>
                <w:sz w:val="24"/>
                <w:highlight w:val="none"/>
                <w:lang w:val="en-US" w:eastAsia="zh-CN"/>
              </w:rPr>
              <w:t>5</w:t>
            </w:r>
            <w:r>
              <w:rPr>
                <w:rFonts w:hint="eastAsia" w:ascii="Times New Roman" w:hAnsi="Times New Roman" w:eastAsia="黑体"/>
                <w:color w:val="auto"/>
                <w:sz w:val="24"/>
                <w:highlight w:val="none"/>
              </w:rPr>
              <w:t>年</w:t>
            </w:r>
          </w:p>
        </w:tc>
        <w:tc>
          <w:tcPr>
            <w:tcW w:w="860" w:type="dxa"/>
            <w:shd w:val="clear" w:color="auto" w:fill="E7E6E6"/>
            <w:vAlign w:val="center"/>
          </w:tcPr>
          <w:p>
            <w:pPr>
              <w:pageBreakBefore w:val="0"/>
              <w:shd w:val="clear"/>
              <w:kinsoku/>
              <w:wordWrap/>
              <w:overflowPunct/>
              <w:topLinePunct w:val="0"/>
              <w:bidi w:val="0"/>
              <w:adjustRightInd w:val="0"/>
              <w:snapToGrid w:val="0"/>
              <w:spacing w:beforeLines="0" w:afterLines="0" w:line="240" w:lineRule="atLeast"/>
              <w:jc w:val="center"/>
              <w:textAlignment w:val="auto"/>
              <w:rPr>
                <w:rFonts w:ascii="Times New Roman" w:hAnsi="Times New Roman" w:eastAsia="黑体"/>
                <w:color w:val="auto"/>
                <w:sz w:val="24"/>
                <w:highlight w:val="none"/>
              </w:rPr>
            </w:pPr>
            <w:r>
              <w:rPr>
                <w:rFonts w:hint="default" w:ascii="Times New Roman" w:hAnsi="Times New Roman" w:eastAsia="黑体" w:cs="Times New Roman"/>
                <w:color w:val="auto"/>
                <w:sz w:val="24"/>
                <w:highlight w:val="none"/>
              </w:rPr>
              <w:t>2030</w:t>
            </w:r>
            <w:r>
              <w:rPr>
                <w:rFonts w:hint="eastAsia" w:ascii="Times New Roman" w:hAnsi="Times New Roman" w:eastAsia="黑体"/>
                <w:color w:val="auto"/>
                <w:sz w:val="24"/>
                <w:highlight w:val="none"/>
              </w:rPr>
              <w:t>年</w:t>
            </w:r>
          </w:p>
        </w:tc>
        <w:tc>
          <w:tcPr>
            <w:tcW w:w="1063" w:type="dxa"/>
            <w:shd w:val="clear" w:color="auto" w:fill="E7E6E6"/>
            <w:vAlign w:val="center"/>
          </w:tcPr>
          <w:p>
            <w:pPr>
              <w:pageBreakBefore w:val="0"/>
              <w:shd w:val="clear"/>
              <w:kinsoku/>
              <w:wordWrap/>
              <w:overflowPunct/>
              <w:topLinePunct w:val="0"/>
              <w:bidi w:val="0"/>
              <w:adjustRightInd w:val="0"/>
              <w:snapToGrid w:val="0"/>
              <w:spacing w:beforeLines="0" w:afterLines="0" w:line="240" w:lineRule="atLeast"/>
              <w:jc w:val="center"/>
              <w:textAlignment w:val="auto"/>
              <w:rPr>
                <w:rFonts w:ascii="Times New Roman" w:hAnsi="Times New Roman" w:eastAsia="黑体"/>
                <w:color w:val="auto"/>
                <w:sz w:val="24"/>
                <w:highlight w:val="none"/>
              </w:rPr>
            </w:pPr>
            <w:r>
              <w:rPr>
                <w:rFonts w:hint="eastAsia" w:ascii="Times New Roman" w:hAnsi="Times New Roman" w:eastAsia="黑体"/>
                <w:color w:val="auto"/>
                <w:sz w:val="24"/>
                <w:highlight w:val="none"/>
              </w:rPr>
              <w:t>年均/累计</w:t>
            </w:r>
          </w:p>
        </w:tc>
        <w:tc>
          <w:tcPr>
            <w:tcW w:w="979" w:type="dxa"/>
            <w:shd w:val="clear" w:color="auto" w:fill="E7E6E6"/>
            <w:vAlign w:val="center"/>
          </w:tcPr>
          <w:p>
            <w:pPr>
              <w:pageBreakBefore w:val="0"/>
              <w:shd w:val="clear"/>
              <w:kinsoku/>
              <w:wordWrap/>
              <w:overflowPunct/>
              <w:topLinePunct w:val="0"/>
              <w:bidi w:val="0"/>
              <w:adjustRightInd w:val="0"/>
              <w:snapToGrid w:val="0"/>
              <w:spacing w:beforeLines="0" w:afterLines="0" w:line="240" w:lineRule="atLeast"/>
              <w:jc w:val="center"/>
              <w:textAlignment w:val="auto"/>
              <w:rPr>
                <w:rFonts w:ascii="Times New Roman" w:hAnsi="Times New Roman" w:eastAsia="黑体"/>
                <w:color w:val="auto"/>
                <w:sz w:val="24"/>
                <w:highlight w:val="none"/>
              </w:rPr>
            </w:pPr>
            <w:r>
              <w:rPr>
                <w:rFonts w:hint="eastAsia" w:ascii="Times New Roman" w:hAnsi="Times New Roman" w:eastAsia="黑体"/>
                <w:color w:val="auto"/>
                <w:sz w:val="24"/>
                <w:highlight w:val="none"/>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10" w:type="dxa"/>
            <w:vMerge w:val="restart"/>
            <w:shd w:val="clear" w:color="auto" w:fill="E7E6E6"/>
            <w:vAlign w:val="center"/>
          </w:tcPr>
          <w:p>
            <w:pPr>
              <w:pageBreakBefore w:val="0"/>
              <w:shd w:val="clear"/>
              <w:kinsoku/>
              <w:wordWrap/>
              <w:overflowPunct/>
              <w:topLinePunct w:val="0"/>
              <w:bidi w:val="0"/>
              <w:adjustRightInd w:val="0"/>
              <w:snapToGrid w:val="0"/>
              <w:spacing w:beforeLines="0" w:afterLines="0" w:line="240" w:lineRule="atLeast"/>
              <w:textAlignment w:val="auto"/>
              <w:rPr>
                <w:rFonts w:ascii="Times New Roman" w:hAnsi="Times New Roman" w:eastAsia="仿宋"/>
                <w:b/>
                <w:bCs/>
                <w:color w:val="auto"/>
                <w:sz w:val="24"/>
                <w:highlight w:val="none"/>
              </w:rPr>
            </w:pPr>
            <w:r>
              <w:rPr>
                <w:rFonts w:hint="eastAsia" w:ascii="Times New Roman" w:hAnsi="Times New Roman" w:eastAsia="仿宋"/>
                <w:b/>
                <w:bCs/>
                <w:color w:val="auto"/>
                <w:sz w:val="24"/>
                <w:highlight w:val="none"/>
              </w:rPr>
              <w:t>经济发展</w:t>
            </w:r>
          </w:p>
        </w:tc>
        <w:tc>
          <w:tcPr>
            <w:tcW w:w="3431" w:type="dxa"/>
            <w:vAlign w:val="center"/>
          </w:tcPr>
          <w:p>
            <w:pPr>
              <w:pageBreakBefore w:val="0"/>
              <w:shd w:val="clear"/>
              <w:kinsoku/>
              <w:wordWrap/>
              <w:overflowPunct/>
              <w:topLinePunct w:val="0"/>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default" w:ascii="Times New Roman" w:hAnsi="Times New Roman" w:eastAsia="仿宋" w:cs="Times New Roman"/>
                <w:color w:val="auto"/>
                <w:sz w:val="24"/>
                <w:highlight w:val="none"/>
              </w:rPr>
              <w:t>1</w:t>
            </w:r>
            <w:r>
              <w:rPr>
                <w:rFonts w:hint="eastAsia" w:ascii="Times New Roman" w:hAnsi="Times New Roman" w:eastAsia="仿宋"/>
                <w:color w:val="auto"/>
                <w:sz w:val="24"/>
                <w:highlight w:val="none"/>
              </w:rPr>
              <w:t>.地区生产总值（</w:t>
            </w:r>
            <w:r>
              <w:rPr>
                <w:rFonts w:hint="default" w:ascii="Times New Roman" w:hAnsi="Times New Roman" w:eastAsia="仿宋" w:cs="Times New Roman"/>
                <w:color w:val="auto"/>
                <w:sz w:val="24"/>
                <w:highlight w:val="none"/>
              </w:rPr>
              <w:t>GDP</w:t>
            </w:r>
            <w:r>
              <w:rPr>
                <w:rFonts w:hint="eastAsia" w:ascii="Times New Roman" w:hAnsi="Times New Roman" w:eastAsia="仿宋"/>
                <w:color w:val="auto"/>
                <w:sz w:val="24"/>
                <w:highlight w:val="none"/>
              </w:rPr>
              <w:t>）增长</w:t>
            </w:r>
          </w:p>
        </w:tc>
        <w:tc>
          <w:tcPr>
            <w:tcW w:w="998" w:type="dxa"/>
            <w:vAlign w:val="center"/>
          </w:tcPr>
          <w:p>
            <w:pPr>
              <w:pageBreakBefore w:val="0"/>
              <w:shd w:val="clear"/>
              <w:kinsoku/>
              <w:wordWrap/>
              <w:overflowPunct/>
              <w:topLinePunct w:val="0"/>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w:t>
            </w:r>
          </w:p>
        </w:tc>
        <w:tc>
          <w:tcPr>
            <w:tcW w:w="911" w:type="dxa"/>
            <w:vAlign w:val="center"/>
          </w:tcPr>
          <w:p>
            <w:pPr>
              <w:pageBreakBefore w:val="0"/>
              <w:shd w:val="clear"/>
              <w:kinsoku/>
              <w:wordWrap/>
              <w:overflowPunct/>
              <w:topLinePunct w:val="0"/>
              <w:bidi w:val="0"/>
              <w:adjustRightInd w:val="0"/>
              <w:snapToGrid w:val="0"/>
              <w:spacing w:beforeLines="0" w:afterLines="0" w:line="240" w:lineRule="atLeast"/>
              <w:jc w:val="center"/>
              <w:textAlignment w:val="auto"/>
              <w:rPr>
                <w:rFonts w:hint="default" w:ascii="Times New Roman" w:hAnsi="Times New Roman" w:eastAsia="仿宋"/>
                <w:color w:val="auto"/>
                <w:sz w:val="24"/>
                <w:highlight w:val="none"/>
                <w:lang w:val="en-US" w:eastAsia="zh-CN"/>
              </w:rPr>
            </w:pPr>
            <w:r>
              <w:rPr>
                <w:rFonts w:hint="eastAsia" w:ascii="Times New Roman" w:hAnsi="Times New Roman" w:eastAsia="仿宋"/>
                <w:color w:val="auto"/>
                <w:sz w:val="24"/>
                <w:highlight w:val="none"/>
                <w:lang w:val="en-US" w:eastAsia="zh-CN"/>
              </w:rPr>
              <w:t>4.8</w:t>
            </w:r>
          </w:p>
        </w:tc>
        <w:tc>
          <w:tcPr>
            <w:tcW w:w="860" w:type="dxa"/>
            <w:vAlign w:val="center"/>
          </w:tcPr>
          <w:p>
            <w:pPr>
              <w:pageBreakBefore w:val="0"/>
              <w:shd w:val="clear"/>
              <w:kinsoku/>
              <w:wordWrap/>
              <w:overflowPunct/>
              <w:topLinePunct w:val="0"/>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ascii="Times New Roman" w:hAnsi="Times New Roman" w:eastAsia="仿宋"/>
                <w:color w:val="auto"/>
                <w:sz w:val="24"/>
                <w:highlight w:val="none"/>
              </w:rPr>
              <w:t>/</w:t>
            </w:r>
          </w:p>
        </w:tc>
        <w:tc>
          <w:tcPr>
            <w:tcW w:w="1063" w:type="dxa"/>
            <w:vAlign w:val="center"/>
          </w:tcPr>
          <w:p>
            <w:pPr>
              <w:pageBreakBefore w:val="0"/>
              <w:shd w:val="clear"/>
              <w:kinsoku/>
              <w:wordWrap/>
              <w:overflowPunct/>
              <w:topLinePunct w:val="0"/>
              <w:bidi w:val="0"/>
              <w:adjustRightInd w:val="0"/>
              <w:snapToGrid w:val="0"/>
              <w:spacing w:beforeLines="0" w:afterLines="0" w:line="240" w:lineRule="atLeast"/>
              <w:jc w:val="center"/>
              <w:textAlignment w:val="auto"/>
              <w:rPr>
                <w:rFonts w:hint="default" w:ascii="Times New Roman" w:hAnsi="Times New Roman" w:eastAsia="仿宋"/>
                <w:color w:val="auto"/>
                <w:sz w:val="24"/>
                <w:highlight w:val="none"/>
                <w:lang w:val="en-US" w:eastAsia="zh-CN"/>
              </w:rPr>
            </w:pPr>
            <w:r>
              <w:rPr>
                <w:rFonts w:hint="eastAsia" w:ascii="Times New Roman" w:hAnsi="Times New Roman" w:eastAsia="仿宋"/>
                <w:color w:val="auto"/>
                <w:sz w:val="24"/>
                <w:highlight w:val="none"/>
                <w:lang w:val="en-US" w:eastAsia="zh-CN"/>
              </w:rPr>
              <w:t>6以上</w:t>
            </w:r>
          </w:p>
        </w:tc>
        <w:tc>
          <w:tcPr>
            <w:tcW w:w="979" w:type="dxa"/>
            <w:vAlign w:val="center"/>
          </w:tcPr>
          <w:p>
            <w:pPr>
              <w:pageBreakBefore w:val="0"/>
              <w:shd w:val="clear"/>
              <w:kinsoku/>
              <w:wordWrap/>
              <w:overflowPunct/>
              <w:topLinePunct w:val="0"/>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10" w:type="dxa"/>
            <w:vMerge w:val="continue"/>
            <w:shd w:val="clear" w:color="auto" w:fill="E7E6E6"/>
            <w:vAlign w:val="center"/>
          </w:tcPr>
          <w:p>
            <w:pPr>
              <w:pageBreakBefore w:val="0"/>
              <w:shd w:val="clear"/>
              <w:kinsoku/>
              <w:wordWrap/>
              <w:overflowPunct/>
              <w:topLinePunct w:val="0"/>
              <w:bidi w:val="0"/>
              <w:adjustRightInd w:val="0"/>
              <w:snapToGrid w:val="0"/>
              <w:spacing w:beforeLines="0" w:afterLines="0" w:line="240" w:lineRule="atLeast"/>
              <w:textAlignment w:val="auto"/>
              <w:rPr>
                <w:rFonts w:ascii="Times New Roman" w:hAnsi="Times New Roman" w:eastAsia="仿宋"/>
                <w:b/>
                <w:bCs/>
                <w:color w:val="auto"/>
                <w:sz w:val="24"/>
                <w:highlight w:val="none"/>
              </w:rPr>
            </w:pPr>
          </w:p>
        </w:tc>
        <w:tc>
          <w:tcPr>
            <w:tcW w:w="3431" w:type="dxa"/>
            <w:vAlign w:val="center"/>
          </w:tcPr>
          <w:p>
            <w:pPr>
              <w:pageBreakBefore w:val="0"/>
              <w:shd w:val="clear"/>
              <w:kinsoku/>
              <w:wordWrap/>
              <w:overflowPunct/>
              <w:topLinePunct w:val="0"/>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default" w:ascii="Times New Roman" w:hAnsi="Times New Roman" w:eastAsia="仿宋" w:cs="Times New Roman"/>
                <w:color w:val="auto"/>
                <w:sz w:val="24"/>
                <w:highlight w:val="none"/>
              </w:rPr>
              <w:t>2</w:t>
            </w:r>
            <w:r>
              <w:rPr>
                <w:rFonts w:hint="eastAsia" w:ascii="Times New Roman" w:hAnsi="Times New Roman" w:eastAsia="仿宋"/>
                <w:color w:val="auto"/>
                <w:sz w:val="24"/>
                <w:highlight w:val="none"/>
              </w:rPr>
              <w:t>.工业增加值占</w:t>
            </w:r>
            <w:r>
              <w:rPr>
                <w:rFonts w:hint="default" w:ascii="Times New Roman" w:hAnsi="Times New Roman" w:eastAsia="仿宋" w:cs="Times New Roman"/>
                <w:color w:val="auto"/>
                <w:sz w:val="24"/>
                <w:highlight w:val="none"/>
              </w:rPr>
              <w:t>GDP</w:t>
            </w:r>
            <w:r>
              <w:rPr>
                <w:rFonts w:hint="eastAsia" w:ascii="Times New Roman" w:hAnsi="Times New Roman" w:eastAsia="仿宋"/>
                <w:color w:val="auto"/>
                <w:sz w:val="24"/>
                <w:highlight w:val="none"/>
              </w:rPr>
              <w:t>比重</w:t>
            </w:r>
          </w:p>
        </w:tc>
        <w:tc>
          <w:tcPr>
            <w:tcW w:w="998" w:type="dxa"/>
            <w:vAlign w:val="center"/>
          </w:tcPr>
          <w:p>
            <w:pPr>
              <w:pageBreakBefore w:val="0"/>
              <w:shd w:val="clear"/>
              <w:kinsoku/>
              <w:wordWrap/>
              <w:overflowPunct/>
              <w:topLinePunct w:val="0"/>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w:t>
            </w:r>
          </w:p>
        </w:tc>
        <w:tc>
          <w:tcPr>
            <w:tcW w:w="911" w:type="dxa"/>
            <w:vAlign w:val="center"/>
          </w:tcPr>
          <w:p>
            <w:pPr>
              <w:pageBreakBefore w:val="0"/>
              <w:shd w:val="clear"/>
              <w:kinsoku/>
              <w:wordWrap/>
              <w:overflowPunct/>
              <w:topLinePunct w:val="0"/>
              <w:bidi w:val="0"/>
              <w:adjustRightInd w:val="0"/>
              <w:snapToGrid w:val="0"/>
              <w:spacing w:beforeLines="0" w:afterLines="0" w:line="240" w:lineRule="atLeast"/>
              <w:jc w:val="center"/>
              <w:textAlignment w:val="auto"/>
              <w:rPr>
                <w:rFonts w:hint="default" w:ascii="Times New Roman" w:hAnsi="Times New Roman" w:eastAsia="仿宋"/>
                <w:color w:val="auto"/>
                <w:sz w:val="24"/>
                <w:highlight w:val="none"/>
                <w:lang w:val="en-US" w:eastAsia="zh-CN"/>
              </w:rPr>
            </w:pPr>
            <w:r>
              <w:rPr>
                <w:rFonts w:hint="eastAsia" w:ascii="Times New Roman" w:hAnsi="Times New Roman" w:eastAsia="仿宋" w:cs="Times New Roman"/>
                <w:color w:val="auto"/>
                <w:sz w:val="24"/>
                <w:highlight w:val="none"/>
                <w:lang w:val="en-US" w:eastAsia="zh-CN"/>
              </w:rPr>
              <w:t>4.8</w:t>
            </w:r>
          </w:p>
        </w:tc>
        <w:tc>
          <w:tcPr>
            <w:tcW w:w="860" w:type="dxa"/>
            <w:vAlign w:val="center"/>
          </w:tcPr>
          <w:p>
            <w:pPr>
              <w:pageBreakBefore w:val="0"/>
              <w:shd w:val="clear"/>
              <w:kinsoku/>
              <w:wordWrap/>
              <w:overflowPunct/>
              <w:topLinePunct w:val="0"/>
              <w:bidi w:val="0"/>
              <w:adjustRightInd w:val="0"/>
              <w:snapToGrid w:val="0"/>
              <w:spacing w:beforeLines="0" w:afterLines="0" w:line="240" w:lineRule="atLeast"/>
              <w:jc w:val="center"/>
              <w:textAlignment w:val="auto"/>
              <w:rPr>
                <w:rFonts w:hint="default" w:ascii="Times New Roman" w:hAnsi="Times New Roman" w:eastAsia="仿宋"/>
                <w:color w:val="auto"/>
                <w:sz w:val="24"/>
                <w:highlight w:val="none"/>
                <w:lang w:val="en-US" w:eastAsia="zh-CN"/>
              </w:rPr>
            </w:pPr>
            <w:r>
              <w:rPr>
                <w:rFonts w:hint="default" w:ascii="Times New Roman" w:hAnsi="Times New Roman" w:eastAsia="仿宋" w:cs="Times New Roman"/>
                <w:color w:val="auto"/>
                <w:sz w:val="24"/>
                <w:highlight w:val="none"/>
                <w:lang w:val="en-US" w:eastAsia="zh-CN"/>
              </w:rPr>
              <w:t>10</w:t>
            </w:r>
          </w:p>
        </w:tc>
        <w:tc>
          <w:tcPr>
            <w:tcW w:w="1063" w:type="dxa"/>
            <w:vAlign w:val="center"/>
          </w:tcPr>
          <w:p>
            <w:pPr>
              <w:pageBreakBefore w:val="0"/>
              <w:shd w:val="clear"/>
              <w:kinsoku/>
              <w:wordWrap/>
              <w:overflowPunct/>
              <w:topLinePunct w:val="0"/>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w:t>
            </w:r>
          </w:p>
        </w:tc>
        <w:tc>
          <w:tcPr>
            <w:tcW w:w="979" w:type="dxa"/>
            <w:vAlign w:val="center"/>
          </w:tcPr>
          <w:p>
            <w:pPr>
              <w:pageBreakBefore w:val="0"/>
              <w:shd w:val="clear"/>
              <w:kinsoku/>
              <w:wordWrap/>
              <w:overflowPunct/>
              <w:topLinePunct w:val="0"/>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10" w:type="dxa"/>
            <w:vMerge w:val="continue"/>
            <w:shd w:val="clear" w:color="auto" w:fill="E7E6E6"/>
            <w:vAlign w:val="center"/>
          </w:tcPr>
          <w:p>
            <w:pPr>
              <w:pageBreakBefore w:val="0"/>
              <w:shd w:val="clear"/>
              <w:kinsoku/>
              <w:wordWrap/>
              <w:overflowPunct/>
              <w:topLinePunct w:val="0"/>
              <w:bidi w:val="0"/>
              <w:adjustRightInd w:val="0"/>
              <w:snapToGrid w:val="0"/>
              <w:spacing w:beforeLines="0" w:afterLines="0" w:line="240" w:lineRule="atLeast"/>
              <w:textAlignment w:val="auto"/>
              <w:rPr>
                <w:rFonts w:ascii="Times New Roman" w:hAnsi="Times New Roman" w:eastAsia="仿宋"/>
                <w:b/>
                <w:bCs/>
                <w:color w:val="auto"/>
                <w:sz w:val="24"/>
                <w:highlight w:val="none"/>
              </w:rPr>
            </w:pPr>
          </w:p>
        </w:tc>
        <w:tc>
          <w:tcPr>
            <w:tcW w:w="3431" w:type="dxa"/>
            <w:vAlign w:val="center"/>
          </w:tcPr>
          <w:p>
            <w:pPr>
              <w:pageBreakBefore w:val="0"/>
              <w:shd w:val="clear"/>
              <w:kinsoku/>
              <w:wordWrap/>
              <w:overflowPunct/>
              <w:topLinePunct w:val="0"/>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default" w:ascii="Times New Roman" w:hAnsi="Times New Roman" w:eastAsia="仿宋" w:cs="Times New Roman"/>
                <w:color w:val="auto"/>
                <w:sz w:val="24"/>
                <w:highlight w:val="none"/>
              </w:rPr>
              <w:t>3</w:t>
            </w:r>
            <w:r>
              <w:rPr>
                <w:rFonts w:hint="eastAsia" w:ascii="Times New Roman" w:hAnsi="Times New Roman" w:eastAsia="仿宋"/>
                <w:color w:val="auto"/>
                <w:sz w:val="24"/>
                <w:highlight w:val="none"/>
              </w:rPr>
              <w:t>.社会消费品零售总额增长</w:t>
            </w:r>
          </w:p>
        </w:tc>
        <w:tc>
          <w:tcPr>
            <w:tcW w:w="998" w:type="dxa"/>
            <w:vAlign w:val="center"/>
          </w:tcPr>
          <w:p>
            <w:pPr>
              <w:pageBreakBefore w:val="0"/>
              <w:shd w:val="clear"/>
              <w:kinsoku/>
              <w:wordWrap/>
              <w:overflowPunct/>
              <w:topLinePunct w:val="0"/>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w:t>
            </w:r>
          </w:p>
        </w:tc>
        <w:tc>
          <w:tcPr>
            <w:tcW w:w="911" w:type="dxa"/>
            <w:vAlign w:val="center"/>
          </w:tcPr>
          <w:p>
            <w:pPr>
              <w:pageBreakBefore w:val="0"/>
              <w:shd w:val="clear"/>
              <w:kinsoku/>
              <w:wordWrap/>
              <w:overflowPunct/>
              <w:topLinePunct w:val="0"/>
              <w:bidi w:val="0"/>
              <w:adjustRightInd w:val="0"/>
              <w:snapToGrid w:val="0"/>
              <w:spacing w:beforeLines="0" w:afterLines="0" w:line="240" w:lineRule="atLeast"/>
              <w:jc w:val="center"/>
              <w:textAlignment w:val="auto"/>
              <w:rPr>
                <w:rFonts w:hint="default" w:ascii="Times New Roman" w:hAnsi="Times New Roman" w:eastAsia="仿宋"/>
                <w:color w:val="auto"/>
                <w:sz w:val="24"/>
                <w:highlight w:val="none"/>
                <w:lang w:val="en-US" w:eastAsia="zh-CN"/>
              </w:rPr>
            </w:pPr>
            <w:r>
              <w:rPr>
                <w:rFonts w:hint="default" w:ascii="Times New Roman" w:hAnsi="Times New Roman" w:eastAsia="仿宋_GB2312" w:cs="Times New Roman"/>
                <w:color w:val="auto"/>
                <w:sz w:val="24"/>
                <w:highlight w:val="none"/>
                <w:lang w:val="en-US" w:eastAsia="zh-CN"/>
              </w:rPr>
              <w:t>12.</w:t>
            </w:r>
            <w:r>
              <w:rPr>
                <w:rFonts w:hint="eastAsia" w:ascii="Times New Roman" w:hAnsi="Times New Roman" w:eastAsia="仿宋_GB2312" w:cs="Times New Roman"/>
                <w:color w:val="auto"/>
                <w:sz w:val="24"/>
                <w:highlight w:val="none"/>
                <w:lang w:val="en-US" w:eastAsia="zh-CN"/>
              </w:rPr>
              <w:t>7</w:t>
            </w:r>
          </w:p>
        </w:tc>
        <w:tc>
          <w:tcPr>
            <w:tcW w:w="860" w:type="dxa"/>
            <w:vAlign w:val="center"/>
          </w:tcPr>
          <w:p>
            <w:pPr>
              <w:pageBreakBefore w:val="0"/>
              <w:shd w:val="clear"/>
              <w:kinsoku/>
              <w:wordWrap/>
              <w:overflowPunct/>
              <w:topLinePunct w:val="0"/>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ascii="Times New Roman" w:hAnsi="Times New Roman" w:eastAsia="仿宋"/>
                <w:color w:val="auto"/>
                <w:sz w:val="24"/>
                <w:highlight w:val="none"/>
              </w:rPr>
              <w:t>/</w:t>
            </w:r>
          </w:p>
        </w:tc>
        <w:tc>
          <w:tcPr>
            <w:tcW w:w="1063" w:type="dxa"/>
            <w:vAlign w:val="center"/>
          </w:tcPr>
          <w:p>
            <w:pPr>
              <w:pageBreakBefore w:val="0"/>
              <w:shd w:val="clear"/>
              <w:kinsoku/>
              <w:wordWrap/>
              <w:overflowPunct/>
              <w:topLinePunct w:val="0"/>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default" w:ascii="Times New Roman" w:hAnsi="Times New Roman" w:eastAsia="仿宋" w:cs="Times New Roman"/>
                <w:color w:val="auto"/>
                <w:sz w:val="24"/>
                <w:highlight w:val="none"/>
              </w:rPr>
              <w:t>8</w:t>
            </w:r>
          </w:p>
        </w:tc>
        <w:tc>
          <w:tcPr>
            <w:tcW w:w="979" w:type="dxa"/>
            <w:vAlign w:val="center"/>
          </w:tcPr>
          <w:p>
            <w:pPr>
              <w:pageBreakBefore w:val="0"/>
              <w:shd w:val="clear"/>
              <w:kinsoku/>
              <w:wordWrap/>
              <w:overflowPunct/>
              <w:topLinePunct w:val="0"/>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10" w:type="dxa"/>
            <w:vMerge w:val="restart"/>
            <w:shd w:val="clear" w:color="auto" w:fill="E7E6E6"/>
            <w:vAlign w:val="center"/>
          </w:tcPr>
          <w:p>
            <w:pPr>
              <w:pageBreakBefore w:val="0"/>
              <w:shd w:val="clear"/>
              <w:kinsoku/>
              <w:wordWrap/>
              <w:overflowPunct/>
              <w:topLinePunct w:val="0"/>
              <w:bidi w:val="0"/>
              <w:adjustRightInd w:val="0"/>
              <w:snapToGrid w:val="0"/>
              <w:spacing w:beforeLines="0" w:afterLines="0" w:line="240" w:lineRule="atLeast"/>
              <w:textAlignment w:val="auto"/>
              <w:rPr>
                <w:rFonts w:ascii="Times New Roman" w:hAnsi="Times New Roman" w:eastAsia="仿宋"/>
                <w:b/>
                <w:bCs/>
                <w:color w:val="auto"/>
                <w:sz w:val="24"/>
                <w:highlight w:val="none"/>
              </w:rPr>
            </w:pPr>
            <w:r>
              <w:rPr>
                <w:rFonts w:hint="eastAsia" w:ascii="Times New Roman" w:hAnsi="Times New Roman" w:eastAsia="仿宋"/>
                <w:b/>
                <w:bCs/>
                <w:color w:val="auto"/>
                <w:sz w:val="24"/>
                <w:highlight w:val="none"/>
              </w:rPr>
              <w:t>对外开放</w:t>
            </w:r>
          </w:p>
        </w:tc>
        <w:tc>
          <w:tcPr>
            <w:tcW w:w="343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hint="eastAsia" w:ascii="Times New Roman" w:hAnsi="Times New Roman" w:eastAsia="仿宋"/>
                <w:color w:val="auto"/>
                <w:sz w:val="24"/>
                <w:highlight w:val="none"/>
                <w:lang w:eastAsia="zh-CN"/>
              </w:rPr>
            </w:pPr>
            <w:r>
              <w:rPr>
                <w:rFonts w:hint="default" w:ascii="Times New Roman" w:hAnsi="Times New Roman" w:eastAsia="仿宋" w:cs="Times New Roman"/>
                <w:color w:val="auto"/>
                <w:sz w:val="24"/>
                <w:highlight w:val="none"/>
              </w:rPr>
              <w:t>4</w:t>
            </w:r>
            <w:r>
              <w:rPr>
                <w:rFonts w:hint="eastAsia" w:ascii="Times New Roman" w:hAnsi="Times New Roman" w:eastAsia="仿宋"/>
                <w:color w:val="auto"/>
                <w:sz w:val="24"/>
                <w:highlight w:val="none"/>
              </w:rPr>
              <w:t>.实际利用外资</w:t>
            </w:r>
            <w:r>
              <w:rPr>
                <w:rFonts w:hint="eastAsia" w:ascii="Times New Roman" w:hAnsi="Times New Roman" w:eastAsia="仿宋"/>
                <w:color w:val="auto"/>
                <w:sz w:val="24"/>
                <w:highlight w:val="none"/>
                <w:lang w:eastAsia="zh-CN"/>
              </w:rPr>
              <w:t>总</w:t>
            </w:r>
            <w:r>
              <w:rPr>
                <w:rFonts w:hint="eastAsia" w:ascii="Times New Roman" w:hAnsi="Times New Roman" w:eastAsia="仿宋"/>
                <w:color w:val="auto"/>
                <w:sz w:val="24"/>
                <w:highlight w:val="none"/>
              </w:rPr>
              <w:t>额</w:t>
            </w:r>
            <w:r>
              <w:rPr>
                <w:rFonts w:hint="eastAsia" w:ascii="Times New Roman" w:hAnsi="Times New Roman" w:eastAsia="仿宋"/>
                <w:color w:val="auto"/>
                <w:sz w:val="24"/>
                <w:highlight w:val="none"/>
                <w:lang w:eastAsia="zh-CN"/>
              </w:rPr>
              <w:t>增长</w:t>
            </w:r>
          </w:p>
        </w:tc>
        <w:tc>
          <w:tcPr>
            <w:tcW w:w="998"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eastAsia" w:ascii="Times New Roman" w:hAnsi="Times New Roman" w:eastAsia="仿宋"/>
                <w:color w:val="auto"/>
                <w:sz w:val="24"/>
                <w:highlight w:val="none"/>
                <w:lang w:val="en-US" w:eastAsia="zh-CN"/>
              </w:rPr>
            </w:pPr>
            <w:r>
              <w:rPr>
                <w:rFonts w:hint="eastAsia" w:ascii="Times New Roman" w:hAnsi="Times New Roman" w:eastAsia="仿宋"/>
                <w:color w:val="auto"/>
                <w:sz w:val="24"/>
                <w:highlight w:val="none"/>
                <w:lang w:val="en-US" w:eastAsia="zh-CN"/>
              </w:rPr>
              <w:t>%</w:t>
            </w:r>
          </w:p>
        </w:tc>
        <w:tc>
          <w:tcPr>
            <w:tcW w:w="91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default" w:ascii="Times New Roman" w:hAnsi="Times New Roman" w:eastAsia="仿宋"/>
                <w:color w:val="auto"/>
                <w:sz w:val="24"/>
                <w:highlight w:val="none"/>
                <w:lang w:val="en-US" w:eastAsia="zh-CN"/>
              </w:rPr>
            </w:pPr>
            <w:r>
              <w:rPr>
                <w:rFonts w:ascii="Times New Roman" w:hAnsi="Times New Roman" w:eastAsia="仿宋"/>
                <w:color w:val="auto"/>
                <w:sz w:val="24"/>
                <w:highlight w:val="none"/>
              </w:rPr>
              <w:t>/</w:t>
            </w:r>
          </w:p>
        </w:tc>
        <w:tc>
          <w:tcPr>
            <w:tcW w:w="860"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ascii="Times New Roman" w:hAnsi="Times New Roman" w:eastAsia="仿宋"/>
                <w:color w:val="auto"/>
                <w:sz w:val="24"/>
                <w:highlight w:val="none"/>
              </w:rPr>
              <w:t>/</w:t>
            </w:r>
          </w:p>
        </w:tc>
        <w:tc>
          <w:tcPr>
            <w:tcW w:w="1063"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default" w:ascii="Times New Roman" w:hAnsi="Times New Roman" w:eastAsia="仿宋"/>
                <w:color w:val="auto"/>
                <w:sz w:val="24"/>
                <w:highlight w:val="none"/>
                <w:lang w:val="en-US" w:eastAsia="zh-CN"/>
              </w:rPr>
            </w:pPr>
            <w:r>
              <w:rPr>
                <w:rFonts w:hint="eastAsia" w:ascii="Times New Roman" w:hAnsi="Times New Roman" w:eastAsia="仿宋" w:cs="Times New Roman"/>
                <w:color w:val="auto"/>
                <w:sz w:val="24"/>
                <w:highlight w:val="none"/>
                <w:lang w:val="en-US" w:eastAsia="zh-CN"/>
              </w:rPr>
              <w:t>15</w:t>
            </w:r>
          </w:p>
        </w:tc>
        <w:tc>
          <w:tcPr>
            <w:tcW w:w="979"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10" w:type="dxa"/>
            <w:vMerge w:val="continue"/>
            <w:shd w:val="clear" w:color="auto" w:fill="E7E6E6"/>
            <w:vAlign w:val="center"/>
          </w:tcPr>
          <w:p>
            <w:pPr>
              <w:pageBreakBefore w:val="0"/>
              <w:shd w:val="clear"/>
              <w:kinsoku/>
              <w:wordWrap/>
              <w:overflowPunct/>
              <w:topLinePunct w:val="0"/>
              <w:bidi w:val="0"/>
              <w:adjustRightInd w:val="0"/>
              <w:snapToGrid w:val="0"/>
              <w:spacing w:beforeLines="0" w:afterLines="0" w:line="240" w:lineRule="atLeast"/>
              <w:textAlignment w:val="auto"/>
              <w:rPr>
                <w:rFonts w:ascii="Times New Roman" w:hAnsi="Times New Roman" w:eastAsia="仿宋"/>
                <w:b/>
                <w:bCs/>
                <w:color w:val="auto"/>
                <w:sz w:val="24"/>
                <w:highlight w:val="none"/>
              </w:rPr>
            </w:pPr>
          </w:p>
        </w:tc>
        <w:tc>
          <w:tcPr>
            <w:tcW w:w="343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default" w:ascii="Times New Roman" w:hAnsi="Times New Roman" w:eastAsia="仿宋" w:cs="Times New Roman"/>
                <w:color w:val="auto"/>
                <w:sz w:val="24"/>
                <w:highlight w:val="none"/>
              </w:rPr>
              <w:t>5</w:t>
            </w:r>
            <w:r>
              <w:rPr>
                <w:rFonts w:hint="eastAsia" w:ascii="Times New Roman" w:hAnsi="Times New Roman" w:eastAsia="仿宋"/>
                <w:color w:val="auto"/>
                <w:sz w:val="24"/>
                <w:highlight w:val="none"/>
              </w:rPr>
              <w:t>.服务</w:t>
            </w:r>
            <w:r>
              <w:rPr>
                <w:rFonts w:hint="eastAsia" w:ascii="Times New Roman" w:hAnsi="Times New Roman" w:eastAsia="仿宋"/>
                <w:color w:val="auto"/>
                <w:sz w:val="24"/>
                <w:highlight w:val="none"/>
                <w:lang w:eastAsia="zh-CN"/>
              </w:rPr>
              <w:t>进出口</w:t>
            </w:r>
            <w:r>
              <w:rPr>
                <w:rFonts w:hint="eastAsia" w:ascii="Times New Roman" w:hAnsi="Times New Roman" w:eastAsia="仿宋"/>
                <w:color w:val="auto"/>
                <w:sz w:val="24"/>
                <w:highlight w:val="none"/>
              </w:rPr>
              <w:t>总额增长</w:t>
            </w:r>
          </w:p>
        </w:tc>
        <w:tc>
          <w:tcPr>
            <w:tcW w:w="998"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w:t>
            </w:r>
          </w:p>
        </w:tc>
        <w:tc>
          <w:tcPr>
            <w:tcW w:w="91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default" w:ascii="Times New Roman" w:hAnsi="Times New Roman" w:eastAsia="仿宋"/>
                <w:color w:val="auto"/>
                <w:sz w:val="24"/>
                <w:highlight w:val="none"/>
                <w:lang w:val="en-US" w:eastAsia="zh-CN"/>
              </w:rPr>
            </w:pPr>
            <w:r>
              <w:rPr>
                <w:rFonts w:hint="default" w:ascii="Times New Roman" w:hAnsi="Times New Roman" w:eastAsia="仿宋" w:cs="Times New Roman"/>
                <w:color w:val="auto"/>
                <w:sz w:val="24"/>
                <w:highlight w:val="none"/>
              </w:rPr>
              <w:t>5</w:t>
            </w:r>
            <w:r>
              <w:rPr>
                <w:rFonts w:hint="eastAsia" w:ascii="Times New Roman" w:hAnsi="Times New Roman" w:eastAsia="仿宋" w:cs="Times New Roman"/>
                <w:color w:val="auto"/>
                <w:sz w:val="24"/>
                <w:highlight w:val="none"/>
                <w:lang w:val="en-US" w:eastAsia="zh-CN"/>
              </w:rPr>
              <w:t>0.3</w:t>
            </w:r>
          </w:p>
        </w:tc>
        <w:tc>
          <w:tcPr>
            <w:tcW w:w="860"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ascii="Times New Roman" w:hAnsi="Times New Roman" w:eastAsia="仿宋"/>
                <w:color w:val="auto"/>
                <w:sz w:val="24"/>
                <w:highlight w:val="none"/>
              </w:rPr>
              <w:t>/</w:t>
            </w:r>
          </w:p>
        </w:tc>
        <w:tc>
          <w:tcPr>
            <w:tcW w:w="1063"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default" w:ascii="Times New Roman" w:hAnsi="Times New Roman" w:eastAsia="仿宋"/>
                <w:color w:val="auto"/>
                <w:sz w:val="24"/>
                <w:highlight w:val="none"/>
                <w:lang w:val="en-US"/>
              </w:rPr>
            </w:pPr>
            <w:r>
              <w:rPr>
                <w:rFonts w:hint="default" w:ascii="Times New Roman" w:hAnsi="Times New Roman" w:eastAsia="仿宋" w:cs="Times New Roman"/>
                <w:color w:val="auto"/>
                <w:sz w:val="24"/>
                <w:highlight w:val="none"/>
                <w:lang w:val="en-US" w:eastAsia="zh-CN"/>
              </w:rPr>
              <w:t>20</w:t>
            </w:r>
          </w:p>
        </w:tc>
        <w:tc>
          <w:tcPr>
            <w:tcW w:w="979"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10" w:type="dxa"/>
            <w:vMerge w:val="continue"/>
            <w:shd w:val="clear" w:color="auto" w:fill="E7E6E6"/>
            <w:vAlign w:val="center"/>
          </w:tcPr>
          <w:p>
            <w:pPr>
              <w:pageBreakBefore w:val="0"/>
              <w:shd w:val="clear"/>
              <w:kinsoku/>
              <w:wordWrap/>
              <w:overflowPunct/>
              <w:topLinePunct w:val="0"/>
              <w:bidi w:val="0"/>
              <w:adjustRightInd w:val="0"/>
              <w:snapToGrid w:val="0"/>
              <w:spacing w:beforeLines="0" w:afterLines="0" w:line="240" w:lineRule="atLeast"/>
              <w:textAlignment w:val="auto"/>
              <w:rPr>
                <w:rFonts w:ascii="Times New Roman" w:hAnsi="Times New Roman" w:eastAsia="仿宋"/>
                <w:b/>
                <w:bCs/>
                <w:color w:val="auto"/>
                <w:sz w:val="24"/>
                <w:highlight w:val="none"/>
              </w:rPr>
            </w:pPr>
          </w:p>
        </w:tc>
        <w:tc>
          <w:tcPr>
            <w:tcW w:w="343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default" w:ascii="Times New Roman" w:hAnsi="Times New Roman" w:eastAsia="仿宋" w:cs="Times New Roman"/>
                <w:color w:val="auto"/>
                <w:sz w:val="24"/>
                <w:highlight w:val="none"/>
              </w:rPr>
              <w:t>6</w:t>
            </w:r>
            <w:r>
              <w:rPr>
                <w:rFonts w:hint="eastAsia" w:ascii="Times New Roman" w:hAnsi="Times New Roman" w:eastAsia="仿宋"/>
                <w:color w:val="auto"/>
                <w:sz w:val="24"/>
                <w:highlight w:val="none"/>
              </w:rPr>
              <w:t>.货物</w:t>
            </w:r>
            <w:r>
              <w:rPr>
                <w:rFonts w:hint="eastAsia" w:ascii="Times New Roman" w:hAnsi="Times New Roman" w:eastAsia="仿宋"/>
                <w:color w:val="auto"/>
                <w:sz w:val="24"/>
                <w:highlight w:val="none"/>
                <w:lang w:eastAsia="zh-CN"/>
              </w:rPr>
              <w:t>进出口</w:t>
            </w:r>
            <w:r>
              <w:rPr>
                <w:rFonts w:hint="eastAsia" w:ascii="Times New Roman" w:hAnsi="Times New Roman" w:eastAsia="仿宋"/>
                <w:color w:val="auto"/>
                <w:sz w:val="24"/>
                <w:highlight w:val="none"/>
              </w:rPr>
              <w:t>总额增长</w:t>
            </w:r>
          </w:p>
        </w:tc>
        <w:tc>
          <w:tcPr>
            <w:tcW w:w="998"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w:t>
            </w:r>
          </w:p>
        </w:tc>
        <w:tc>
          <w:tcPr>
            <w:tcW w:w="91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default" w:ascii="Times New Roman" w:hAnsi="Times New Roman" w:eastAsia="仿宋"/>
                <w:color w:val="auto"/>
                <w:sz w:val="24"/>
                <w:highlight w:val="none"/>
                <w:lang w:val="en-US" w:eastAsia="zh-CN"/>
              </w:rPr>
            </w:pPr>
            <w:r>
              <w:rPr>
                <w:rFonts w:hint="eastAsia" w:ascii="Times New Roman" w:hAnsi="Times New Roman" w:eastAsia="仿宋" w:cs="Times New Roman"/>
                <w:color w:val="auto"/>
                <w:sz w:val="24"/>
                <w:highlight w:val="none"/>
                <w:lang w:val="en-US" w:eastAsia="zh-CN"/>
              </w:rPr>
              <w:t>7.8</w:t>
            </w:r>
          </w:p>
        </w:tc>
        <w:tc>
          <w:tcPr>
            <w:tcW w:w="860"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ascii="Times New Roman" w:hAnsi="Times New Roman" w:eastAsia="仿宋"/>
                <w:color w:val="auto"/>
                <w:sz w:val="24"/>
                <w:highlight w:val="none"/>
              </w:rPr>
              <w:t>/</w:t>
            </w:r>
          </w:p>
        </w:tc>
        <w:tc>
          <w:tcPr>
            <w:tcW w:w="1063"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eastAsia" w:ascii="Times New Roman" w:hAnsi="Times New Roman" w:eastAsia="仿宋"/>
                <w:color w:val="auto"/>
                <w:sz w:val="24"/>
                <w:highlight w:val="none"/>
                <w:lang w:eastAsia="zh-CN"/>
              </w:rPr>
            </w:pPr>
            <w:r>
              <w:rPr>
                <w:rFonts w:hint="default" w:ascii="Times New Roman" w:hAnsi="Times New Roman" w:eastAsia="仿宋" w:cs="Times New Roman"/>
                <w:color w:val="auto"/>
                <w:sz w:val="24"/>
                <w:highlight w:val="none"/>
              </w:rPr>
              <w:t>1</w:t>
            </w:r>
            <w:r>
              <w:rPr>
                <w:rFonts w:hint="default" w:ascii="Times New Roman" w:hAnsi="Times New Roman" w:eastAsia="仿宋" w:cs="Times New Roman"/>
                <w:color w:val="auto"/>
                <w:sz w:val="24"/>
                <w:highlight w:val="none"/>
                <w:lang w:val="en-US" w:eastAsia="zh-CN"/>
              </w:rPr>
              <w:t>0</w:t>
            </w:r>
          </w:p>
        </w:tc>
        <w:tc>
          <w:tcPr>
            <w:tcW w:w="979"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exact"/>
          <w:jc w:val="center"/>
        </w:trPr>
        <w:tc>
          <w:tcPr>
            <w:tcW w:w="710" w:type="dxa"/>
            <w:vMerge w:val="continue"/>
            <w:shd w:val="clear" w:color="auto" w:fill="E7E6E6"/>
            <w:vAlign w:val="center"/>
          </w:tcPr>
          <w:p>
            <w:pPr>
              <w:pageBreakBefore w:val="0"/>
              <w:shd w:val="clear"/>
              <w:kinsoku/>
              <w:wordWrap/>
              <w:overflowPunct/>
              <w:topLinePunct w:val="0"/>
              <w:bidi w:val="0"/>
              <w:adjustRightInd w:val="0"/>
              <w:snapToGrid w:val="0"/>
              <w:spacing w:beforeLines="0" w:afterLines="0" w:line="240" w:lineRule="atLeast"/>
              <w:textAlignment w:val="auto"/>
              <w:rPr>
                <w:rFonts w:ascii="Times New Roman" w:hAnsi="Times New Roman" w:eastAsia="仿宋"/>
                <w:b/>
                <w:bCs/>
                <w:color w:val="auto"/>
                <w:sz w:val="24"/>
                <w:highlight w:val="none"/>
              </w:rPr>
            </w:pPr>
          </w:p>
        </w:tc>
        <w:tc>
          <w:tcPr>
            <w:tcW w:w="343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default" w:ascii="Times New Roman" w:hAnsi="Times New Roman" w:eastAsia="仿宋" w:cs="Times New Roman"/>
                <w:color w:val="auto"/>
                <w:sz w:val="24"/>
                <w:highlight w:val="none"/>
              </w:rPr>
              <w:t>7</w:t>
            </w:r>
            <w:r>
              <w:rPr>
                <w:rFonts w:hint="eastAsia" w:ascii="Times New Roman" w:hAnsi="Times New Roman" w:eastAsia="仿宋"/>
                <w:color w:val="auto"/>
                <w:sz w:val="24"/>
                <w:highlight w:val="none"/>
              </w:rPr>
              <w:t>.外国高端人才和专业人才来三亚工作</w:t>
            </w:r>
          </w:p>
        </w:tc>
        <w:tc>
          <w:tcPr>
            <w:tcW w:w="998"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人</w:t>
            </w:r>
          </w:p>
        </w:tc>
        <w:tc>
          <w:tcPr>
            <w:tcW w:w="91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default" w:ascii="Times New Roman" w:hAnsi="Times New Roman" w:eastAsia="仿宋"/>
                <w:color w:val="auto"/>
                <w:sz w:val="24"/>
                <w:highlight w:val="none"/>
                <w:lang w:val="en-US" w:eastAsia="zh-CN"/>
              </w:rPr>
            </w:pPr>
            <w:r>
              <w:rPr>
                <w:rFonts w:hint="eastAsia" w:ascii="Times New Roman" w:hAnsi="Times New Roman" w:eastAsia="仿宋" w:cs="Times New Roman"/>
                <w:color w:val="auto"/>
                <w:sz w:val="24"/>
                <w:highlight w:val="none"/>
                <w:lang w:val="en-US" w:eastAsia="zh-CN"/>
              </w:rPr>
              <w:t>555</w:t>
            </w:r>
          </w:p>
        </w:tc>
        <w:tc>
          <w:tcPr>
            <w:tcW w:w="860"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eastAsia" w:ascii="Times New Roman" w:hAnsi="Times New Roman" w:eastAsia="仿宋" w:cs="Times New Roman"/>
                <w:color w:val="auto"/>
                <w:sz w:val="24"/>
                <w:highlight w:val="none"/>
                <w:lang w:val="en-US" w:eastAsia="zh-CN"/>
              </w:rPr>
              <w:t>100</w:t>
            </w:r>
            <w:r>
              <w:rPr>
                <w:rFonts w:hint="default" w:ascii="Times New Roman" w:hAnsi="Times New Roman" w:eastAsia="仿宋" w:cs="Times New Roman"/>
                <w:color w:val="auto"/>
                <w:sz w:val="24"/>
                <w:highlight w:val="none"/>
              </w:rPr>
              <w:t>0</w:t>
            </w:r>
          </w:p>
        </w:tc>
        <w:tc>
          <w:tcPr>
            <w:tcW w:w="1063"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default" w:ascii="Times New Roman" w:hAnsi="Times New Roman" w:eastAsia="仿宋"/>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w:t>
            </w:r>
          </w:p>
        </w:tc>
        <w:tc>
          <w:tcPr>
            <w:tcW w:w="979"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10" w:type="dxa"/>
            <w:vMerge w:val="continue"/>
            <w:shd w:val="clear" w:color="auto" w:fill="E7E6E6"/>
            <w:vAlign w:val="center"/>
          </w:tcPr>
          <w:p>
            <w:pPr>
              <w:pageBreakBefore w:val="0"/>
              <w:shd w:val="clear"/>
              <w:kinsoku/>
              <w:wordWrap/>
              <w:overflowPunct/>
              <w:topLinePunct w:val="0"/>
              <w:bidi w:val="0"/>
              <w:adjustRightInd w:val="0"/>
              <w:snapToGrid w:val="0"/>
              <w:spacing w:beforeLines="0" w:afterLines="0" w:line="240" w:lineRule="atLeast"/>
              <w:textAlignment w:val="auto"/>
              <w:rPr>
                <w:rFonts w:ascii="Times New Roman" w:hAnsi="Times New Roman" w:eastAsia="仿宋"/>
                <w:b/>
                <w:bCs/>
                <w:color w:val="auto"/>
                <w:sz w:val="24"/>
                <w:highlight w:val="none"/>
              </w:rPr>
            </w:pPr>
          </w:p>
        </w:tc>
        <w:tc>
          <w:tcPr>
            <w:tcW w:w="343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default" w:ascii="Times New Roman" w:hAnsi="Times New Roman" w:eastAsia="仿宋" w:cs="Times New Roman"/>
                <w:color w:val="auto"/>
                <w:sz w:val="24"/>
                <w:highlight w:val="none"/>
                <w:lang w:val="en-US" w:eastAsia="zh-CN"/>
              </w:rPr>
              <w:t>8</w:t>
            </w:r>
            <w:r>
              <w:rPr>
                <w:rFonts w:ascii="Times New Roman" w:hAnsi="Times New Roman" w:eastAsia="仿宋"/>
                <w:color w:val="auto"/>
                <w:sz w:val="24"/>
                <w:highlight w:val="none"/>
              </w:rPr>
              <w:t>.入境</w:t>
            </w:r>
            <w:r>
              <w:rPr>
                <w:rFonts w:hint="eastAsia" w:ascii="Times New Roman" w:hAnsi="Times New Roman" w:eastAsia="仿宋"/>
                <w:color w:val="auto"/>
                <w:sz w:val="24"/>
                <w:highlight w:val="none"/>
                <w:lang w:eastAsia="zh-CN"/>
              </w:rPr>
              <w:t>游客</w:t>
            </w:r>
            <w:r>
              <w:rPr>
                <w:rFonts w:ascii="Times New Roman" w:hAnsi="Times New Roman" w:eastAsia="仿宋"/>
                <w:color w:val="auto"/>
                <w:sz w:val="24"/>
                <w:highlight w:val="none"/>
              </w:rPr>
              <w:t>人次</w:t>
            </w:r>
          </w:p>
        </w:tc>
        <w:tc>
          <w:tcPr>
            <w:tcW w:w="998"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万人次</w:t>
            </w:r>
          </w:p>
        </w:tc>
        <w:tc>
          <w:tcPr>
            <w:tcW w:w="91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default" w:ascii="Times New Roman" w:hAnsi="Times New Roman" w:eastAsia="仿宋"/>
                <w:color w:val="auto"/>
                <w:sz w:val="24"/>
                <w:highlight w:val="none"/>
                <w:lang w:val="en-US" w:eastAsia="zh-CN"/>
              </w:rPr>
            </w:pPr>
            <w:r>
              <w:rPr>
                <w:rFonts w:hint="eastAsia" w:ascii="Times New Roman" w:hAnsi="Times New Roman" w:eastAsia="仿宋" w:cs="Times New Roman"/>
                <w:color w:val="auto"/>
                <w:sz w:val="24"/>
                <w:highlight w:val="none"/>
                <w:lang w:val="en-US" w:eastAsia="zh-CN"/>
              </w:rPr>
              <w:t>106.1</w:t>
            </w:r>
          </w:p>
        </w:tc>
        <w:tc>
          <w:tcPr>
            <w:tcW w:w="860"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default" w:ascii="Times New Roman" w:hAnsi="Times New Roman" w:eastAsia="仿宋" w:cs="Times New Roman"/>
                <w:color w:val="auto"/>
                <w:sz w:val="24"/>
                <w:highlight w:val="none"/>
              </w:rPr>
              <w:t>200</w:t>
            </w:r>
          </w:p>
        </w:tc>
        <w:tc>
          <w:tcPr>
            <w:tcW w:w="1063"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eastAsia" w:ascii="Times New Roman" w:hAnsi="Times New Roman" w:eastAsia="仿宋"/>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w:t>
            </w:r>
          </w:p>
        </w:tc>
        <w:tc>
          <w:tcPr>
            <w:tcW w:w="979"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exact"/>
          <w:jc w:val="center"/>
        </w:trPr>
        <w:tc>
          <w:tcPr>
            <w:tcW w:w="710" w:type="dxa"/>
            <w:vMerge w:val="restart"/>
            <w:shd w:val="clear" w:color="auto" w:fill="E7E6E6"/>
            <w:vAlign w:val="center"/>
          </w:tcPr>
          <w:p>
            <w:pPr>
              <w:pageBreakBefore w:val="0"/>
              <w:shd w:val="clear"/>
              <w:kinsoku/>
              <w:wordWrap/>
              <w:overflowPunct/>
              <w:topLinePunct w:val="0"/>
              <w:bidi w:val="0"/>
              <w:adjustRightInd w:val="0"/>
              <w:snapToGrid w:val="0"/>
              <w:spacing w:beforeLines="0" w:afterLines="0" w:line="240" w:lineRule="atLeast"/>
              <w:textAlignment w:val="auto"/>
              <w:rPr>
                <w:rFonts w:ascii="Times New Roman" w:hAnsi="Times New Roman" w:eastAsia="仿宋"/>
                <w:b/>
                <w:bCs/>
                <w:color w:val="auto"/>
                <w:sz w:val="24"/>
                <w:highlight w:val="none"/>
              </w:rPr>
            </w:pPr>
            <w:r>
              <w:rPr>
                <w:rFonts w:hint="eastAsia" w:ascii="Times New Roman" w:hAnsi="Times New Roman" w:eastAsia="仿宋"/>
                <w:b/>
                <w:bCs/>
                <w:color w:val="auto"/>
                <w:sz w:val="24"/>
                <w:highlight w:val="none"/>
              </w:rPr>
              <w:t>创新驱动</w:t>
            </w:r>
          </w:p>
        </w:tc>
        <w:tc>
          <w:tcPr>
            <w:tcW w:w="343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default" w:ascii="Times New Roman" w:hAnsi="Times New Roman" w:eastAsia="仿宋" w:cs="Times New Roman"/>
                <w:color w:val="auto"/>
                <w:sz w:val="24"/>
                <w:highlight w:val="none"/>
                <w:lang w:val="en-US" w:eastAsia="zh-CN"/>
              </w:rPr>
              <w:t>9</w:t>
            </w:r>
            <w:r>
              <w:rPr>
                <w:rFonts w:hint="eastAsia" w:ascii="Times New Roman" w:hAnsi="Times New Roman" w:eastAsia="仿宋"/>
                <w:color w:val="auto"/>
                <w:sz w:val="24"/>
                <w:highlight w:val="none"/>
              </w:rPr>
              <w:t>.全社会研发经费投入强度</w:t>
            </w:r>
          </w:p>
        </w:tc>
        <w:tc>
          <w:tcPr>
            <w:tcW w:w="998"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w:t>
            </w:r>
          </w:p>
        </w:tc>
        <w:tc>
          <w:tcPr>
            <w:tcW w:w="91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val="en"/>
              </w:rPr>
              <w:t>4</w:t>
            </w:r>
            <w:r>
              <w:rPr>
                <w:rFonts w:ascii="Times New Roman" w:hAnsi="Times New Roman" w:eastAsia="仿宋"/>
                <w:color w:val="auto"/>
                <w:sz w:val="24"/>
                <w:highlight w:val="none"/>
                <w:lang w:val="en"/>
              </w:rPr>
              <w:t>.</w:t>
            </w:r>
            <w:r>
              <w:rPr>
                <w:rFonts w:hint="default" w:ascii="Times New Roman" w:hAnsi="Times New Roman" w:eastAsia="仿宋" w:cs="Times New Roman"/>
                <w:color w:val="auto"/>
                <w:sz w:val="24"/>
                <w:highlight w:val="none"/>
                <w:lang w:val="en-US" w:eastAsia="zh-CN"/>
              </w:rPr>
              <w:t>2</w:t>
            </w:r>
          </w:p>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eastAsia" w:ascii="Times New Roman" w:hAnsi="Times New Roman" w:eastAsia="仿宋"/>
                <w:color w:val="auto"/>
                <w:sz w:val="24"/>
                <w:highlight w:val="none"/>
                <w:lang w:eastAsia="zh-CN"/>
              </w:rPr>
            </w:pPr>
            <w:r>
              <w:rPr>
                <w:rFonts w:hint="eastAsia" w:ascii="Times New Roman" w:hAnsi="Times New Roman" w:eastAsia="仿宋" w:cs="Times New Roman"/>
                <w:color w:val="auto"/>
                <w:sz w:val="24"/>
                <w:highlight w:val="none"/>
                <w:lang w:val="en-US" w:eastAsia="zh-CN"/>
              </w:rPr>
              <w:t>(</w:t>
            </w:r>
            <w:r>
              <w:rPr>
                <w:rFonts w:hint="default" w:ascii="Times New Roman" w:hAnsi="Times New Roman" w:eastAsia="仿宋" w:cs="Times New Roman"/>
                <w:color w:val="auto"/>
                <w:sz w:val="24"/>
                <w:highlight w:val="none"/>
                <w:lang w:val="en-US" w:eastAsia="zh-CN"/>
              </w:rPr>
              <w:t>2024</w:t>
            </w:r>
            <w:r>
              <w:rPr>
                <w:rFonts w:hint="eastAsia" w:ascii="Times New Roman" w:hAnsi="Times New Roman" w:eastAsia="仿宋" w:cs="Times New Roman"/>
                <w:color w:val="auto"/>
                <w:sz w:val="24"/>
                <w:highlight w:val="none"/>
                <w:lang w:val="en-US" w:eastAsia="zh-CN"/>
              </w:rPr>
              <w:t>)</w:t>
            </w:r>
          </w:p>
        </w:tc>
        <w:tc>
          <w:tcPr>
            <w:tcW w:w="860"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eastAsia" w:ascii="Times New Roman" w:hAnsi="Times New Roman" w:eastAsia="仿宋"/>
                <w:color w:val="auto"/>
                <w:sz w:val="24"/>
                <w:highlight w:val="none"/>
                <w:lang w:eastAsia="zh-CN"/>
              </w:rPr>
            </w:pPr>
            <w:r>
              <w:rPr>
                <w:rFonts w:hint="default" w:ascii="Times New Roman" w:hAnsi="Times New Roman" w:eastAsia="仿宋" w:cs="Times New Roman"/>
                <w:color w:val="auto"/>
                <w:sz w:val="24"/>
                <w:highlight w:val="none"/>
              </w:rPr>
              <w:t>4</w:t>
            </w:r>
            <w:r>
              <w:rPr>
                <w:rFonts w:ascii="Times New Roman" w:hAnsi="Times New Roman" w:eastAsia="仿宋"/>
                <w:color w:val="auto"/>
                <w:sz w:val="24"/>
                <w:highlight w:val="none"/>
                <w:lang w:val="en"/>
              </w:rPr>
              <w:t>.</w:t>
            </w:r>
            <w:r>
              <w:rPr>
                <w:rFonts w:hint="default" w:ascii="Times New Roman" w:hAnsi="Times New Roman" w:eastAsia="仿宋" w:cs="Times New Roman"/>
                <w:color w:val="auto"/>
                <w:sz w:val="24"/>
                <w:highlight w:val="none"/>
                <w:lang w:val="en-US" w:eastAsia="zh-CN"/>
              </w:rPr>
              <w:t>5</w:t>
            </w:r>
          </w:p>
        </w:tc>
        <w:tc>
          <w:tcPr>
            <w:tcW w:w="1063"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ascii="Times New Roman" w:hAnsi="Times New Roman" w:eastAsia="仿宋"/>
                <w:color w:val="auto"/>
                <w:sz w:val="24"/>
                <w:highlight w:val="none"/>
              </w:rPr>
              <w:t>/</w:t>
            </w:r>
          </w:p>
        </w:tc>
        <w:tc>
          <w:tcPr>
            <w:tcW w:w="979"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10" w:type="dxa"/>
            <w:vMerge w:val="continue"/>
            <w:shd w:val="clear" w:color="auto" w:fill="E7E6E6"/>
            <w:vAlign w:val="center"/>
          </w:tcPr>
          <w:p>
            <w:pPr>
              <w:pageBreakBefore w:val="0"/>
              <w:shd w:val="clear"/>
              <w:kinsoku/>
              <w:wordWrap/>
              <w:overflowPunct/>
              <w:topLinePunct w:val="0"/>
              <w:bidi w:val="0"/>
              <w:adjustRightInd w:val="0"/>
              <w:snapToGrid w:val="0"/>
              <w:spacing w:beforeLines="0" w:afterLines="0" w:line="240" w:lineRule="atLeast"/>
              <w:textAlignment w:val="auto"/>
              <w:rPr>
                <w:rFonts w:ascii="Times New Roman" w:hAnsi="Times New Roman" w:eastAsia="仿宋"/>
                <w:b/>
                <w:bCs/>
                <w:color w:val="auto"/>
                <w:sz w:val="24"/>
                <w:highlight w:val="none"/>
              </w:rPr>
            </w:pPr>
          </w:p>
        </w:tc>
        <w:tc>
          <w:tcPr>
            <w:tcW w:w="343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default" w:ascii="Times New Roman" w:hAnsi="Times New Roman" w:eastAsia="仿宋" w:cs="Times New Roman"/>
                <w:color w:val="auto"/>
                <w:sz w:val="24"/>
                <w:highlight w:val="none"/>
              </w:rPr>
              <w:t>1</w:t>
            </w:r>
            <w:r>
              <w:rPr>
                <w:rFonts w:hint="default" w:ascii="Times New Roman" w:hAnsi="Times New Roman" w:eastAsia="仿宋" w:cs="Times New Roman"/>
                <w:color w:val="auto"/>
                <w:sz w:val="24"/>
                <w:highlight w:val="none"/>
                <w:lang w:val="en-US" w:eastAsia="zh-CN"/>
              </w:rPr>
              <w:t>0</w:t>
            </w:r>
            <w:r>
              <w:rPr>
                <w:rFonts w:hint="eastAsia" w:ascii="Times New Roman" w:hAnsi="Times New Roman" w:eastAsia="仿宋"/>
                <w:color w:val="auto"/>
                <w:sz w:val="24"/>
                <w:highlight w:val="none"/>
              </w:rPr>
              <w:t>.技术合同成交额</w:t>
            </w:r>
          </w:p>
        </w:tc>
        <w:tc>
          <w:tcPr>
            <w:tcW w:w="998"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亿元</w:t>
            </w:r>
          </w:p>
        </w:tc>
        <w:tc>
          <w:tcPr>
            <w:tcW w:w="91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default" w:ascii="Times New Roman" w:hAnsi="Times New Roman" w:eastAsia="仿宋"/>
                <w:color w:val="auto"/>
                <w:sz w:val="24"/>
                <w:highlight w:val="none"/>
                <w:lang w:val="en-US" w:eastAsia="zh-CN"/>
              </w:rPr>
            </w:pPr>
            <w:r>
              <w:rPr>
                <w:rFonts w:hint="eastAsia" w:ascii="Times New Roman" w:hAnsi="Times New Roman" w:eastAsia="仿宋" w:cs="Times New Roman"/>
                <w:color w:val="auto"/>
                <w:sz w:val="24"/>
                <w:highlight w:val="none"/>
                <w:lang w:val="en-US" w:eastAsia="zh-CN"/>
              </w:rPr>
              <w:t>21.4</w:t>
            </w:r>
          </w:p>
        </w:tc>
        <w:tc>
          <w:tcPr>
            <w:tcW w:w="860"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eastAsia" w:ascii="Times New Roman" w:hAnsi="Times New Roman" w:eastAsia="仿宋"/>
                <w:color w:val="auto"/>
                <w:sz w:val="24"/>
                <w:highlight w:val="none"/>
                <w:lang w:eastAsia="zh-CN"/>
              </w:rPr>
            </w:pPr>
            <w:r>
              <w:rPr>
                <w:rFonts w:hint="default" w:ascii="Times New Roman" w:hAnsi="Times New Roman" w:eastAsia="仿宋" w:cs="Times New Roman"/>
                <w:color w:val="auto"/>
                <w:sz w:val="24"/>
                <w:highlight w:val="none"/>
                <w:lang w:val="en"/>
              </w:rPr>
              <w:t>24</w:t>
            </w:r>
            <w:r>
              <w:rPr>
                <w:rFonts w:ascii="Times New Roman" w:hAnsi="Times New Roman" w:eastAsia="仿宋"/>
                <w:color w:val="auto"/>
                <w:sz w:val="24"/>
                <w:highlight w:val="none"/>
                <w:lang w:val="en"/>
              </w:rPr>
              <w:t>.</w:t>
            </w:r>
            <w:r>
              <w:rPr>
                <w:rFonts w:hint="default" w:ascii="Times New Roman" w:hAnsi="Times New Roman" w:eastAsia="仿宋" w:cs="Times New Roman"/>
                <w:color w:val="auto"/>
                <w:sz w:val="24"/>
                <w:highlight w:val="none"/>
                <w:lang w:val="en-US" w:eastAsia="zh-CN"/>
              </w:rPr>
              <w:t>2</w:t>
            </w:r>
          </w:p>
        </w:tc>
        <w:tc>
          <w:tcPr>
            <w:tcW w:w="1063"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eastAsia" w:ascii="仿宋_GB2312" w:hAnsi="仿宋_GB2312" w:eastAsia="仿宋_GB2312" w:cs="仿宋_GB2312"/>
                <w:color w:val="auto"/>
                <w:sz w:val="24"/>
                <w:highlight w:val="none"/>
                <w:lang w:val="en-US" w:eastAsia="zh-CN"/>
              </w:rPr>
              <w:t>/</w:t>
            </w:r>
          </w:p>
        </w:tc>
        <w:tc>
          <w:tcPr>
            <w:tcW w:w="979"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0" w:type="dxa"/>
            <w:vMerge w:val="continue"/>
            <w:shd w:val="clear" w:color="auto" w:fill="E7E6E6"/>
            <w:vAlign w:val="center"/>
          </w:tcPr>
          <w:p>
            <w:pPr>
              <w:pageBreakBefore w:val="0"/>
              <w:shd w:val="clear"/>
              <w:kinsoku/>
              <w:wordWrap/>
              <w:overflowPunct/>
              <w:topLinePunct w:val="0"/>
              <w:bidi w:val="0"/>
              <w:adjustRightInd w:val="0"/>
              <w:snapToGrid w:val="0"/>
              <w:spacing w:beforeLines="0" w:afterLines="0" w:line="240" w:lineRule="atLeast"/>
              <w:textAlignment w:val="auto"/>
              <w:rPr>
                <w:rFonts w:ascii="Times New Roman" w:hAnsi="Times New Roman" w:eastAsia="仿宋"/>
                <w:b/>
                <w:bCs/>
                <w:color w:val="auto"/>
                <w:sz w:val="24"/>
                <w:highlight w:val="none"/>
              </w:rPr>
            </w:pPr>
          </w:p>
        </w:tc>
        <w:tc>
          <w:tcPr>
            <w:tcW w:w="343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default" w:ascii="Times New Roman" w:hAnsi="Times New Roman" w:eastAsia="仿宋" w:cs="Times New Roman"/>
                <w:color w:val="auto"/>
                <w:sz w:val="24"/>
                <w:highlight w:val="none"/>
              </w:rPr>
              <w:t>1</w:t>
            </w:r>
            <w:r>
              <w:rPr>
                <w:rFonts w:hint="default" w:ascii="Times New Roman" w:hAnsi="Times New Roman" w:eastAsia="仿宋" w:cs="Times New Roman"/>
                <w:color w:val="auto"/>
                <w:sz w:val="24"/>
                <w:highlight w:val="none"/>
                <w:lang w:val="en-US" w:eastAsia="zh-CN"/>
              </w:rPr>
              <w:t>1</w:t>
            </w:r>
            <w:r>
              <w:rPr>
                <w:rFonts w:hint="eastAsia" w:ascii="Times New Roman" w:hAnsi="Times New Roman" w:eastAsia="仿宋"/>
                <w:color w:val="auto"/>
                <w:sz w:val="24"/>
                <w:highlight w:val="none"/>
              </w:rPr>
              <w:t>.每万人口高价值发明专利拥有量</w:t>
            </w:r>
          </w:p>
        </w:tc>
        <w:tc>
          <w:tcPr>
            <w:tcW w:w="998"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件</w:t>
            </w:r>
          </w:p>
        </w:tc>
        <w:tc>
          <w:tcPr>
            <w:tcW w:w="91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default" w:ascii="Times New Roman" w:hAnsi="Times New Roman" w:eastAsia="仿宋"/>
                <w:color w:val="auto"/>
                <w:sz w:val="24"/>
                <w:highlight w:val="none"/>
                <w:lang w:val="en-US" w:eastAsia="zh-CN"/>
              </w:rPr>
            </w:pPr>
            <w:r>
              <w:rPr>
                <w:rFonts w:hint="eastAsia" w:ascii="Times New Roman" w:hAnsi="Times New Roman" w:eastAsia="仿宋" w:cs="Times New Roman"/>
                <w:color w:val="auto"/>
                <w:sz w:val="24"/>
                <w:highlight w:val="none"/>
                <w:lang w:val="en-US" w:eastAsia="zh-CN"/>
              </w:rPr>
              <w:t>10.4</w:t>
            </w:r>
          </w:p>
        </w:tc>
        <w:tc>
          <w:tcPr>
            <w:tcW w:w="860"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default" w:ascii="Times New Roman" w:hAnsi="Times New Roman" w:eastAsia="仿宋"/>
                <w:color w:val="auto"/>
                <w:sz w:val="24"/>
                <w:highlight w:val="none"/>
                <w:lang w:val="en-US" w:eastAsia="zh-CN"/>
              </w:rPr>
            </w:pPr>
            <w:r>
              <w:rPr>
                <w:rFonts w:hint="eastAsia" w:ascii="Times New Roman" w:hAnsi="Times New Roman" w:eastAsia="仿宋" w:cs="Times New Roman"/>
                <w:color w:val="auto"/>
                <w:sz w:val="24"/>
                <w:highlight w:val="none"/>
                <w:lang w:val="en-US" w:eastAsia="zh-CN"/>
              </w:rPr>
              <w:t>16.4</w:t>
            </w:r>
          </w:p>
        </w:tc>
        <w:tc>
          <w:tcPr>
            <w:tcW w:w="1063"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eastAsia" w:ascii="Times New Roman" w:hAnsi="Times New Roman" w:eastAsia="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w:t>
            </w:r>
          </w:p>
        </w:tc>
        <w:tc>
          <w:tcPr>
            <w:tcW w:w="979"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710" w:type="dxa"/>
            <w:vMerge w:val="continue"/>
            <w:shd w:val="clear" w:color="auto" w:fill="E7E6E6"/>
            <w:vAlign w:val="center"/>
          </w:tcPr>
          <w:p>
            <w:pPr>
              <w:pageBreakBefore w:val="0"/>
              <w:shd w:val="clear"/>
              <w:kinsoku/>
              <w:wordWrap/>
              <w:overflowPunct/>
              <w:topLinePunct w:val="0"/>
              <w:bidi w:val="0"/>
              <w:adjustRightInd w:val="0"/>
              <w:snapToGrid w:val="0"/>
              <w:spacing w:beforeLines="0" w:afterLines="0" w:line="240" w:lineRule="atLeast"/>
              <w:textAlignment w:val="auto"/>
              <w:rPr>
                <w:rFonts w:ascii="Times New Roman" w:hAnsi="Times New Roman" w:eastAsia="仿宋"/>
                <w:b/>
                <w:bCs/>
                <w:color w:val="auto"/>
                <w:sz w:val="24"/>
                <w:highlight w:val="none"/>
              </w:rPr>
            </w:pPr>
          </w:p>
        </w:tc>
        <w:tc>
          <w:tcPr>
            <w:tcW w:w="343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default" w:ascii="Times New Roman" w:hAnsi="Times New Roman" w:eastAsia="仿宋" w:cs="Times New Roman"/>
                <w:color w:val="auto"/>
                <w:sz w:val="24"/>
                <w:highlight w:val="none"/>
              </w:rPr>
              <w:t>1</w:t>
            </w:r>
            <w:r>
              <w:rPr>
                <w:rFonts w:hint="default" w:ascii="Times New Roman" w:hAnsi="Times New Roman" w:eastAsia="仿宋" w:cs="Times New Roman"/>
                <w:color w:val="auto"/>
                <w:sz w:val="24"/>
                <w:highlight w:val="none"/>
                <w:lang w:val="en-US" w:eastAsia="zh-CN"/>
              </w:rPr>
              <w:t>2</w:t>
            </w:r>
            <w:r>
              <w:rPr>
                <w:rFonts w:hint="eastAsia" w:ascii="Times New Roman" w:hAnsi="Times New Roman" w:eastAsia="仿宋"/>
                <w:color w:val="auto"/>
                <w:sz w:val="24"/>
                <w:highlight w:val="none"/>
              </w:rPr>
              <w:t>.数字经济核心产业营业收入</w:t>
            </w:r>
          </w:p>
        </w:tc>
        <w:tc>
          <w:tcPr>
            <w:tcW w:w="998"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亿元</w:t>
            </w:r>
          </w:p>
        </w:tc>
        <w:tc>
          <w:tcPr>
            <w:tcW w:w="911" w:type="dxa"/>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tLeast"/>
              <w:jc w:val="center"/>
              <w:textAlignment w:val="auto"/>
              <w:rPr>
                <w:rFonts w:hint="default"/>
                <w:lang w:val="en-US"/>
              </w:rPr>
            </w:pPr>
            <w:r>
              <w:rPr>
                <w:rFonts w:hint="eastAsia" w:ascii="Times New Roman" w:hAnsi="Times New Roman" w:cs="Times New Roman"/>
                <w:sz w:val="24"/>
                <w:lang w:val="en-US" w:eastAsia="zh-CN"/>
              </w:rPr>
              <w:t>256.2</w:t>
            </w:r>
          </w:p>
        </w:tc>
        <w:tc>
          <w:tcPr>
            <w:tcW w:w="860"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default" w:ascii="Times New Roman" w:hAnsi="Times New Roman" w:eastAsia="仿宋" w:cs="Times New Roman"/>
                <w:color w:val="auto"/>
                <w:sz w:val="24"/>
                <w:highlight w:val="none"/>
              </w:rPr>
              <w:t>3</w:t>
            </w:r>
            <w:r>
              <w:rPr>
                <w:rFonts w:hint="eastAsia" w:ascii="Times New Roman" w:hAnsi="Times New Roman" w:eastAsia="仿宋" w:cs="Times New Roman"/>
                <w:color w:val="auto"/>
                <w:sz w:val="24"/>
                <w:highlight w:val="none"/>
                <w:lang w:val="en-US" w:eastAsia="zh-CN"/>
              </w:rPr>
              <w:t>3</w:t>
            </w:r>
            <w:r>
              <w:rPr>
                <w:rFonts w:hint="default" w:ascii="Times New Roman" w:hAnsi="Times New Roman" w:eastAsia="仿宋" w:cs="Times New Roman"/>
                <w:color w:val="auto"/>
                <w:sz w:val="24"/>
                <w:highlight w:val="none"/>
              </w:rPr>
              <w:t>0</w:t>
            </w:r>
          </w:p>
        </w:tc>
        <w:tc>
          <w:tcPr>
            <w:tcW w:w="1063"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eastAsia" w:ascii="Times New Roman" w:hAnsi="Times New Roman" w:eastAsia="仿宋"/>
                <w:color w:val="auto"/>
                <w:sz w:val="24"/>
                <w:highlight w:val="none"/>
                <w:lang w:eastAsia="zh-CN"/>
              </w:rPr>
            </w:pPr>
            <w:r>
              <w:rPr>
                <w:rFonts w:ascii="Times New Roman" w:hAnsi="Times New Roman" w:eastAsia="仿宋"/>
                <w:color w:val="auto"/>
                <w:sz w:val="24"/>
                <w:highlight w:val="none"/>
              </w:rPr>
              <w:t>/</w:t>
            </w:r>
          </w:p>
        </w:tc>
        <w:tc>
          <w:tcPr>
            <w:tcW w:w="979"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0" w:type="dxa"/>
            <w:vMerge w:val="restart"/>
            <w:shd w:val="clear" w:color="auto" w:fill="E7E6E6"/>
            <w:vAlign w:val="center"/>
          </w:tcPr>
          <w:p>
            <w:pPr>
              <w:pageBreakBefore w:val="0"/>
              <w:shd w:val="clear"/>
              <w:kinsoku/>
              <w:wordWrap/>
              <w:overflowPunct/>
              <w:topLinePunct w:val="0"/>
              <w:bidi w:val="0"/>
              <w:adjustRightInd w:val="0"/>
              <w:snapToGrid w:val="0"/>
              <w:spacing w:beforeLines="0" w:afterLines="0" w:line="240" w:lineRule="atLeast"/>
              <w:textAlignment w:val="auto"/>
              <w:rPr>
                <w:rFonts w:ascii="Times New Roman" w:hAnsi="Times New Roman" w:eastAsia="仿宋"/>
                <w:b/>
                <w:bCs/>
                <w:color w:val="auto"/>
                <w:sz w:val="24"/>
                <w:highlight w:val="none"/>
              </w:rPr>
            </w:pPr>
            <w:r>
              <w:rPr>
                <w:rFonts w:hint="eastAsia" w:ascii="Times New Roman" w:hAnsi="Times New Roman" w:eastAsia="仿宋"/>
                <w:b/>
                <w:bCs/>
                <w:color w:val="auto"/>
                <w:sz w:val="24"/>
                <w:highlight w:val="none"/>
              </w:rPr>
              <w:t>民生福祉</w:t>
            </w:r>
          </w:p>
        </w:tc>
        <w:tc>
          <w:tcPr>
            <w:tcW w:w="343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default" w:ascii="Times New Roman" w:hAnsi="Times New Roman" w:eastAsia="仿宋" w:cs="Times New Roman"/>
                <w:color w:val="auto"/>
                <w:sz w:val="24"/>
                <w:highlight w:val="none"/>
              </w:rPr>
              <w:t>1</w:t>
            </w:r>
            <w:r>
              <w:rPr>
                <w:rFonts w:hint="default" w:ascii="Times New Roman" w:hAnsi="Times New Roman" w:eastAsia="仿宋" w:cs="Times New Roman"/>
                <w:color w:val="auto"/>
                <w:sz w:val="24"/>
                <w:highlight w:val="none"/>
                <w:lang w:val="en-US" w:eastAsia="zh-CN"/>
              </w:rPr>
              <w:t>3</w:t>
            </w:r>
            <w:r>
              <w:rPr>
                <w:rFonts w:hint="eastAsia" w:ascii="Times New Roman" w:hAnsi="Times New Roman" w:eastAsia="仿宋"/>
                <w:color w:val="auto"/>
                <w:sz w:val="24"/>
                <w:highlight w:val="none"/>
              </w:rPr>
              <w:t>.常住人口城镇化率</w:t>
            </w:r>
          </w:p>
        </w:tc>
        <w:tc>
          <w:tcPr>
            <w:tcW w:w="998"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w:t>
            </w:r>
          </w:p>
        </w:tc>
        <w:tc>
          <w:tcPr>
            <w:tcW w:w="91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rPr>
              <w:t>73</w:t>
            </w:r>
            <w:r>
              <w:rPr>
                <w:rFonts w:hint="eastAsia" w:ascii="Times New Roman" w:hAnsi="Times New Roman" w:eastAsia="仿宋"/>
                <w:color w:val="auto"/>
                <w:sz w:val="24"/>
                <w:highlight w:val="none"/>
              </w:rPr>
              <w:t>.</w:t>
            </w:r>
            <w:r>
              <w:rPr>
                <w:rFonts w:hint="default" w:ascii="Times New Roman" w:hAnsi="Times New Roman" w:eastAsia="仿宋" w:cs="Times New Roman"/>
                <w:color w:val="auto"/>
                <w:sz w:val="24"/>
                <w:highlight w:val="none"/>
                <w:lang w:val="en-US" w:eastAsia="zh-CN"/>
              </w:rPr>
              <w:t>3</w:t>
            </w:r>
          </w:p>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eastAsia" w:ascii="Times New Roman" w:hAnsi="Times New Roman" w:eastAsia="仿宋"/>
                <w:color w:val="auto"/>
                <w:sz w:val="24"/>
                <w:highlight w:val="none"/>
                <w:lang w:eastAsia="zh-CN"/>
              </w:rPr>
            </w:pPr>
            <w:r>
              <w:rPr>
                <w:rFonts w:hint="eastAsia" w:ascii="Times New Roman" w:hAnsi="Times New Roman" w:eastAsia="仿宋" w:cs="Times New Roman"/>
                <w:color w:val="auto"/>
                <w:sz w:val="24"/>
                <w:highlight w:val="none"/>
                <w:lang w:val="en-US" w:eastAsia="zh-CN"/>
              </w:rPr>
              <w:t>(</w:t>
            </w:r>
            <w:r>
              <w:rPr>
                <w:rFonts w:hint="default" w:ascii="Times New Roman" w:hAnsi="Times New Roman" w:eastAsia="仿宋" w:cs="Times New Roman"/>
                <w:color w:val="auto"/>
                <w:sz w:val="24"/>
                <w:highlight w:val="none"/>
                <w:lang w:val="en-US" w:eastAsia="zh-CN"/>
              </w:rPr>
              <w:t>2024</w:t>
            </w:r>
            <w:r>
              <w:rPr>
                <w:rFonts w:hint="eastAsia" w:ascii="Times New Roman" w:hAnsi="Times New Roman" w:eastAsia="仿宋" w:cs="Times New Roman"/>
                <w:color w:val="auto"/>
                <w:sz w:val="24"/>
                <w:highlight w:val="none"/>
                <w:lang w:val="en-US" w:eastAsia="zh-CN"/>
              </w:rPr>
              <w:t>)</w:t>
            </w:r>
          </w:p>
        </w:tc>
        <w:tc>
          <w:tcPr>
            <w:tcW w:w="860"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val="en-US" w:eastAsia="zh-CN"/>
              </w:rPr>
              <w:t>78</w:t>
            </w:r>
          </w:p>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default" w:ascii="Times New Roman" w:hAnsi="Times New Roman" w:eastAsia="仿宋"/>
                <w:color w:val="auto"/>
                <w:sz w:val="24"/>
                <w:highlight w:val="none"/>
                <w:lang w:val="en-US" w:eastAsia="zh-CN"/>
              </w:rPr>
            </w:pPr>
            <w:r>
              <w:rPr>
                <w:rFonts w:hint="eastAsia" w:ascii="Times New Roman" w:hAnsi="Times New Roman" w:eastAsia="仿宋"/>
                <w:color w:val="auto"/>
                <w:sz w:val="24"/>
                <w:highlight w:val="none"/>
                <w:lang w:val="en-US" w:eastAsia="zh-CN"/>
              </w:rPr>
              <w:t>左右</w:t>
            </w:r>
          </w:p>
        </w:tc>
        <w:tc>
          <w:tcPr>
            <w:tcW w:w="1063"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eastAsia" w:ascii="Times New Roman" w:hAnsi="Times New Roman" w:eastAsia="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w:t>
            </w:r>
          </w:p>
        </w:tc>
        <w:tc>
          <w:tcPr>
            <w:tcW w:w="979"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710" w:type="dxa"/>
            <w:vMerge w:val="continue"/>
            <w:shd w:val="clear" w:color="auto" w:fill="E7E6E6"/>
            <w:vAlign w:val="center"/>
          </w:tcPr>
          <w:p>
            <w:pPr>
              <w:pageBreakBefore w:val="0"/>
              <w:shd w:val="clear"/>
              <w:kinsoku/>
              <w:wordWrap/>
              <w:overflowPunct/>
              <w:topLinePunct w:val="0"/>
              <w:bidi w:val="0"/>
              <w:adjustRightInd w:val="0"/>
              <w:snapToGrid w:val="0"/>
              <w:spacing w:beforeLines="0" w:afterLines="0" w:line="240" w:lineRule="atLeast"/>
              <w:textAlignment w:val="auto"/>
              <w:rPr>
                <w:rFonts w:ascii="Times New Roman" w:hAnsi="Times New Roman" w:eastAsia="仿宋"/>
                <w:b/>
                <w:bCs/>
                <w:color w:val="auto"/>
                <w:sz w:val="24"/>
                <w:highlight w:val="none"/>
              </w:rPr>
            </w:pPr>
          </w:p>
        </w:tc>
        <w:tc>
          <w:tcPr>
            <w:tcW w:w="343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default" w:ascii="Times New Roman" w:hAnsi="Times New Roman" w:eastAsia="仿宋" w:cs="Times New Roman"/>
                <w:color w:val="auto"/>
                <w:sz w:val="24"/>
                <w:highlight w:val="none"/>
              </w:rPr>
              <w:t>1</w:t>
            </w:r>
            <w:r>
              <w:rPr>
                <w:rFonts w:hint="default" w:ascii="Times New Roman" w:hAnsi="Times New Roman" w:eastAsia="仿宋" w:cs="Times New Roman"/>
                <w:color w:val="auto"/>
                <w:sz w:val="24"/>
                <w:highlight w:val="none"/>
                <w:lang w:val="en-US" w:eastAsia="zh-CN"/>
              </w:rPr>
              <w:t>4</w:t>
            </w:r>
            <w:r>
              <w:rPr>
                <w:rFonts w:hint="eastAsia" w:ascii="Times New Roman" w:hAnsi="Times New Roman" w:eastAsia="仿宋"/>
                <w:color w:val="auto"/>
                <w:sz w:val="24"/>
                <w:highlight w:val="none"/>
              </w:rPr>
              <w:t>.居民人均可支配收入增长</w:t>
            </w:r>
          </w:p>
        </w:tc>
        <w:tc>
          <w:tcPr>
            <w:tcW w:w="998"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w:t>
            </w:r>
          </w:p>
        </w:tc>
        <w:tc>
          <w:tcPr>
            <w:tcW w:w="91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default" w:ascii="Times New Roman" w:hAnsi="Times New Roman" w:eastAsia="仿宋"/>
                <w:color w:val="auto"/>
                <w:sz w:val="24"/>
                <w:highlight w:val="none"/>
                <w:lang w:val="en-US" w:eastAsia="zh-CN"/>
              </w:rPr>
            </w:pPr>
            <w:r>
              <w:rPr>
                <w:rFonts w:hint="eastAsia" w:ascii="Times New Roman" w:hAnsi="Times New Roman" w:eastAsia="仿宋" w:cs="Times New Roman"/>
                <w:color w:val="auto"/>
                <w:sz w:val="24"/>
                <w:highlight w:val="none"/>
                <w:lang w:val="en-US" w:eastAsia="zh-CN"/>
              </w:rPr>
              <w:t>3.6</w:t>
            </w:r>
          </w:p>
        </w:tc>
        <w:tc>
          <w:tcPr>
            <w:tcW w:w="1923" w:type="dxa"/>
            <w:gridSpan w:val="2"/>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eastAsia" w:ascii="Times New Roman" w:hAnsi="Times New Roman" w:eastAsia="仿宋"/>
                <w:color w:val="auto"/>
                <w:sz w:val="24"/>
                <w:highlight w:val="none"/>
              </w:rPr>
            </w:pPr>
            <w:r>
              <w:rPr>
                <w:rFonts w:hint="eastAsia" w:ascii="Times New Roman" w:hAnsi="Times New Roman" w:eastAsia="仿宋"/>
                <w:color w:val="auto"/>
                <w:sz w:val="24"/>
                <w:highlight w:val="none"/>
              </w:rPr>
              <w:t>与经济增长</w:t>
            </w:r>
          </w:p>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lang w:eastAsia="zh-CN"/>
              </w:rPr>
              <w:t>相协调</w:t>
            </w:r>
          </w:p>
        </w:tc>
        <w:tc>
          <w:tcPr>
            <w:tcW w:w="979"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10" w:type="dxa"/>
            <w:vMerge w:val="continue"/>
            <w:shd w:val="clear" w:color="auto" w:fill="E7E6E6"/>
            <w:vAlign w:val="center"/>
          </w:tcPr>
          <w:p>
            <w:pPr>
              <w:pageBreakBefore w:val="0"/>
              <w:shd w:val="clear"/>
              <w:kinsoku/>
              <w:wordWrap/>
              <w:overflowPunct/>
              <w:topLinePunct w:val="0"/>
              <w:bidi w:val="0"/>
              <w:adjustRightInd w:val="0"/>
              <w:snapToGrid w:val="0"/>
              <w:spacing w:beforeLines="0" w:afterLines="0" w:line="240" w:lineRule="atLeast"/>
              <w:textAlignment w:val="auto"/>
              <w:rPr>
                <w:rFonts w:ascii="Times New Roman" w:hAnsi="Times New Roman" w:eastAsia="仿宋"/>
                <w:b/>
                <w:bCs/>
                <w:color w:val="auto"/>
                <w:sz w:val="24"/>
                <w:highlight w:val="none"/>
              </w:rPr>
            </w:pPr>
          </w:p>
        </w:tc>
        <w:tc>
          <w:tcPr>
            <w:tcW w:w="343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default" w:ascii="Times New Roman" w:hAnsi="Times New Roman" w:eastAsia="仿宋" w:cs="Times New Roman"/>
                <w:color w:val="auto"/>
                <w:sz w:val="24"/>
                <w:highlight w:val="none"/>
              </w:rPr>
              <w:t>1</w:t>
            </w:r>
            <w:r>
              <w:rPr>
                <w:rFonts w:hint="default" w:ascii="Times New Roman" w:hAnsi="Times New Roman" w:eastAsia="仿宋" w:cs="Times New Roman"/>
                <w:color w:val="auto"/>
                <w:sz w:val="24"/>
                <w:highlight w:val="none"/>
                <w:lang w:val="en-US" w:eastAsia="zh-CN"/>
              </w:rPr>
              <w:t>5</w:t>
            </w:r>
            <w:r>
              <w:rPr>
                <w:rFonts w:hint="eastAsia" w:ascii="Times New Roman" w:hAnsi="Times New Roman" w:eastAsia="仿宋"/>
                <w:color w:val="auto"/>
                <w:sz w:val="24"/>
                <w:highlight w:val="none"/>
              </w:rPr>
              <w:t>.人均预期寿命</w:t>
            </w:r>
          </w:p>
        </w:tc>
        <w:tc>
          <w:tcPr>
            <w:tcW w:w="998"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岁</w:t>
            </w:r>
          </w:p>
        </w:tc>
        <w:tc>
          <w:tcPr>
            <w:tcW w:w="91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rPr>
              <w:t>8</w:t>
            </w:r>
            <w:r>
              <w:rPr>
                <w:rFonts w:hint="eastAsia" w:ascii="Times New Roman" w:hAnsi="Times New Roman" w:eastAsia="仿宋" w:cs="Times New Roman"/>
                <w:color w:val="auto"/>
                <w:sz w:val="24"/>
                <w:highlight w:val="none"/>
                <w:lang w:val="en-US" w:eastAsia="zh-CN"/>
              </w:rPr>
              <w:t>1.5</w:t>
            </w:r>
          </w:p>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eastAsia" w:ascii="Times New Roman" w:hAnsi="Times New Roman" w:eastAsia="仿宋"/>
                <w:color w:val="auto"/>
                <w:sz w:val="24"/>
                <w:highlight w:val="none"/>
                <w:lang w:eastAsia="zh-CN"/>
              </w:rPr>
            </w:pPr>
            <w:r>
              <w:rPr>
                <w:rFonts w:hint="eastAsia" w:ascii="Times New Roman" w:hAnsi="Times New Roman" w:eastAsia="仿宋" w:cs="Times New Roman"/>
                <w:color w:val="auto"/>
                <w:sz w:val="24"/>
                <w:highlight w:val="none"/>
                <w:lang w:val="en-US" w:eastAsia="zh-CN"/>
              </w:rPr>
              <w:t>(预计)</w:t>
            </w:r>
          </w:p>
        </w:tc>
        <w:tc>
          <w:tcPr>
            <w:tcW w:w="860"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default" w:ascii="Times New Roman" w:hAnsi="Times New Roman" w:eastAsia="仿宋" w:cs="Times New Roman"/>
                <w:color w:val="auto"/>
                <w:sz w:val="24"/>
                <w:highlight w:val="none"/>
              </w:rPr>
              <w:t>82</w:t>
            </w:r>
          </w:p>
        </w:tc>
        <w:tc>
          <w:tcPr>
            <w:tcW w:w="1063"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w:t>
            </w:r>
          </w:p>
        </w:tc>
        <w:tc>
          <w:tcPr>
            <w:tcW w:w="979"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10" w:type="dxa"/>
            <w:vMerge w:val="continue"/>
            <w:shd w:val="clear" w:color="auto" w:fill="E7E6E6"/>
            <w:vAlign w:val="center"/>
          </w:tcPr>
          <w:p>
            <w:pPr>
              <w:pageBreakBefore w:val="0"/>
              <w:shd w:val="clear"/>
              <w:kinsoku/>
              <w:wordWrap/>
              <w:overflowPunct/>
              <w:topLinePunct w:val="0"/>
              <w:bidi w:val="0"/>
              <w:adjustRightInd w:val="0"/>
              <w:snapToGrid w:val="0"/>
              <w:spacing w:beforeLines="0" w:afterLines="0" w:line="240" w:lineRule="atLeast"/>
              <w:textAlignment w:val="auto"/>
              <w:rPr>
                <w:rFonts w:ascii="Times New Roman" w:hAnsi="Times New Roman" w:eastAsia="仿宋"/>
                <w:b/>
                <w:bCs/>
                <w:color w:val="auto"/>
                <w:sz w:val="24"/>
                <w:highlight w:val="none"/>
              </w:rPr>
            </w:pPr>
          </w:p>
        </w:tc>
        <w:tc>
          <w:tcPr>
            <w:tcW w:w="343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hint="eastAsia" w:ascii="Times New Roman" w:hAnsi="Times New Roman" w:eastAsia="仿宋"/>
                <w:color w:val="auto"/>
                <w:sz w:val="24"/>
                <w:highlight w:val="none"/>
                <w:lang w:eastAsia="zh-CN"/>
              </w:rPr>
            </w:pPr>
            <w:r>
              <w:rPr>
                <w:rFonts w:hint="default" w:ascii="Times New Roman" w:hAnsi="Times New Roman" w:eastAsia="仿宋" w:cs="Times New Roman"/>
                <w:color w:val="auto"/>
                <w:sz w:val="24"/>
                <w:highlight w:val="none"/>
              </w:rPr>
              <w:t>1</w:t>
            </w:r>
            <w:r>
              <w:rPr>
                <w:rFonts w:hint="default" w:ascii="Times New Roman" w:hAnsi="Times New Roman" w:eastAsia="仿宋" w:cs="Times New Roman"/>
                <w:color w:val="auto"/>
                <w:sz w:val="24"/>
                <w:highlight w:val="none"/>
                <w:lang w:val="en-US" w:eastAsia="zh-CN"/>
              </w:rPr>
              <w:t>6</w:t>
            </w:r>
            <w:r>
              <w:rPr>
                <w:rFonts w:hint="eastAsia" w:ascii="Times New Roman" w:hAnsi="Times New Roman" w:eastAsia="仿宋"/>
                <w:color w:val="auto"/>
                <w:sz w:val="24"/>
                <w:highlight w:val="none"/>
              </w:rPr>
              <w:t>.3岁</w:t>
            </w:r>
            <w:r>
              <w:rPr>
                <w:rFonts w:hint="eastAsia" w:ascii="Times New Roman" w:hAnsi="Times New Roman" w:eastAsia="仿宋"/>
                <w:color w:val="auto"/>
                <w:sz w:val="24"/>
                <w:highlight w:val="none"/>
                <w:lang w:eastAsia="zh-CN"/>
              </w:rPr>
              <w:t>以下</w:t>
            </w:r>
            <w:r>
              <w:rPr>
                <w:rFonts w:hint="eastAsia" w:ascii="Times New Roman" w:hAnsi="Times New Roman" w:eastAsia="仿宋"/>
                <w:color w:val="auto"/>
                <w:sz w:val="24"/>
                <w:highlight w:val="none"/>
              </w:rPr>
              <w:t>婴幼儿入托率</w:t>
            </w:r>
            <w:r>
              <w:rPr>
                <w:rFonts w:hint="eastAsia" w:ascii="Times New Roman" w:hAnsi="Times New Roman" w:eastAsia="仿宋"/>
                <w:color w:val="auto"/>
                <w:sz w:val="24"/>
                <w:highlight w:val="none"/>
                <w:lang w:eastAsia="zh-CN"/>
              </w:rPr>
              <w:t>提高</w:t>
            </w:r>
          </w:p>
        </w:tc>
        <w:tc>
          <w:tcPr>
            <w:tcW w:w="998"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eastAsia" w:ascii="Times New Roman" w:hAnsi="Times New Roman" w:eastAsia="仿宋"/>
                <w:color w:val="auto"/>
                <w:sz w:val="24"/>
                <w:highlight w:val="none"/>
                <w:lang w:eastAsia="zh-CN"/>
              </w:rPr>
            </w:pPr>
            <w:r>
              <w:rPr>
                <w:rFonts w:hint="eastAsia" w:ascii="Times New Roman" w:hAnsi="Times New Roman" w:eastAsia="仿宋"/>
                <w:color w:val="auto"/>
                <w:sz w:val="24"/>
                <w:highlight w:val="none"/>
                <w:lang w:val="en-US" w:eastAsia="zh-CN"/>
              </w:rPr>
              <w:t>%</w:t>
            </w:r>
          </w:p>
        </w:tc>
        <w:tc>
          <w:tcPr>
            <w:tcW w:w="91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default" w:ascii="Times New Roman" w:hAnsi="Times New Roman" w:eastAsia="仿宋"/>
                <w:color w:val="auto"/>
                <w:sz w:val="24"/>
                <w:highlight w:val="none"/>
                <w:lang w:val="en-US" w:eastAsia="zh-CN"/>
              </w:rPr>
            </w:pPr>
            <w:r>
              <w:rPr>
                <w:rFonts w:hint="eastAsia" w:ascii="Times New Roman" w:hAnsi="Times New Roman" w:eastAsia="仿宋" w:cs="Times New Roman"/>
                <w:color w:val="auto"/>
                <w:sz w:val="24"/>
                <w:highlight w:val="none"/>
                <w:lang w:val="en-US" w:eastAsia="zh-CN"/>
              </w:rPr>
              <w:t>-</w:t>
            </w:r>
          </w:p>
        </w:tc>
        <w:tc>
          <w:tcPr>
            <w:tcW w:w="860"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default" w:ascii="Times New Roman" w:hAnsi="Times New Roman" w:eastAsia="仿宋"/>
                <w:color w:val="auto"/>
                <w:sz w:val="24"/>
                <w:highlight w:val="none"/>
                <w:lang w:val="en-US" w:eastAsia="zh-CN"/>
              </w:rPr>
            </w:pPr>
            <w:r>
              <w:rPr>
                <w:rFonts w:hint="eastAsia" w:ascii="Times New Roman" w:hAnsi="Times New Roman" w:eastAsia="仿宋" w:cs="Times New Roman"/>
                <w:color w:val="auto"/>
                <w:sz w:val="24"/>
                <w:highlight w:val="none"/>
                <w:lang w:val="en-US" w:eastAsia="zh-CN"/>
              </w:rPr>
              <w:t>-</w:t>
            </w:r>
          </w:p>
        </w:tc>
        <w:tc>
          <w:tcPr>
            <w:tcW w:w="1063"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default" w:ascii="Times New Roman" w:hAnsi="Times New Roman" w:eastAsia="仿宋"/>
                <w:color w:val="auto"/>
                <w:sz w:val="24"/>
                <w:highlight w:val="none"/>
              </w:rPr>
            </w:pPr>
            <w:r>
              <w:rPr>
                <w:rFonts w:hint="eastAsia" w:ascii="方正隶书_GBK" w:hAnsi="方正隶书_GBK" w:eastAsia="方正隶书_GBK" w:cs="方正隶书_GBK"/>
                <w:color w:val="auto"/>
                <w:sz w:val="24"/>
                <w:highlight w:val="none"/>
              </w:rPr>
              <w:t>〔</w:t>
            </w:r>
            <w:r>
              <w:rPr>
                <w:rFonts w:hint="default" w:ascii="Times New Roman" w:hAnsi="Times New Roman" w:eastAsia="仿宋" w:cs="Times New Roman"/>
                <w:color w:val="auto"/>
                <w:sz w:val="24"/>
                <w:highlight w:val="none"/>
                <w:lang w:val="en-US" w:eastAsia="zh-CN"/>
              </w:rPr>
              <w:t>8.56</w:t>
            </w:r>
            <w:r>
              <w:rPr>
                <w:rFonts w:hint="eastAsia" w:ascii="方正隶书_GBK" w:hAnsi="方正隶书_GBK" w:eastAsia="方正隶书_GBK" w:cs="方正隶书_GBK"/>
                <w:color w:val="auto"/>
                <w:sz w:val="24"/>
                <w:highlight w:val="none"/>
              </w:rPr>
              <w:t>〕</w:t>
            </w:r>
          </w:p>
        </w:tc>
        <w:tc>
          <w:tcPr>
            <w:tcW w:w="979"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10" w:type="dxa"/>
            <w:vMerge w:val="continue"/>
            <w:shd w:val="clear" w:color="auto" w:fill="E7E6E6"/>
            <w:vAlign w:val="center"/>
          </w:tcPr>
          <w:p>
            <w:pPr>
              <w:pageBreakBefore w:val="0"/>
              <w:shd w:val="clear"/>
              <w:kinsoku/>
              <w:wordWrap/>
              <w:overflowPunct/>
              <w:topLinePunct w:val="0"/>
              <w:bidi w:val="0"/>
              <w:adjustRightInd w:val="0"/>
              <w:snapToGrid w:val="0"/>
              <w:spacing w:beforeLines="0" w:afterLines="0" w:line="240" w:lineRule="atLeast"/>
              <w:textAlignment w:val="auto"/>
              <w:rPr>
                <w:rFonts w:ascii="Times New Roman" w:hAnsi="Times New Roman" w:eastAsia="仿宋"/>
                <w:b/>
                <w:bCs/>
                <w:color w:val="auto"/>
                <w:sz w:val="24"/>
                <w:highlight w:val="none"/>
              </w:rPr>
            </w:pPr>
          </w:p>
        </w:tc>
        <w:tc>
          <w:tcPr>
            <w:tcW w:w="343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default" w:ascii="Times New Roman" w:hAnsi="Times New Roman" w:eastAsia="仿宋" w:cs="Times New Roman"/>
                <w:color w:val="auto"/>
                <w:sz w:val="24"/>
                <w:highlight w:val="none"/>
              </w:rPr>
              <w:t>1</w:t>
            </w:r>
            <w:r>
              <w:rPr>
                <w:rFonts w:hint="default" w:ascii="Times New Roman" w:hAnsi="Times New Roman" w:eastAsia="仿宋" w:cs="Times New Roman"/>
                <w:color w:val="auto"/>
                <w:sz w:val="24"/>
                <w:highlight w:val="none"/>
                <w:lang w:val="en-US" w:eastAsia="zh-CN"/>
              </w:rPr>
              <w:t>7</w:t>
            </w:r>
            <w:r>
              <w:rPr>
                <w:rFonts w:hint="eastAsia" w:ascii="Times New Roman" w:hAnsi="Times New Roman" w:eastAsia="仿宋"/>
                <w:color w:val="auto"/>
                <w:sz w:val="24"/>
                <w:highlight w:val="none"/>
              </w:rPr>
              <w:t>.养老机构护理</w:t>
            </w:r>
            <w:r>
              <w:rPr>
                <w:rFonts w:hint="eastAsia" w:ascii="Times New Roman" w:hAnsi="Times New Roman" w:eastAsia="仿宋"/>
                <w:color w:val="auto"/>
                <w:sz w:val="24"/>
                <w:highlight w:val="none"/>
                <w:lang w:eastAsia="zh-CN"/>
              </w:rPr>
              <w:t>型</w:t>
            </w:r>
            <w:r>
              <w:rPr>
                <w:rFonts w:hint="eastAsia" w:ascii="Times New Roman" w:hAnsi="Times New Roman" w:eastAsia="仿宋"/>
                <w:color w:val="auto"/>
                <w:sz w:val="24"/>
                <w:highlight w:val="none"/>
              </w:rPr>
              <w:t>床位占比</w:t>
            </w:r>
          </w:p>
        </w:tc>
        <w:tc>
          <w:tcPr>
            <w:tcW w:w="998"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w:t>
            </w:r>
          </w:p>
        </w:tc>
        <w:tc>
          <w:tcPr>
            <w:tcW w:w="91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default" w:ascii="Times New Roman" w:hAnsi="Times New Roman" w:eastAsia="仿宋"/>
                <w:color w:val="auto"/>
                <w:sz w:val="24"/>
                <w:highlight w:val="none"/>
                <w:lang w:val="en-US" w:eastAsia="zh-CN"/>
              </w:rPr>
            </w:pPr>
            <w:r>
              <w:rPr>
                <w:rFonts w:hint="eastAsia" w:ascii="Times New Roman" w:hAnsi="Times New Roman" w:eastAsia="东文宋体" w:cs="东文宋体"/>
                <w:color w:val="auto"/>
                <w:sz w:val="24"/>
                <w:highlight w:val="none"/>
                <w:lang w:val="en-US" w:eastAsia="zh-CN"/>
              </w:rPr>
              <w:t>83</w:t>
            </w:r>
          </w:p>
        </w:tc>
        <w:tc>
          <w:tcPr>
            <w:tcW w:w="860"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eastAsia" w:ascii="Times New Roman" w:hAnsi="Times New Roman" w:eastAsia="东文宋体" w:cs="东文宋体"/>
                <w:color w:val="auto"/>
                <w:sz w:val="24"/>
                <w:highlight w:val="none"/>
              </w:rPr>
              <w:t>≥</w:t>
            </w:r>
            <w:r>
              <w:rPr>
                <w:rFonts w:hint="default" w:ascii="Times New Roman" w:hAnsi="Times New Roman" w:eastAsia="仿宋" w:cs="Times New Roman"/>
                <w:color w:val="auto"/>
                <w:sz w:val="24"/>
                <w:highlight w:val="none"/>
                <w:lang w:val="en"/>
              </w:rPr>
              <w:t>80</w:t>
            </w:r>
          </w:p>
        </w:tc>
        <w:tc>
          <w:tcPr>
            <w:tcW w:w="1063"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w:t>
            </w:r>
          </w:p>
        </w:tc>
        <w:tc>
          <w:tcPr>
            <w:tcW w:w="979"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710" w:type="dxa"/>
            <w:vMerge w:val="continue"/>
            <w:shd w:val="clear" w:color="auto" w:fill="E7E6E6"/>
            <w:vAlign w:val="center"/>
          </w:tcPr>
          <w:p>
            <w:pPr>
              <w:pageBreakBefore w:val="0"/>
              <w:shd w:val="clear"/>
              <w:kinsoku/>
              <w:wordWrap/>
              <w:overflowPunct/>
              <w:topLinePunct w:val="0"/>
              <w:bidi w:val="0"/>
              <w:adjustRightInd w:val="0"/>
              <w:snapToGrid w:val="0"/>
              <w:spacing w:beforeLines="0" w:afterLines="0" w:line="240" w:lineRule="atLeast"/>
              <w:textAlignment w:val="auto"/>
              <w:rPr>
                <w:rFonts w:ascii="Times New Roman" w:hAnsi="Times New Roman" w:eastAsia="仿宋"/>
                <w:b/>
                <w:bCs/>
                <w:color w:val="auto"/>
                <w:sz w:val="24"/>
                <w:highlight w:val="none"/>
              </w:rPr>
            </w:pPr>
          </w:p>
        </w:tc>
        <w:tc>
          <w:tcPr>
            <w:tcW w:w="343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default" w:ascii="Times New Roman" w:hAnsi="Times New Roman" w:eastAsia="仿宋" w:cs="Times New Roman"/>
                <w:color w:val="auto"/>
                <w:sz w:val="24"/>
                <w:highlight w:val="none"/>
                <w:lang w:val="en-US" w:eastAsia="zh-CN"/>
              </w:rPr>
              <w:t>18</w:t>
            </w:r>
            <w:r>
              <w:rPr>
                <w:rFonts w:hint="eastAsia" w:ascii="Times New Roman" w:hAnsi="Times New Roman" w:eastAsia="仿宋"/>
                <w:color w:val="auto"/>
                <w:sz w:val="24"/>
                <w:highlight w:val="none"/>
              </w:rPr>
              <w:t>.劳动年龄人口平均受教育年限</w:t>
            </w:r>
          </w:p>
        </w:tc>
        <w:tc>
          <w:tcPr>
            <w:tcW w:w="998"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年</w:t>
            </w:r>
          </w:p>
        </w:tc>
        <w:tc>
          <w:tcPr>
            <w:tcW w:w="91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eastAsia" w:ascii="Times New Roman" w:hAnsi="Times New Roman" w:eastAsia="仿宋"/>
                <w:color w:val="auto"/>
                <w:sz w:val="24"/>
                <w:highlight w:val="none"/>
                <w:lang w:eastAsia="zh-CN"/>
              </w:rPr>
            </w:pPr>
            <w:r>
              <w:rPr>
                <w:rFonts w:hint="default" w:ascii="Times New Roman" w:hAnsi="Times New Roman" w:eastAsia="仿宋" w:cs="Times New Roman"/>
                <w:color w:val="auto"/>
                <w:sz w:val="24"/>
                <w:highlight w:val="none"/>
              </w:rPr>
              <w:t>11</w:t>
            </w:r>
            <w:r>
              <w:rPr>
                <w:rFonts w:ascii="Times New Roman" w:hAnsi="Times New Roman" w:eastAsia="仿宋"/>
                <w:color w:val="auto"/>
                <w:sz w:val="24"/>
                <w:highlight w:val="none"/>
              </w:rPr>
              <w:t>.</w:t>
            </w:r>
            <w:r>
              <w:rPr>
                <w:rFonts w:hint="eastAsia" w:ascii="Times New Roman" w:hAnsi="Times New Roman" w:eastAsia="仿宋" w:cs="Times New Roman"/>
                <w:color w:val="auto"/>
                <w:sz w:val="24"/>
                <w:highlight w:val="none"/>
                <w:lang w:val="en-US" w:eastAsia="zh-CN"/>
              </w:rPr>
              <w:t>5</w:t>
            </w:r>
          </w:p>
        </w:tc>
        <w:tc>
          <w:tcPr>
            <w:tcW w:w="860"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default" w:ascii="Times New Roman" w:hAnsi="Times New Roman" w:eastAsia="仿宋" w:cs="Times New Roman"/>
                <w:color w:val="auto"/>
                <w:sz w:val="24"/>
                <w:highlight w:val="none"/>
              </w:rPr>
              <w:t>11</w:t>
            </w:r>
            <w:r>
              <w:rPr>
                <w:rFonts w:ascii="Times New Roman" w:hAnsi="Times New Roman" w:eastAsia="仿宋"/>
                <w:color w:val="auto"/>
                <w:sz w:val="24"/>
                <w:highlight w:val="none"/>
              </w:rPr>
              <w:t>.</w:t>
            </w:r>
            <w:r>
              <w:rPr>
                <w:rFonts w:hint="default" w:ascii="Times New Roman" w:hAnsi="Times New Roman" w:eastAsia="仿宋" w:cs="Times New Roman"/>
                <w:color w:val="auto"/>
                <w:sz w:val="24"/>
                <w:highlight w:val="none"/>
              </w:rPr>
              <w:t>8</w:t>
            </w:r>
          </w:p>
        </w:tc>
        <w:tc>
          <w:tcPr>
            <w:tcW w:w="1063"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ascii="Times New Roman" w:hAnsi="Times New Roman" w:eastAsia="仿宋"/>
                <w:color w:val="auto"/>
                <w:sz w:val="24"/>
                <w:highlight w:val="none"/>
              </w:rPr>
              <w:t>/</w:t>
            </w:r>
          </w:p>
        </w:tc>
        <w:tc>
          <w:tcPr>
            <w:tcW w:w="979"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710" w:type="dxa"/>
            <w:vMerge w:val="restart"/>
            <w:shd w:val="clear" w:color="auto" w:fill="E7E6E6"/>
            <w:vAlign w:val="center"/>
          </w:tcPr>
          <w:p>
            <w:pPr>
              <w:pageBreakBefore w:val="0"/>
              <w:shd w:val="clear"/>
              <w:kinsoku/>
              <w:wordWrap/>
              <w:overflowPunct/>
              <w:topLinePunct w:val="0"/>
              <w:bidi w:val="0"/>
              <w:adjustRightInd w:val="0"/>
              <w:snapToGrid w:val="0"/>
              <w:spacing w:beforeLines="0" w:afterLines="0" w:line="240" w:lineRule="atLeast"/>
              <w:textAlignment w:val="auto"/>
              <w:rPr>
                <w:rFonts w:ascii="Times New Roman" w:hAnsi="Times New Roman" w:eastAsia="仿宋"/>
                <w:b/>
                <w:bCs/>
                <w:color w:val="auto"/>
                <w:sz w:val="24"/>
                <w:highlight w:val="none"/>
              </w:rPr>
            </w:pPr>
            <w:r>
              <w:rPr>
                <w:rFonts w:hint="eastAsia" w:ascii="Times New Roman" w:hAnsi="Times New Roman" w:eastAsia="仿宋"/>
                <w:b/>
                <w:bCs/>
                <w:color w:val="auto"/>
                <w:sz w:val="24"/>
                <w:highlight w:val="none"/>
              </w:rPr>
              <w:t>绿色低碳</w:t>
            </w:r>
          </w:p>
        </w:tc>
        <w:tc>
          <w:tcPr>
            <w:tcW w:w="343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default" w:ascii="Times New Roman" w:hAnsi="Times New Roman" w:eastAsia="仿宋" w:cs="Times New Roman"/>
                <w:color w:val="auto"/>
                <w:sz w:val="24"/>
                <w:highlight w:val="none"/>
                <w:lang w:val="en-US" w:eastAsia="zh-CN"/>
              </w:rPr>
              <w:t>19</w:t>
            </w:r>
            <w:r>
              <w:rPr>
                <w:rFonts w:hint="eastAsia" w:ascii="Times New Roman" w:hAnsi="Times New Roman" w:eastAsia="仿宋"/>
                <w:color w:val="auto"/>
                <w:sz w:val="24"/>
                <w:highlight w:val="none"/>
              </w:rPr>
              <w:t>.单位地区生产总值二氧化碳排放降低</w:t>
            </w:r>
          </w:p>
        </w:tc>
        <w:tc>
          <w:tcPr>
            <w:tcW w:w="998"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w w:val="90"/>
                <w:sz w:val="24"/>
                <w:highlight w:val="none"/>
              </w:rPr>
            </w:pPr>
            <w:r>
              <w:rPr>
                <w:rFonts w:hint="eastAsia" w:ascii="Times New Roman" w:hAnsi="Times New Roman" w:eastAsia="仿宋"/>
                <w:color w:val="auto"/>
                <w:sz w:val="24"/>
                <w:highlight w:val="none"/>
              </w:rPr>
              <w:t>%</w:t>
            </w:r>
          </w:p>
        </w:tc>
        <w:tc>
          <w:tcPr>
            <w:tcW w:w="91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eastAsia" w:ascii="Times New Roman" w:hAnsi="Times New Roman" w:eastAsia="仿宋"/>
                <w:color w:val="auto"/>
                <w:sz w:val="24"/>
                <w:highlight w:val="none"/>
                <w:lang w:val="en-US" w:eastAsia="zh-CN"/>
              </w:rPr>
            </w:pPr>
            <w:r>
              <w:rPr>
                <w:rFonts w:hint="eastAsia" w:ascii="Times New Roman" w:hAnsi="Times New Roman" w:eastAsia="仿宋"/>
                <w:color w:val="auto"/>
                <w:sz w:val="24"/>
                <w:highlight w:val="none"/>
                <w:lang w:val="en-US" w:eastAsia="zh-CN"/>
              </w:rPr>
              <w:t>2.79</w:t>
            </w:r>
          </w:p>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default" w:ascii="Times New Roman" w:hAnsi="Times New Roman" w:eastAsia="仿宋"/>
                <w:color w:val="auto"/>
                <w:sz w:val="24"/>
                <w:highlight w:val="none"/>
                <w:lang w:val="en-US" w:eastAsia="zh-CN"/>
              </w:rPr>
            </w:pPr>
            <w:r>
              <w:rPr>
                <w:rFonts w:hint="eastAsia" w:ascii="Times New Roman" w:hAnsi="Times New Roman" w:eastAsia="仿宋" w:cs="Times New Roman"/>
                <w:color w:val="auto"/>
                <w:sz w:val="24"/>
                <w:highlight w:val="none"/>
                <w:lang w:val="en-US" w:eastAsia="zh-CN"/>
              </w:rPr>
              <w:t>(</w:t>
            </w:r>
            <w:r>
              <w:rPr>
                <w:rFonts w:hint="default" w:ascii="Times New Roman" w:hAnsi="Times New Roman" w:eastAsia="仿宋" w:cs="Times New Roman"/>
                <w:color w:val="auto"/>
                <w:sz w:val="24"/>
                <w:highlight w:val="none"/>
                <w:lang w:val="en-US" w:eastAsia="zh-CN"/>
              </w:rPr>
              <w:t>2024</w:t>
            </w:r>
            <w:r>
              <w:rPr>
                <w:rFonts w:hint="eastAsia" w:ascii="Times New Roman" w:hAnsi="Times New Roman" w:eastAsia="仿宋" w:cs="Times New Roman"/>
                <w:color w:val="auto"/>
                <w:sz w:val="24"/>
                <w:highlight w:val="none"/>
                <w:lang w:val="en-US" w:eastAsia="zh-CN"/>
              </w:rPr>
              <w:t>)</w:t>
            </w:r>
          </w:p>
        </w:tc>
        <w:tc>
          <w:tcPr>
            <w:tcW w:w="1923" w:type="dxa"/>
            <w:gridSpan w:val="2"/>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完成省下达</w:t>
            </w:r>
            <w:r>
              <w:rPr>
                <w:rFonts w:hint="eastAsia" w:ascii="Times New Roman" w:hAnsi="Times New Roman" w:eastAsia="仿宋"/>
                <w:color w:val="auto"/>
                <w:sz w:val="24"/>
                <w:highlight w:val="none"/>
              </w:rPr>
              <w:br w:type="textWrapping"/>
            </w:r>
            <w:r>
              <w:rPr>
                <w:rFonts w:hint="eastAsia" w:ascii="Times New Roman" w:hAnsi="Times New Roman" w:eastAsia="仿宋"/>
                <w:color w:val="auto"/>
                <w:sz w:val="24"/>
                <w:highlight w:val="none"/>
                <w:lang w:eastAsia="zh-CN"/>
              </w:rPr>
              <w:t>任务</w:t>
            </w:r>
          </w:p>
        </w:tc>
        <w:tc>
          <w:tcPr>
            <w:tcW w:w="979"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0" w:type="dxa"/>
            <w:vMerge w:val="continue"/>
            <w:shd w:val="clear" w:color="auto" w:fill="E7E6E6"/>
            <w:vAlign w:val="center"/>
          </w:tcPr>
          <w:p>
            <w:pPr>
              <w:pageBreakBefore w:val="0"/>
              <w:shd w:val="clear"/>
              <w:kinsoku/>
              <w:wordWrap/>
              <w:overflowPunct/>
              <w:topLinePunct w:val="0"/>
              <w:bidi w:val="0"/>
              <w:adjustRightInd w:val="0"/>
              <w:snapToGrid w:val="0"/>
              <w:spacing w:beforeLines="0" w:afterLines="0" w:line="240" w:lineRule="atLeast"/>
              <w:textAlignment w:val="auto"/>
              <w:rPr>
                <w:rFonts w:ascii="Times New Roman" w:hAnsi="Times New Roman" w:eastAsia="仿宋"/>
                <w:b/>
                <w:bCs/>
                <w:color w:val="auto"/>
                <w:sz w:val="24"/>
                <w:highlight w:val="none"/>
              </w:rPr>
            </w:pPr>
          </w:p>
        </w:tc>
        <w:tc>
          <w:tcPr>
            <w:tcW w:w="343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default" w:ascii="Times New Roman" w:hAnsi="Times New Roman" w:eastAsia="仿宋" w:cs="Times New Roman"/>
                <w:color w:val="auto"/>
                <w:sz w:val="24"/>
                <w:highlight w:val="none"/>
              </w:rPr>
              <w:t>2</w:t>
            </w:r>
            <w:r>
              <w:rPr>
                <w:rFonts w:hint="default" w:ascii="Times New Roman" w:hAnsi="Times New Roman" w:eastAsia="仿宋" w:cs="Times New Roman"/>
                <w:color w:val="auto"/>
                <w:sz w:val="24"/>
                <w:highlight w:val="none"/>
                <w:lang w:val="en-US" w:eastAsia="zh-CN"/>
              </w:rPr>
              <w:t>0</w:t>
            </w:r>
            <w:r>
              <w:rPr>
                <w:rFonts w:hint="eastAsia" w:ascii="Times New Roman" w:hAnsi="Times New Roman" w:eastAsia="仿宋"/>
                <w:color w:val="auto"/>
                <w:sz w:val="24"/>
                <w:highlight w:val="none"/>
              </w:rPr>
              <w:t>.</w:t>
            </w:r>
            <w:r>
              <w:rPr>
                <w:rFonts w:hint="eastAsia" w:ascii="Times New Roman" w:hAnsi="Times New Roman" w:eastAsia="仿宋"/>
                <w:color w:val="auto"/>
                <w:sz w:val="24"/>
                <w:highlight w:val="none"/>
                <w:lang w:eastAsia="zh-CN"/>
              </w:rPr>
              <w:t>细颗粒物（</w:t>
            </w:r>
            <w:r>
              <w:rPr>
                <w:rFonts w:hint="default" w:ascii="Times New Roman" w:hAnsi="Times New Roman" w:eastAsia="仿宋" w:cs="Times New Roman"/>
                <w:color w:val="auto"/>
                <w:sz w:val="24"/>
                <w:highlight w:val="none"/>
              </w:rPr>
              <w:t>PM</w:t>
            </w:r>
            <w:r>
              <w:rPr>
                <w:rFonts w:hint="default" w:ascii="Times New Roman" w:hAnsi="Times New Roman" w:eastAsia="仿宋" w:cs="Times New Roman"/>
                <w:color w:val="auto"/>
                <w:sz w:val="24"/>
                <w:highlight w:val="none"/>
                <w:vertAlign w:val="subscript"/>
              </w:rPr>
              <w:t>2</w:t>
            </w:r>
            <w:r>
              <w:rPr>
                <w:rFonts w:hint="eastAsia" w:ascii="Times New Roman" w:hAnsi="Times New Roman" w:eastAsia="仿宋"/>
                <w:color w:val="auto"/>
                <w:sz w:val="24"/>
                <w:highlight w:val="none"/>
                <w:vertAlign w:val="subscript"/>
              </w:rPr>
              <w:t>.</w:t>
            </w:r>
            <w:r>
              <w:rPr>
                <w:rFonts w:hint="default" w:ascii="Times New Roman" w:hAnsi="Times New Roman" w:eastAsia="仿宋" w:cs="Times New Roman"/>
                <w:color w:val="auto"/>
                <w:sz w:val="24"/>
                <w:highlight w:val="none"/>
                <w:vertAlign w:val="subscript"/>
              </w:rPr>
              <w:t>5</w:t>
            </w:r>
            <w:r>
              <w:rPr>
                <w:rFonts w:hint="eastAsia" w:ascii="Times New Roman" w:hAnsi="Times New Roman" w:eastAsia="仿宋"/>
                <w:color w:val="auto"/>
                <w:sz w:val="24"/>
                <w:highlight w:val="none"/>
                <w:lang w:eastAsia="zh-CN"/>
              </w:rPr>
              <w:t>）</w:t>
            </w:r>
            <w:r>
              <w:rPr>
                <w:rFonts w:ascii="Times New Roman" w:hAnsi="Times New Roman" w:eastAsia="仿宋"/>
                <w:color w:val="auto"/>
                <w:sz w:val="24"/>
                <w:highlight w:val="none"/>
              </w:rPr>
              <w:t>年均</w:t>
            </w:r>
            <w:r>
              <w:rPr>
                <w:rFonts w:hint="eastAsia" w:ascii="Times New Roman" w:hAnsi="Times New Roman" w:eastAsia="仿宋"/>
                <w:color w:val="auto"/>
                <w:sz w:val="24"/>
                <w:highlight w:val="none"/>
              </w:rPr>
              <w:t>浓度</w:t>
            </w:r>
          </w:p>
        </w:tc>
        <w:tc>
          <w:tcPr>
            <w:tcW w:w="998"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eastAsia" w:ascii="Times New Roman" w:hAnsi="Times New Roman" w:eastAsia="仿宋"/>
                <w:color w:val="auto"/>
                <w:w w:val="90"/>
                <w:sz w:val="24"/>
                <w:highlight w:val="none"/>
              </w:rPr>
              <w:t>微克</w:t>
            </w:r>
            <w:r>
              <w:rPr>
                <w:rFonts w:ascii="Times New Roman" w:hAnsi="Times New Roman" w:eastAsia="仿宋"/>
                <w:color w:val="auto"/>
                <w:w w:val="90"/>
                <w:sz w:val="24"/>
                <w:highlight w:val="none"/>
              </w:rPr>
              <w:t>/</w:t>
            </w:r>
            <w:r>
              <w:rPr>
                <w:rFonts w:hint="eastAsia" w:ascii="Times New Roman" w:hAnsi="Times New Roman" w:eastAsia="仿宋"/>
                <w:color w:val="auto"/>
                <w:w w:val="90"/>
                <w:sz w:val="24"/>
                <w:highlight w:val="none"/>
              </w:rPr>
              <w:t>立方米</w:t>
            </w:r>
          </w:p>
        </w:tc>
        <w:tc>
          <w:tcPr>
            <w:tcW w:w="91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default" w:ascii="Times New Roman" w:hAnsi="Times New Roman" w:eastAsia="仿宋" w:cs="Times New Roman"/>
                <w:color w:val="auto"/>
                <w:sz w:val="24"/>
                <w:highlight w:val="none"/>
              </w:rPr>
              <w:t>11</w:t>
            </w:r>
          </w:p>
        </w:tc>
        <w:tc>
          <w:tcPr>
            <w:tcW w:w="1923" w:type="dxa"/>
            <w:gridSpan w:val="2"/>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完成省下达</w:t>
            </w:r>
            <w:r>
              <w:rPr>
                <w:rFonts w:hint="eastAsia" w:ascii="Times New Roman" w:hAnsi="Times New Roman" w:eastAsia="仿宋"/>
                <w:color w:val="auto"/>
                <w:sz w:val="24"/>
                <w:highlight w:val="none"/>
              </w:rPr>
              <w:br w:type="textWrapping"/>
            </w:r>
            <w:r>
              <w:rPr>
                <w:rFonts w:hint="eastAsia" w:ascii="Times New Roman" w:hAnsi="Times New Roman" w:eastAsia="仿宋"/>
                <w:color w:val="auto"/>
                <w:sz w:val="24"/>
                <w:highlight w:val="none"/>
                <w:lang w:eastAsia="zh-CN"/>
              </w:rPr>
              <w:t>任务</w:t>
            </w:r>
          </w:p>
        </w:tc>
        <w:tc>
          <w:tcPr>
            <w:tcW w:w="979"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10" w:type="dxa"/>
            <w:vMerge w:val="continue"/>
            <w:shd w:val="clear" w:color="auto" w:fill="E7E6E6"/>
            <w:vAlign w:val="center"/>
          </w:tcPr>
          <w:p>
            <w:pPr>
              <w:pageBreakBefore w:val="0"/>
              <w:shd w:val="clear"/>
              <w:kinsoku/>
              <w:wordWrap/>
              <w:overflowPunct/>
              <w:topLinePunct w:val="0"/>
              <w:bidi w:val="0"/>
              <w:adjustRightInd w:val="0"/>
              <w:snapToGrid w:val="0"/>
              <w:spacing w:beforeLines="0" w:afterLines="0" w:line="240" w:lineRule="atLeast"/>
              <w:textAlignment w:val="auto"/>
              <w:rPr>
                <w:rFonts w:ascii="Times New Roman" w:hAnsi="Times New Roman" w:eastAsia="仿宋"/>
                <w:b/>
                <w:bCs/>
                <w:color w:val="auto"/>
                <w:sz w:val="24"/>
                <w:highlight w:val="none"/>
              </w:rPr>
            </w:pPr>
          </w:p>
        </w:tc>
        <w:tc>
          <w:tcPr>
            <w:tcW w:w="343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default" w:ascii="Times New Roman" w:hAnsi="Times New Roman" w:eastAsia="仿宋" w:cs="Times New Roman"/>
                <w:color w:val="auto"/>
                <w:sz w:val="24"/>
                <w:highlight w:val="none"/>
              </w:rPr>
              <w:t>2</w:t>
            </w:r>
            <w:r>
              <w:rPr>
                <w:rFonts w:hint="default" w:ascii="Times New Roman" w:hAnsi="Times New Roman" w:eastAsia="仿宋" w:cs="Times New Roman"/>
                <w:color w:val="auto"/>
                <w:sz w:val="24"/>
                <w:highlight w:val="none"/>
                <w:lang w:val="en-US" w:eastAsia="zh-CN"/>
              </w:rPr>
              <w:t>1</w:t>
            </w:r>
            <w:r>
              <w:rPr>
                <w:rFonts w:hint="eastAsia" w:ascii="Times New Roman" w:hAnsi="Times New Roman" w:eastAsia="仿宋"/>
                <w:color w:val="auto"/>
                <w:sz w:val="24"/>
                <w:highlight w:val="none"/>
              </w:rPr>
              <w:t>.地表水优良水体比例</w:t>
            </w:r>
          </w:p>
        </w:tc>
        <w:tc>
          <w:tcPr>
            <w:tcW w:w="998"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w:t>
            </w:r>
          </w:p>
        </w:tc>
        <w:tc>
          <w:tcPr>
            <w:tcW w:w="91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default" w:ascii="Times New Roman" w:hAnsi="Times New Roman" w:eastAsia="仿宋" w:cs="Times New Roman"/>
                <w:color w:val="auto"/>
                <w:sz w:val="24"/>
                <w:highlight w:val="none"/>
                <w:lang w:val="en"/>
              </w:rPr>
              <w:t>100</w:t>
            </w:r>
          </w:p>
        </w:tc>
        <w:tc>
          <w:tcPr>
            <w:tcW w:w="860"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default" w:ascii="Times New Roman" w:hAnsi="Times New Roman" w:eastAsia="仿宋" w:cs="Times New Roman"/>
                <w:color w:val="auto"/>
                <w:sz w:val="24"/>
                <w:highlight w:val="none"/>
                <w:lang w:val="en"/>
              </w:rPr>
              <w:t>100</w:t>
            </w:r>
          </w:p>
        </w:tc>
        <w:tc>
          <w:tcPr>
            <w:tcW w:w="1063"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w:t>
            </w:r>
          </w:p>
        </w:tc>
        <w:tc>
          <w:tcPr>
            <w:tcW w:w="979"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jc w:val="center"/>
        </w:trPr>
        <w:tc>
          <w:tcPr>
            <w:tcW w:w="710" w:type="dxa"/>
            <w:vMerge w:val="continue"/>
            <w:shd w:val="clear" w:color="auto" w:fill="E7E6E6"/>
            <w:vAlign w:val="center"/>
          </w:tcPr>
          <w:p>
            <w:pPr>
              <w:pageBreakBefore w:val="0"/>
              <w:shd w:val="clear"/>
              <w:kinsoku/>
              <w:wordWrap/>
              <w:overflowPunct/>
              <w:topLinePunct w:val="0"/>
              <w:bidi w:val="0"/>
              <w:adjustRightInd w:val="0"/>
              <w:snapToGrid w:val="0"/>
              <w:spacing w:beforeLines="0" w:afterLines="0" w:line="240" w:lineRule="atLeast"/>
              <w:textAlignment w:val="auto"/>
              <w:rPr>
                <w:rFonts w:ascii="Times New Roman" w:hAnsi="Times New Roman" w:eastAsia="仿宋"/>
                <w:b/>
                <w:bCs/>
                <w:color w:val="auto"/>
                <w:sz w:val="24"/>
                <w:highlight w:val="none"/>
              </w:rPr>
            </w:pPr>
          </w:p>
        </w:tc>
        <w:tc>
          <w:tcPr>
            <w:tcW w:w="343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hint="eastAsia" w:ascii="Times New Roman" w:hAnsi="Times New Roman" w:eastAsia="仿宋"/>
                <w:color w:val="auto"/>
                <w:sz w:val="24"/>
                <w:highlight w:val="none"/>
                <w:lang w:val="en" w:eastAsia="zh-CN"/>
              </w:rPr>
            </w:pPr>
            <w:r>
              <w:rPr>
                <w:rFonts w:hint="default" w:ascii="Times New Roman" w:hAnsi="Times New Roman" w:eastAsia="仿宋" w:cs="Times New Roman"/>
                <w:color w:val="auto"/>
                <w:sz w:val="24"/>
                <w:highlight w:val="none"/>
              </w:rPr>
              <w:t>2</w:t>
            </w:r>
            <w:r>
              <w:rPr>
                <w:rFonts w:hint="default" w:ascii="Times New Roman" w:hAnsi="Times New Roman" w:eastAsia="仿宋" w:cs="Times New Roman"/>
                <w:color w:val="auto"/>
                <w:sz w:val="24"/>
                <w:highlight w:val="none"/>
                <w:lang w:val="en-US" w:eastAsia="zh-CN"/>
              </w:rPr>
              <w:t>2</w:t>
            </w:r>
            <w:r>
              <w:rPr>
                <w:rFonts w:hint="eastAsia" w:ascii="Times New Roman" w:hAnsi="Times New Roman" w:eastAsia="仿宋"/>
                <w:color w:val="auto"/>
                <w:sz w:val="24"/>
                <w:highlight w:val="none"/>
              </w:rPr>
              <w:t>.森林</w:t>
            </w:r>
            <w:r>
              <w:rPr>
                <w:rFonts w:hint="eastAsia" w:ascii="Times New Roman" w:hAnsi="Times New Roman" w:eastAsia="仿宋"/>
                <w:color w:val="auto"/>
                <w:sz w:val="24"/>
                <w:highlight w:val="none"/>
                <w:lang w:val="en-US" w:eastAsia="zh-CN"/>
              </w:rPr>
              <w:t>覆盖率</w:t>
            </w:r>
          </w:p>
        </w:tc>
        <w:tc>
          <w:tcPr>
            <w:tcW w:w="998"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eastAsia" w:ascii="Times New Roman" w:hAnsi="Times New Roman" w:eastAsia="仿宋"/>
                <w:color w:val="auto"/>
                <w:sz w:val="24"/>
                <w:highlight w:val="none"/>
                <w:lang w:eastAsia="zh-CN"/>
              </w:rPr>
            </w:pPr>
            <w:r>
              <w:rPr>
                <w:rFonts w:hint="eastAsia" w:ascii="Times New Roman" w:hAnsi="Times New Roman" w:eastAsia="仿宋"/>
                <w:color w:val="auto"/>
                <w:sz w:val="24"/>
                <w:highlight w:val="none"/>
                <w:lang w:val="en-US" w:eastAsia="zh-CN"/>
              </w:rPr>
              <w:t>%</w:t>
            </w:r>
          </w:p>
        </w:tc>
        <w:tc>
          <w:tcPr>
            <w:tcW w:w="911"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default" w:ascii="Times New Roman" w:hAnsi="Times New Roman" w:eastAsia="仿宋"/>
                <w:color w:val="auto"/>
                <w:sz w:val="24"/>
                <w:highlight w:val="none"/>
                <w:lang w:val="en-US" w:eastAsia="zh-CN"/>
              </w:rPr>
            </w:pPr>
            <w:r>
              <w:rPr>
                <w:rFonts w:hint="eastAsia" w:ascii="Times New Roman" w:hAnsi="Times New Roman" w:eastAsia="仿宋"/>
                <w:color w:val="auto"/>
                <w:sz w:val="24"/>
                <w:highlight w:val="none"/>
                <w:lang w:val="en-US" w:eastAsia="zh-CN"/>
              </w:rPr>
              <w:t>70.1</w:t>
            </w:r>
          </w:p>
        </w:tc>
        <w:tc>
          <w:tcPr>
            <w:tcW w:w="860"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default" w:ascii="Times New Roman" w:hAnsi="Times New Roman" w:eastAsia="仿宋"/>
                <w:color w:val="auto"/>
                <w:sz w:val="24"/>
                <w:highlight w:val="none"/>
                <w:lang w:val="en-US" w:eastAsia="zh-CN"/>
              </w:rPr>
            </w:pPr>
            <w:r>
              <w:rPr>
                <w:rFonts w:hint="eastAsia" w:ascii="东文宋体" w:hAnsi="东文宋体" w:eastAsia="东文宋体" w:cs="东文宋体"/>
                <w:color w:val="auto"/>
                <w:sz w:val="24"/>
                <w:highlight w:val="none"/>
                <w:lang w:val="en-US" w:eastAsia="zh-CN"/>
              </w:rPr>
              <w:t>≥</w:t>
            </w:r>
            <w:r>
              <w:rPr>
                <w:rFonts w:hint="eastAsia" w:ascii="Times New Roman" w:hAnsi="Times New Roman" w:eastAsia="仿宋"/>
                <w:color w:val="auto"/>
                <w:sz w:val="24"/>
                <w:highlight w:val="none"/>
                <w:lang w:val="en-US" w:eastAsia="zh-CN"/>
              </w:rPr>
              <w:t>70.1</w:t>
            </w:r>
          </w:p>
        </w:tc>
        <w:tc>
          <w:tcPr>
            <w:tcW w:w="1063"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eastAsia" w:ascii="Times New Roman" w:hAnsi="Times New Roman" w:eastAsia="仿宋"/>
                <w:color w:val="auto"/>
                <w:sz w:val="24"/>
                <w:highlight w:val="none"/>
              </w:rPr>
            </w:pPr>
            <w:r>
              <w:rPr>
                <w:rFonts w:hint="eastAsia" w:ascii="Times New Roman" w:hAnsi="Times New Roman" w:eastAsia="仿宋"/>
                <w:color w:val="auto"/>
                <w:sz w:val="24"/>
                <w:highlight w:val="none"/>
              </w:rPr>
              <w:t>/</w:t>
            </w:r>
          </w:p>
        </w:tc>
        <w:tc>
          <w:tcPr>
            <w:tcW w:w="979" w:type="dxa"/>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10" w:type="dxa"/>
            <w:shd w:val="clear" w:color="auto" w:fill="E7E6E6"/>
            <w:vAlign w:val="center"/>
          </w:tcPr>
          <w:p>
            <w:pPr>
              <w:pageBreakBefore w:val="0"/>
              <w:shd w:val="clear"/>
              <w:kinsoku/>
              <w:wordWrap/>
              <w:overflowPunct/>
              <w:topLinePunct w:val="0"/>
              <w:bidi w:val="0"/>
              <w:adjustRightInd w:val="0"/>
              <w:snapToGrid w:val="0"/>
              <w:spacing w:beforeLines="0" w:afterLines="0" w:line="240" w:lineRule="atLeast"/>
              <w:textAlignment w:val="auto"/>
              <w:rPr>
                <w:rFonts w:ascii="Times New Roman" w:hAnsi="Times New Roman" w:eastAsia="仿宋"/>
                <w:b/>
                <w:bCs/>
                <w:color w:val="auto"/>
                <w:sz w:val="24"/>
                <w:highlight w:val="none"/>
              </w:rPr>
            </w:pPr>
            <w:r>
              <w:rPr>
                <w:rFonts w:hint="eastAsia" w:ascii="Times New Roman" w:hAnsi="Times New Roman" w:eastAsia="仿宋"/>
                <w:b/>
                <w:bCs/>
                <w:color w:val="auto"/>
                <w:sz w:val="24"/>
                <w:highlight w:val="none"/>
              </w:rPr>
              <w:t>安全保障</w:t>
            </w:r>
          </w:p>
        </w:tc>
        <w:tc>
          <w:tcPr>
            <w:tcW w:w="3431" w:type="dxa"/>
            <w:shd w:val="clear" w:color="auto" w:fill="auto"/>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default" w:ascii="Times New Roman" w:hAnsi="Times New Roman" w:eastAsia="仿宋" w:cs="Times New Roman"/>
                <w:color w:val="auto"/>
                <w:sz w:val="24"/>
                <w:highlight w:val="none"/>
              </w:rPr>
              <w:t>2</w:t>
            </w:r>
            <w:r>
              <w:rPr>
                <w:rFonts w:hint="eastAsia" w:ascii="Times New Roman" w:hAnsi="Times New Roman" w:eastAsia="仿宋" w:cs="Times New Roman"/>
                <w:color w:val="auto"/>
                <w:sz w:val="24"/>
                <w:highlight w:val="none"/>
                <w:lang w:val="en-US" w:eastAsia="zh-CN"/>
              </w:rPr>
              <w:t>3</w:t>
            </w:r>
            <w:r>
              <w:rPr>
                <w:rFonts w:hint="eastAsia" w:ascii="Times New Roman" w:hAnsi="Times New Roman" w:eastAsia="仿宋"/>
                <w:color w:val="auto"/>
                <w:sz w:val="24"/>
                <w:highlight w:val="none"/>
              </w:rPr>
              <w:t>.</w:t>
            </w:r>
            <w:r>
              <w:rPr>
                <w:rFonts w:hint="eastAsia" w:ascii="Times New Roman" w:hAnsi="Times New Roman" w:eastAsia="仿宋"/>
                <w:color w:val="auto"/>
                <w:sz w:val="24"/>
                <w:highlight w:val="none"/>
                <w:lang w:eastAsia="zh-CN"/>
              </w:rPr>
              <w:t>粮食</w:t>
            </w:r>
            <w:r>
              <w:rPr>
                <w:rFonts w:hint="eastAsia" w:ascii="Times New Roman" w:hAnsi="Times New Roman" w:eastAsia="仿宋"/>
                <w:color w:val="auto"/>
                <w:sz w:val="24"/>
                <w:highlight w:val="none"/>
              </w:rPr>
              <w:t>综合生产能力</w:t>
            </w:r>
          </w:p>
        </w:tc>
        <w:tc>
          <w:tcPr>
            <w:tcW w:w="998" w:type="dxa"/>
            <w:shd w:val="clear" w:color="auto" w:fill="auto"/>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万吨</w:t>
            </w:r>
          </w:p>
        </w:tc>
        <w:tc>
          <w:tcPr>
            <w:tcW w:w="911" w:type="dxa"/>
            <w:shd w:val="clear" w:color="auto" w:fill="auto"/>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hint="default" w:ascii="Times New Roman" w:hAnsi="Times New Roman" w:eastAsia="仿宋"/>
                <w:color w:val="auto"/>
                <w:sz w:val="24"/>
                <w:highlight w:val="none"/>
                <w:lang w:val="en-US" w:eastAsia="zh-CN"/>
              </w:rPr>
            </w:pPr>
            <w:r>
              <w:rPr>
                <w:rFonts w:hint="eastAsia" w:ascii="Times New Roman" w:hAnsi="Times New Roman" w:eastAsia="仿宋" w:cs="Times New Roman"/>
                <w:color w:val="auto"/>
                <w:sz w:val="24"/>
                <w:highlight w:val="none"/>
                <w:lang w:val="en-US" w:eastAsia="zh-CN"/>
              </w:rPr>
              <w:t>3.1</w:t>
            </w:r>
          </w:p>
        </w:tc>
        <w:tc>
          <w:tcPr>
            <w:tcW w:w="1923" w:type="dxa"/>
            <w:gridSpan w:val="2"/>
            <w:shd w:val="clear" w:color="auto" w:fill="auto"/>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jc w:val="center"/>
              <w:textAlignment w:val="auto"/>
              <w:rPr>
                <w:rFonts w:ascii="Times New Roman" w:hAnsi="Times New Roman" w:eastAsia="仿宋"/>
                <w:color w:val="auto"/>
                <w:sz w:val="24"/>
                <w:highlight w:val="none"/>
              </w:rPr>
            </w:pPr>
            <w:r>
              <w:rPr>
                <w:rFonts w:hint="eastAsia" w:ascii="Times New Roman" w:hAnsi="Times New Roman" w:eastAsia="仿宋" w:cs="Times New Roman"/>
                <w:color w:val="auto"/>
                <w:sz w:val="24"/>
                <w:highlight w:val="none"/>
                <w:lang w:val="en-US" w:eastAsia="zh-CN"/>
              </w:rPr>
              <w:t>完成省下达</w:t>
            </w:r>
            <w:r>
              <w:rPr>
                <w:rFonts w:hint="eastAsia" w:ascii="Times New Roman" w:hAnsi="Times New Roman" w:eastAsia="仿宋" w:cs="Times New Roman"/>
                <w:color w:val="auto"/>
                <w:sz w:val="24"/>
                <w:highlight w:val="none"/>
                <w:lang w:val="en-US" w:eastAsia="zh-CN"/>
              </w:rPr>
              <w:br w:type="textWrapping"/>
            </w:r>
            <w:r>
              <w:rPr>
                <w:rFonts w:hint="eastAsia" w:ascii="Times New Roman" w:hAnsi="Times New Roman" w:eastAsia="仿宋" w:cs="Times New Roman"/>
                <w:color w:val="auto"/>
                <w:sz w:val="24"/>
                <w:highlight w:val="none"/>
                <w:lang w:val="en-US" w:eastAsia="zh-CN"/>
              </w:rPr>
              <w:t>任务</w:t>
            </w:r>
          </w:p>
        </w:tc>
        <w:tc>
          <w:tcPr>
            <w:tcW w:w="979" w:type="dxa"/>
            <w:shd w:val="clear" w:color="auto" w:fill="auto"/>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ascii="Times New Roman" w:hAnsi="Times New Roman" w:eastAsia="仿宋"/>
                <w:color w:val="auto"/>
                <w:sz w:val="24"/>
                <w:highlight w:val="none"/>
              </w:rPr>
            </w:pPr>
            <w:r>
              <w:rPr>
                <w:rFonts w:hint="eastAsia" w:ascii="Times New Roman" w:hAnsi="Times New Roman" w:eastAsia="仿宋"/>
                <w:color w:val="auto"/>
                <w:sz w:val="24"/>
                <w:highlight w:val="none"/>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8952" w:type="dxa"/>
            <w:gridSpan w:val="7"/>
            <w:shd w:val="clear" w:color="auto" w:fill="auto"/>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240" w:lineRule="atLeast"/>
              <w:textAlignment w:val="auto"/>
              <w:rPr>
                <w:rFonts w:hint="eastAsia" w:ascii="Times New Roman" w:hAnsi="Times New Roman" w:eastAsia="仿宋"/>
                <w:color w:val="auto"/>
                <w:sz w:val="24"/>
                <w:highlight w:val="none"/>
                <w:lang w:eastAsia="zh-CN"/>
              </w:rPr>
            </w:pPr>
            <w:r>
              <w:rPr>
                <w:rFonts w:hint="eastAsia" w:ascii="Times New Roman" w:hAnsi="Times New Roman" w:eastAsia="仿宋"/>
                <w:color w:val="auto"/>
                <w:sz w:val="24"/>
                <w:highlight w:val="none"/>
                <w:lang w:eastAsia="zh-CN"/>
              </w:rPr>
              <w:t>注：</w:t>
            </w:r>
            <w:r>
              <w:rPr>
                <w:rFonts w:hint="eastAsia" w:ascii="仿宋" w:hAnsi="仿宋" w:eastAsia="仿宋" w:cs="仿宋"/>
                <w:sz w:val="21"/>
                <w:szCs w:val="21"/>
                <w:highlight w:val="none"/>
                <w:shd w:val="clear" w:color="auto" w:fill="FFFFFF"/>
                <w:lang w:val="en-US" w:eastAsia="zh-CN"/>
              </w:rPr>
              <w:t>〔〕内为5年累计数。</w:t>
            </w:r>
          </w:p>
        </w:tc>
      </w:tr>
      <w:bookmarkEnd w:id="108"/>
      <w:bookmarkEnd w:id="109"/>
      <w:bookmarkEnd w:id="110"/>
    </w:tbl>
    <w:p>
      <w:pPr>
        <w:pStyle w:val="3"/>
        <w:pageBreakBefore w:val="0"/>
        <w:widowControl w:val="0"/>
        <w:shd w:val="clear"/>
        <w:kinsoku/>
        <w:wordWrap/>
        <w:overflowPunct/>
        <w:topLinePunct w:val="0"/>
        <w:autoSpaceDE/>
        <w:autoSpaceDN/>
        <w:bidi w:val="0"/>
        <w:adjustRightInd w:val="0"/>
        <w:snapToGrid w:val="0"/>
        <w:jc w:val="both"/>
        <w:textAlignment w:val="auto"/>
        <w:rPr>
          <w:rFonts w:hint="eastAsia"/>
          <w:color w:val="auto"/>
          <w:highlight w:val="none"/>
        </w:rPr>
      </w:pPr>
      <w:bookmarkStart w:id="111" w:name="_Toc28062"/>
      <w:bookmarkStart w:id="112" w:name="_Toc211979410"/>
      <w:bookmarkStart w:id="113" w:name="_Toc1848501390"/>
      <w:bookmarkStart w:id="114" w:name="_Toc213447234"/>
      <w:bookmarkStart w:id="115" w:name="_Toc840212674"/>
      <w:bookmarkStart w:id="116" w:name="_Toc991714158"/>
      <w:bookmarkStart w:id="117" w:name="_Toc1897051251"/>
      <w:bookmarkStart w:id="118" w:name="_Toc2126051572"/>
      <w:bookmarkStart w:id="119" w:name="_Toc734825930"/>
      <w:bookmarkStart w:id="120" w:name="_Toc1232096857"/>
      <w:bookmarkStart w:id="121" w:name="_Toc454235944"/>
      <w:bookmarkStart w:id="122" w:name="_Toc200982546"/>
      <w:bookmarkStart w:id="123" w:name="_Toc2144374431"/>
      <w:bookmarkStart w:id="124" w:name="_Hlk205817298"/>
      <w:bookmarkStart w:id="125" w:name="_Toc1655117352"/>
      <w:bookmarkStart w:id="126" w:name="_Toc886673829"/>
      <w:bookmarkStart w:id="127" w:name="_Toc362487320"/>
      <w:bookmarkStart w:id="128" w:name="_Toc30806"/>
      <w:bookmarkStart w:id="129" w:name="_Toc830899297"/>
    </w:p>
    <w:p>
      <w:pPr>
        <w:pStyle w:val="3"/>
        <w:pageBreakBefore w:val="0"/>
        <w:widowControl w:val="0"/>
        <w:shd w:val="clear"/>
        <w:kinsoku/>
        <w:wordWrap/>
        <w:overflowPunct/>
        <w:topLinePunct w:val="0"/>
        <w:autoSpaceDE/>
        <w:autoSpaceDN/>
        <w:bidi w:val="0"/>
        <w:adjustRightInd w:val="0"/>
        <w:snapToGrid w:val="0"/>
        <w:jc w:val="center"/>
        <w:textAlignment w:val="auto"/>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sz w:val="40"/>
          <w:szCs w:val="40"/>
          <w:highlight w:val="none"/>
        </w:rPr>
        <w:t>第二章  打造中国特色自由贸易港标杆</w:t>
      </w:r>
      <w:bookmarkEnd w:id="111"/>
      <w:bookmarkEnd w:id="112"/>
      <w:bookmarkEnd w:id="113"/>
      <w:bookmarkEnd w:id="114"/>
      <w:bookmarkEnd w:id="115"/>
      <w:bookmarkEnd w:id="116"/>
      <w:bookmarkEnd w:id="117"/>
      <w:bookmarkEnd w:id="118"/>
      <w:bookmarkEnd w:id="119"/>
      <w:bookmarkEnd w:id="120"/>
      <w:bookmarkEnd w:id="121"/>
    </w:p>
    <w:bookmarkEnd w:id="122"/>
    <w:bookmarkEnd w:id="123"/>
    <w:bookmarkEnd w:id="124"/>
    <w:bookmarkEnd w:id="125"/>
    <w:bookmarkEnd w:id="126"/>
    <w:bookmarkEnd w:id="127"/>
    <w:bookmarkEnd w:id="128"/>
    <w:bookmarkEnd w:id="129"/>
    <w:p>
      <w:pPr>
        <w:pStyle w:val="31"/>
        <w:pageBreakBefore w:val="0"/>
        <w:widowControl w:val="0"/>
        <w:kinsoku/>
        <w:wordWrap/>
        <w:overflowPunct/>
        <w:topLinePunct w:val="0"/>
        <w:autoSpaceDE/>
        <w:autoSpaceDN/>
        <w:bidi w:val="0"/>
        <w:adjustRightInd w:val="0"/>
        <w:snapToGrid w:val="0"/>
        <w:textAlignment w:val="auto"/>
        <w:rPr>
          <w:rFonts w:hint="eastAsia"/>
          <w:color w:val="auto"/>
          <w:highlight w:val="none"/>
        </w:rPr>
      </w:pPr>
    </w:p>
    <w:p>
      <w:pPr>
        <w:pStyle w:val="31"/>
        <w:pageBreakBefore w:val="0"/>
        <w:widowControl w:val="0"/>
        <w:kinsoku/>
        <w:wordWrap/>
        <w:overflowPunct/>
        <w:topLinePunct w:val="0"/>
        <w:autoSpaceDE/>
        <w:autoSpaceDN/>
        <w:bidi w:val="0"/>
        <w:adjustRightInd w:val="0"/>
        <w:snapToGrid w:val="0"/>
        <w:textAlignment w:val="auto"/>
        <w:rPr>
          <w:rFonts w:hint="eastAsia"/>
          <w:color w:val="auto"/>
          <w:highlight w:val="none"/>
        </w:rPr>
      </w:pP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color w:val="auto"/>
          <w:sz w:val="32"/>
          <w:szCs w:val="32"/>
          <w:highlight w:val="none"/>
        </w:rPr>
        <w:t>锚定“把海南自由贸易港打造成为引领我国新时代对外开放的重要门户”战略目标不动摇，全面实施自由贸易港法规、政策和制度，更加积极主动推动各领域改革开放，努力在高标准建设海南自由贸易港中树标杆。</w:t>
      </w:r>
    </w:p>
    <w:p>
      <w:pPr>
        <w:pStyle w:val="4"/>
        <w:keepNext w:val="0"/>
        <w:keepLines w:val="0"/>
        <w:pageBreakBefore w:val="0"/>
        <w:widowControl w:val="0"/>
        <w:shd w:val="clear"/>
        <w:kinsoku/>
        <w:wordWrap/>
        <w:overflowPunct/>
        <w:topLinePunct w:val="0"/>
        <w:autoSpaceDE/>
        <w:autoSpaceDN/>
        <w:bidi w:val="0"/>
        <w:adjustRightInd w:val="0"/>
        <w:snapToGrid w:val="0"/>
        <w:spacing w:line="576" w:lineRule="exact"/>
        <w:ind w:left="0" w:leftChars="0" w:firstLine="0" w:firstLineChars="0"/>
        <w:textAlignment w:val="auto"/>
        <w:rPr>
          <w:rFonts w:hint="eastAsia"/>
          <w:color w:val="auto"/>
          <w:sz w:val="32"/>
          <w:szCs w:val="32"/>
          <w:highlight w:val="none"/>
        </w:rPr>
      </w:pPr>
      <w:bookmarkStart w:id="130" w:name="_Toc914395455"/>
      <w:bookmarkStart w:id="131" w:name="_Toc2081281303"/>
      <w:bookmarkStart w:id="132" w:name="_Toc213447235"/>
      <w:bookmarkStart w:id="133" w:name="_Toc553467090"/>
      <w:bookmarkStart w:id="134" w:name="_Toc1079457503"/>
      <w:bookmarkStart w:id="135" w:name="_Toc1166148122"/>
      <w:bookmarkStart w:id="136" w:name="_Toc946389447"/>
      <w:bookmarkStart w:id="137" w:name="_Toc1549695768"/>
      <w:bookmarkStart w:id="138" w:name="_Toc96361994"/>
      <w:bookmarkStart w:id="139" w:name="_Toc827906402"/>
      <w:bookmarkStart w:id="140" w:name="_Toc3694"/>
    </w:p>
    <w:p>
      <w:pPr>
        <w:pStyle w:val="4"/>
        <w:keepNext w:val="0"/>
        <w:keepLines w:val="0"/>
        <w:pageBreakBefore w:val="0"/>
        <w:widowControl w:val="0"/>
        <w:shd w:val="clear"/>
        <w:kinsoku/>
        <w:wordWrap/>
        <w:overflowPunct/>
        <w:topLinePunct w:val="0"/>
        <w:autoSpaceDE/>
        <w:autoSpaceDN/>
        <w:bidi w:val="0"/>
        <w:adjustRightInd w:val="0"/>
        <w:snapToGrid w:val="0"/>
        <w:spacing w:line="576" w:lineRule="exact"/>
        <w:ind w:left="0" w:leftChars="0" w:firstLine="0" w:firstLineChars="0"/>
        <w:jc w:val="center"/>
        <w:textAlignment w:val="auto"/>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2"/>
          <w:szCs w:val="32"/>
          <w:highlight w:val="none"/>
        </w:rPr>
        <w:t>第一节  扎实有序推进自贸港</w:t>
      </w:r>
      <w:bookmarkEnd w:id="130"/>
      <w:bookmarkEnd w:id="131"/>
      <w:bookmarkEnd w:id="132"/>
      <w:bookmarkEnd w:id="133"/>
      <w:bookmarkEnd w:id="134"/>
      <w:bookmarkEnd w:id="135"/>
      <w:r>
        <w:rPr>
          <w:rFonts w:hint="eastAsia" w:ascii="黑体" w:hAnsi="黑体" w:eastAsia="黑体" w:cs="黑体"/>
          <w:b w:val="0"/>
          <w:bCs/>
          <w:color w:val="auto"/>
          <w:sz w:val="32"/>
          <w:szCs w:val="32"/>
          <w:highlight w:val="none"/>
          <w:lang w:eastAsia="zh-CN"/>
        </w:rPr>
        <w:t>建设</w:t>
      </w:r>
      <w:bookmarkEnd w:id="136"/>
      <w:bookmarkEnd w:id="137"/>
      <w:bookmarkEnd w:id="138"/>
      <w:bookmarkEnd w:id="139"/>
      <w:bookmarkEnd w:id="140"/>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r>
        <w:rPr>
          <w:rFonts w:hint="eastAsia"/>
          <w:b/>
          <w:bCs/>
          <w:color w:val="auto"/>
          <w:sz w:val="32"/>
          <w:szCs w:val="32"/>
          <w:highlight w:val="none"/>
        </w:rPr>
        <w:t>全力保障封关运作平稳有序。</w:t>
      </w:r>
      <w:r>
        <w:rPr>
          <w:rFonts w:hint="eastAsia"/>
          <w:color w:val="auto"/>
          <w:sz w:val="32"/>
          <w:szCs w:val="32"/>
          <w:highlight w:val="none"/>
          <w:lang w:eastAsia="zh-CN"/>
        </w:rPr>
        <w:t>优化</w:t>
      </w:r>
      <w:r>
        <w:rPr>
          <w:rFonts w:hint="eastAsia"/>
          <w:color w:val="auto"/>
          <w:sz w:val="32"/>
          <w:szCs w:val="32"/>
          <w:highlight w:val="none"/>
        </w:rPr>
        <w:t>凤凰</w:t>
      </w:r>
      <w:r>
        <w:rPr>
          <w:rFonts w:hint="eastAsia"/>
          <w:color w:val="auto"/>
          <w:sz w:val="32"/>
          <w:szCs w:val="32"/>
          <w:highlight w:val="none"/>
          <w:lang w:eastAsia="zh-CN"/>
        </w:rPr>
        <w:t>国际</w:t>
      </w:r>
      <w:r>
        <w:rPr>
          <w:rFonts w:hint="eastAsia"/>
          <w:color w:val="auto"/>
          <w:sz w:val="32"/>
          <w:szCs w:val="32"/>
          <w:highlight w:val="none"/>
        </w:rPr>
        <w:t>机场、南山港的口岸通关监管流程，提高</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一线</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通关便利化水平，突出</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二线</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智能高效监管，确保既“放得活”又“管得好”。推动口岸跨部门信息共享、监管联动，加快数字化、智能化等先进科技手段应用，提升通关效率。加强与封关运作相配套的政策制度、产业体系、系统平台、管理能力等建设，做好自贸港政策迭代、清单扩容承接准备。</w:t>
      </w: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eastAsia="仿宋_GB2312"/>
          <w:color w:val="auto"/>
          <w:sz w:val="32"/>
          <w:szCs w:val="32"/>
          <w:highlight w:val="none"/>
          <w:lang w:eastAsia="zh-CN"/>
        </w:rPr>
      </w:pPr>
      <w:r>
        <w:rPr>
          <w:rFonts w:hint="eastAsia"/>
          <w:b/>
          <w:bCs/>
          <w:color w:val="auto"/>
          <w:sz w:val="32"/>
          <w:szCs w:val="32"/>
          <w:highlight w:val="none"/>
        </w:rPr>
        <w:t>全面落实</w:t>
      </w:r>
      <w:r>
        <w:rPr>
          <w:b/>
          <w:bCs/>
          <w:color w:val="auto"/>
          <w:sz w:val="32"/>
          <w:szCs w:val="32"/>
          <w:highlight w:val="none"/>
        </w:rPr>
        <w:t>自由贸易港政策制度</w:t>
      </w:r>
      <w:r>
        <w:rPr>
          <w:rFonts w:hint="eastAsia"/>
          <w:b/>
          <w:bCs/>
          <w:color w:val="auto"/>
          <w:sz w:val="32"/>
          <w:szCs w:val="32"/>
          <w:highlight w:val="none"/>
        </w:rPr>
        <w:t>。</w:t>
      </w:r>
      <w:r>
        <w:rPr>
          <w:rFonts w:hint="eastAsia"/>
          <w:color w:val="auto"/>
          <w:sz w:val="32"/>
          <w:szCs w:val="32"/>
          <w:highlight w:val="none"/>
        </w:rPr>
        <w:t>全面落实</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五自由便利一安全有序流动</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开放政策</w:t>
      </w:r>
      <w:r>
        <w:rPr>
          <w:rFonts w:hint="eastAsia"/>
          <w:color w:val="auto"/>
          <w:sz w:val="32"/>
          <w:szCs w:val="32"/>
          <w:highlight w:val="none"/>
          <w:lang w:eastAsia="zh-CN"/>
        </w:rPr>
        <w:t>。</w:t>
      </w:r>
      <w:r>
        <w:rPr>
          <w:rFonts w:hint="eastAsia"/>
          <w:color w:val="auto"/>
          <w:sz w:val="32"/>
          <w:szCs w:val="32"/>
          <w:highlight w:val="none"/>
        </w:rPr>
        <w:t>积极争取《海南自由贸易港禁止、限制进出口货物、物品清单》《海南自由贸易港进口征税商品目录》不断压缩</w:t>
      </w:r>
      <w:r>
        <w:rPr>
          <w:rFonts w:hint="eastAsia"/>
          <w:color w:val="auto"/>
          <w:sz w:val="32"/>
          <w:szCs w:val="32"/>
          <w:highlight w:val="none"/>
          <w:lang w:eastAsia="zh-CN"/>
        </w:rPr>
        <w:t>。加快场景培育和开放力度，推动新场景应用。</w:t>
      </w:r>
      <w:r>
        <w:rPr>
          <w:rFonts w:hint="eastAsia"/>
          <w:color w:val="auto"/>
          <w:sz w:val="32"/>
          <w:szCs w:val="32"/>
          <w:highlight w:val="none"/>
        </w:rPr>
        <w:t>建立</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标准制</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承诺制</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过程监管</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失信惩治</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的投资制度。</w:t>
      </w:r>
      <w:r>
        <w:rPr>
          <w:rFonts w:hint="eastAsia"/>
          <w:color w:val="auto"/>
          <w:sz w:val="32"/>
          <w:szCs w:val="32"/>
          <w:highlight w:val="none"/>
          <w:lang w:val="en-US" w:eastAsia="zh-CN"/>
        </w:rPr>
        <w:t>深化实施新增境外直接投资所得免征企业所得税政策。</w:t>
      </w:r>
      <w:r>
        <w:rPr>
          <w:rFonts w:hint="eastAsia"/>
          <w:color w:val="auto"/>
          <w:sz w:val="32"/>
          <w:szCs w:val="32"/>
          <w:highlight w:val="none"/>
        </w:rPr>
        <w:t>加强内外资准入政策协调，推动教育、医疗等扩大开放试点。促进跨境资金流动自由便利，探索推动跨境</w:t>
      </w:r>
      <w:r>
        <w:rPr>
          <w:rFonts w:hint="eastAsia"/>
          <w:color w:val="auto"/>
          <w:sz w:val="32"/>
          <w:szCs w:val="32"/>
          <w:highlight w:val="none"/>
          <w:lang w:eastAsia="zh-CN"/>
        </w:rPr>
        <w:t>资产管理</w:t>
      </w:r>
      <w:r>
        <w:rPr>
          <w:rFonts w:hint="eastAsia"/>
          <w:color w:val="auto"/>
          <w:sz w:val="32"/>
          <w:szCs w:val="32"/>
          <w:highlight w:val="none"/>
        </w:rPr>
        <w:t>业务试点等政策落地运用。实施更加便利的出入境管理政策和更加自由开放的航运制度，稳步扩大航权开放，推动实现区域航空枢纽能级跃升。健全数据安全有序流动的制度体系。支持更多企业</w:t>
      </w:r>
      <w:r>
        <w:rPr>
          <w:rFonts w:hint="eastAsia"/>
          <w:color w:val="auto"/>
          <w:sz w:val="32"/>
          <w:szCs w:val="32"/>
          <w:highlight w:val="none"/>
          <w:lang w:val="en-US" w:eastAsia="zh-CN"/>
        </w:rPr>
        <w:t>用足用好</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零关税、低税率、简税制</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和放宽贸易管理措施等制度安排，用好</w:t>
      </w:r>
      <w:r>
        <w:rPr>
          <w:rFonts w:hint="eastAsia"/>
          <w:color w:val="auto"/>
          <w:sz w:val="32"/>
          <w:szCs w:val="32"/>
          <w:highlight w:val="none"/>
        </w:rPr>
        <w:t>岛内居民</w:t>
      </w:r>
      <w:r>
        <w:rPr>
          <w:rFonts w:hint="eastAsia"/>
          <w:color w:val="auto"/>
          <w:sz w:val="32"/>
          <w:szCs w:val="32"/>
          <w:highlight w:val="none"/>
          <w:lang w:eastAsia="zh-CN"/>
        </w:rPr>
        <w:t>日用品</w:t>
      </w:r>
      <w:r>
        <w:rPr>
          <w:rFonts w:hint="eastAsia"/>
          <w:color w:val="auto"/>
          <w:sz w:val="32"/>
          <w:szCs w:val="32"/>
          <w:highlight w:val="none"/>
        </w:rPr>
        <w:t>消费</w:t>
      </w:r>
      <w:r>
        <w:rPr>
          <w:rFonts w:hint="eastAsia"/>
          <w:color w:val="auto"/>
          <w:sz w:val="32"/>
          <w:szCs w:val="32"/>
          <w:highlight w:val="none"/>
          <w:lang w:eastAsia="zh-CN"/>
        </w:rPr>
        <w:t>免税政策</w:t>
      </w:r>
      <w:r>
        <w:rPr>
          <w:rFonts w:hint="eastAsia"/>
          <w:color w:val="auto"/>
          <w:sz w:val="32"/>
          <w:szCs w:val="32"/>
          <w:highlight w:val="none"/>
        </w:rPr>
        <w:t>，增</w:t>
      </w:r>
      <w:r>
        <w:rPr>
          <w:color w:val="auto"/>
          <w:sz w:val="32"/>
          <w:szCs w:val="32"/>
          <w:highlight w:val="none"/>
        </w:rPr>
        <w:t>强</w:t>
      </w:r>
      <w:r>
        <w:rPr>
          <w:rFonts w:hint="eastAsia"/>
          <w:color w:val="auto"/>
          <w:sz w:val="32"/>
          <w:szCs w:val="32"/>
          <w:highlight w:val="none"/>
        </w:rPr>
        <w:t>居民</w:t>
      </w:r>
      <w:r>
        <w:rPr>
          <w:color w:val="auto"/>
          <w:sz w:val="32"/>
          <w:szCs w:val="32"/>
          <w:highlight w:val="none"/>
        </w:rPr>
        <w:t>在自由贸易港建设中</w:t>
      </w:r>
      <w:r>
        <w:rPr>
          <w:rFonts w:hint="eastAsia"/>
          <w:color w:val="auto"/>
          <w:sz w:val="32"/>
          <w:szCs w:val="32"/>
          <w:highlight w:val="none"/>
        </w:rPr>
        <w:t>获得感。扩大加工增值</w:t>
      </w:r>
      <w:r>
        <w:rPr>
          <w:rFonts w:hint="default" w:ascii="Times New Roman" w:hAnsi="Times New Roman" w:cs="Times New Roman"/>
          <w:color w:val="auto"/>
          <w:sz w:val="32"/>
          <w:szCs w:val="32"/>
          <w:highlight w:val="none"/>
        </w:rPr>
        <w:t>30</w:t>
      </w:r>
      <w:r>
        <w:rPr>
          <w:rFonts w:hint="eastAsia"/>
          <w:color w:val="auto"/>
          <w:sz w:val="32"/>
          <w:szCs w:val="32"/>
          <w:highlight w:val="none"/>
        </w:rPr>
        <w:t>%内销免关税等核心政策享惠面，有效落实自贸港</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两个</w:t>
      </w:r>
      <w:r>
        <w:rPr>
          <w:rFonts w:hint="default" w:ascii="Times New Roman" w:hAnsi="Times New Roman" w:cs="Times New Roman"/>
          <w:color w:val="auto"/>
          <w:sz w:val="32"/>
          <w:szCs w:val="32"/>
          <w:highlight w:val="none"/>
        </w:rPr>
        <w:t>15</w:t>
      </w:r>
      <w:r>
        <w:rPr>
          <w:color w:val="auto"/>
          <w:sz w:val="32"/>
          <w:szCs w:val="32"/>
          <w:highlight w:val="none"/>
        </w:rPr>
        <w:t>%</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所得税等优惠政策和相应清单管理。</w:t>
      </w:r>
    </w:p>
    <w:p>
      <w:pPr>
        <w:pStyle w:val="4"/>
        <w:keepNext w:val="0"/>
        <w:keepLines w:val="0"/>
        <w:pageBreakBefore w:val="0"/>
        <w:widowControl w:val="0"/>
        <w:shd w:val="clear"/>
        <w:kinsoku/>
        <w:wordWrap/>
        <w:overflowPunct/>
        <w:topLinePunct w:val="0"/>
        <w:autoSpaceDE/>
        <w:autoSpaceDN/>
        <w:bidi w:val="0"/>
        <w:adjustRightInd w:val="0"/>
        <w:snapToGrid w:val="0"/>
        <w:spacing w:line="576" w:lineRule="exact"/>
        <w:ind w:left="0" w:leftChars="0" w:firstLine="0" w:firstLineChars="0"/>
        <w:textAlignment w:val="auto"/>
        <w:rPr>
          <w:rFonts w:hint="eastAsia" w:ascii="黑体" w:hAnsi="黑体" w:eastAsia="黑体" w:cs="黑体"/>
          <w:b w:val="0"/>
          <w:bCs/>
          <w:color w:val="auto"/>
          <w:sz w:val="32"/>
          <w:szCs w:val="32"/>
          <w:highlight w:val="none"/>
        </w:rPr>
      </w:pPr>
      <w:bookmarkStart w:id="141" w:name="_Toc317962023"/>
      <w:bookmarkStart w:id="142" w:name="_Toc619745598"/>
      <w:bookmarkStart w:id="143" w:name="_Toc31530"/>
      <w:bookmarkStart w:id="144" w:name="_Toc213447236"/>
      <w:bookmarkStart w:id="145" w:name="_Toc557678283"/>
      <w:bookmarkStart w:id="146" w:name="_Toc98728147"/>
      <w:bookmarkStart w:id="147" w:name="_Toc175645323"/>
      <w:bookmarkStart w:id="148" w:name="_Toc1466457938"/>
      <w:bookmarkStart w:id="149" w:name="_Toc1065223199"/>
      <w:bookmarkStart w:id="150" w:name="_Toc1122180363"/>
      <w:bookmarkStart w:id="151" w:name="_Toc436804679"/>
    </w:p>
    <w:p>
      <w:pPr>
        <w:pStyle w:val="4"/>
        <w:keepNext w:val="0"/>
        <w:keepLines w:val="0"/>
        <w:pageBreakBefore w:val="0"/>
        <w:widowControl w:val="0"/>
        <w:shd w:val="clear"/>
        <w:kinsoku/>
        <w:wordWrap/>
        <w:overflowPunct/>
        <w:topLinePunct w:val="0"/>
        <w:autoSpaceDE/>
        <w:autoSpaceDN/>
        <w:bidi w:val="0"/>
        <w:adjustRightInd w:val="0"/>
        <w:snapToGrid w:val="0"/>
        <w:spacing w:line="576"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第二节  构建衔接双循环的开放合作格局</w:t>
      </w:r>
      <w:bookmarkEnd w:id="141"/>
      <w:bookmarkEnd w:id="142"/>
      <w:bookmarkEnd w:id="143"/>
      <w:bookmarkEnd w:id="144"/>
      <w:bookmarkEnd w:id="145"/>
      <w:bookmarkEnd w:id="146"/>
      <w:bookmarkEnd w:id="147"/>
      <w:bookmarkEnd w:id="148"/>
      <w:bookmarkEnd w:id="149"/>
      <w:bookmarkEnd w:id="150"/>
      <w:bookmarkEnd w:id="151"/>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lang w:eastAsia="zh-CN"/>
        </w:rPr>
      </w:pP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r>
        <w:rPr>
          <w:rFonts w:hint="eastAsia"/>
          <w:b/>
          <w:bCs/>
          <w:color w:val="auto"/>
          <w:sz w:val="32"/>
          <w:szCs w:val="32"/>
          <w:highlight w:val="none"/>
          <w:lang w:eastAsia="zh-CN"/>
        </w:rPr>
        <w:t>打造国内国际双循环重要交汇节点</w:t>
      </w:r>
      <w:r>
        <w:rPr>
          <w:rFonts w:hint="eastAsia"/>
          <w:b/>
          <w:bCs/>
          <w:color w:val="auto"/>
          <w:sz w:val="32"/>
          <w:szCs w:val="32"/>
          <w:highlight w:val="none"/>
        </w:rPr>
        <w:t>。</w:t>
      </w:r>
      <w:r>
        <w:rPr>
          <w:rFonts w:hint="eastAsia"/>
          <w:color w:val="auto"/>
          <w:sz w:val="32"/>
          <w:szCs w:val="32"/>
          <w:highlight w:val="none"/>
          <w:lang w:val="en-US" w:eastAsia="zh-CN"/>
        </w:rPr>
        <w:t>围绕服务</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两个基地</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两个枢纽</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两个网络</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建设，构建国内企业出海和国际公司本地化桥头堡。推动率先落地《区域全面经济伙伴关系协定》</w:t>
      </w:r>
      <w:r>
        <w:rPr>
          <w:rFonts w:hint="eastAsia"/>
          <w:color w:val="auto"/>
          <w:sz w:val="32"/>
          <w:szCs w:val="32"/>
          <w:highlight w:val="none"/>
          <w:lang w:eastAsia="zh-CN"/>
        </w:rPr>
        <w:t>（</w:t>
      </w:r>
      <w:r>
        <w:rPr>
          <w:rFonts w:hint="default" w:ascii="Times New Roman" w:hAnsi="Times New Roman" w:cs="Times New Roman"/>
          <w:color w:val="auto"/>
          <w:sz w:val="32"/>
          <w:szCs w:val="32"/>
          <w:highlight w:val="none"/>
          <w:lang w:eastAsia="zh-CN"/>
        </w:rPr>
        <w:t>RCEP</w:t>
      </w:r>
      <w:r>
        <w:rPr>
          <w:rFonts w:hint="eastAsia"/>
          <w:color w:val="auto"/>
          <w:sz w:val="32"/>
          <w:szCs w:val="32"/>
          <w:highlight w:val="none"/>
          <w:lang w:eastAsia="zh-CN"/>
        </w:rPr>
        <w:t>）</w:t>
      </w:r>
      <w:r>
        <w:rPr>
          <w:rFonts w:hint="eastAsia"/>
          <w:color w:val="auto"/>
          <w:sz w:val="32"/>
          <w:szCs w:val="32"/>
          <w:highlight w:val="none"/>
          <w:lang w:val="en-US" w:eastAsia="zh-CN"/>
        </w:rPr>
        <w:t>条款，</w:t>
      </w:r>
      <w:r>
        <w:rPr>
          <w:rFonts w:hint="eastAsia"/>
          <w:color w:val="auto"/>
          <w:sz w:val="32"/>
          <w:szCs w:val="32"/>
          <w:highlight w:val="none"/>
          <w:lang w:eastAsia="zh-CN"/>
        </w:rPr>
        <w:t>主动对接《全面与进步跨太平洋伙伴关系协定》（</w:t>
      </w:r>
      <w:r>
        <w:rPr>
          <w:rFonts w:hint="default" w:ascii="Times New Roman" w:hAnsi="Times New Roman" w:cs="Times New Roman"/>
          <w:color w:val="auto"/>
          <w:sz w:val="32"/>
          <w:szCs w:val="32"/>
          <w:highlight w:val="none"/>
          <w:lang w:val="en-US" w:eastAsia="zh-CN"/>
        </w:rPr>
        <w:t>CPTPP</w:t>
      </w:r>
      <w:r>
        <w:rPr>
          <w:rFonts w:hint="eastAsia"/>
          <w:color w:val="auto"/>
          <w:sz w:val="32"/>
          <w:szCs w:val="32"/>
          <w:highlight w:val="none"/>
          <w:lang w:eastAsia="zh-CN"/>
        </w:rPr>
        <w:t>）、《数字经济伙伴关系协定》（</w:t>
      </w:r>
      <w:r>
        <w:rPr>
          <w:rFonts w:hint="default" w:ascii="Times New Roman" w:hAnsi="Times New Roman" w:cs="Times New Roman"/>
          <w:color w:val="auto"/>
          <w:sz w:val="32"/>
          <w:szCs w:val="32"/>
          <w:highlight w:val="none"/>
          <w:lang w:val="en-US" w:eastAsia="zh-CN"/>
        </w:rPr>
        <w:t>DEPA</w:t>
      </w:r>
      <w:r>
        <w:rPr>
          <w:rFonts w:hint="eastAsia"/>
          <w:color w:val="auto"/>
          <w:sz w:val="32"/>
          <w:szCs w:val="32"/>
          <w:highlight w:val="none"/>
          <w:lang w:eastAsia="zh-CN"/>
        </w:rPr>
        <w:t>）等国际高标准经贸规则，</w:t>
      </w:r>
      <w:r>
        <w:rPr>
          <w:rFonts w:hint="eastAsia"/>
          <w:color w:val="auto"/>
          <w:sz w:val="32"/>
          <w:szCs w:val="32"/>
          <w:highlight w:val="none"/>
        </w:rPr>
        <w:t>稳步扩大制度型开放，加快推进商品和要素流动型开放，在知识产权保护、检验检疫、数据流动、人员往来等领域推动规则、规制、管理、标准相通相容</w:t>
      </w:r>
      <w:r>
        <w:rPr>
          <w:rFonts w:hint="eastAsia"/>
          <w:color w:val="auto"/>
          <w:sz w:val="32"/>
          <w:szCs w:val="32"/>
          <w:highlight w:val="none"/>
          <w:lang w:eastAsia="zh-CN"/>
        </w:rPr>
        <w:t>。</w:t>
      </w:r>
      <w:r>
        <w:rPr>
          <w:rFonts w:hint="eastAsia"/>
          <w:color w:val="auto"/>
          <w:sz w:val="32"/>
          <w:szCs w:val="32"/>
          <w:highlight w:val="none"/>
        </w:rPr>
        <w:t>通过</w:t>
      </w:r>
      <w:r>
        <w:rPr>
          <w:rFonts w:hint="eastAsia"/>
          <w:color w:val="auto"/>
          <w:sz w:val="32"/>
          <w:szCs w:val="32"/>
          <w:highlight w:val="none"/>
          <w:lang w:eastAsia="zh-CN"/>
        </w:rPr>
        <w:t>基金</w:t>
      </w:r>
      <w:r>
        <w:rPr>
          <w:rFonts w:hint="eastAsia"/>
          <w:color w:val="auto"/>
          <w:sz w:val="32"/>
          <w:szCs w:val="32"/>
          <w:highlight w:val="none"/>
        </w:rPr>
        <w:t>引导</w:t>
      </w:r>
      <w:r>
        <w:rPr>
          <w:rFonts w:hint="eastAsia"/>
          <w:color w:val="auto"/>
          <w:sz w:val="32"/>
          <w:szCs w:val="32"/>
          <w:highlight w:val="none"/>
          <w:lang w:eastAsia="zh-CN"/>
        </w:rPr>
        <w:t>产业出海</w:t>
      </w:r>
      <w:r>
        <w:rPr>
          <w:rFonts w:hint="eastAsia"/>
          <w:color w:val="auto"/>
          <w:sz w:val="32"/>
          <w:szCs w:val="32"/>
          <w:highlight w:val="none"/>
        </w:rPr>
        <w:t>、开展全流程政策咨询落地服务等举措，建立中国企业走出去的总部基地。围绕现代农业、深海装备、跨境资金管理、低碳技术等行业，鼓励跨国企业设立区域总部或研发中心，开展面向国际前沿的生产与研发活动。</w:t>
      </w: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r>
        <w:rPr>
          <w:rFonts w:hint="eastAsia"/>
          <w:b/>
          <w:bCs/>
          <w:color w:val="auto"/>
          <w:sz w:val="32"/>
          <w:szCs w:val="32"/>
          <w:highlight w:val="none"/>
          <w:lang w:eastAsia="zh-CN"/>
        </w:rPr>
        <w:t>加强对外交流合作</w:t>
      </w:r>
      <w:r>
        <w:rPr>
          <w:rFonts w:hint="eastAsia"/>
          <w:b/>
          <w:bCs/>
          <w:color w:val="auto"/>
          <w:sz w:val="32"/>
          <w:szCs w:val="32"/>
          <w:highlight w:val="none"/>
        </w:rPr>
        <w:t>。</w:t>
      </w:r>
      <w:r>
        <w:rPr>
          <w:rFonts w:hint="eastAsia"/>
          <w:color w:val="auto"/>
          <w:sz w:val="32"/>
          <w:szCs w:val="32"/>
          <w:highlight w:val="none"/>
          <w:lang w:val="en-US" w:eastAsia="zh-CN"/>
        </w:rPr>
        <w:t>扎实做好外资、外贸、外国人</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三外</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文章，充分释放外商投资准入负面清单、跨境服务贸易负面清单、鼓励外商投资产业目录、鼓励外商投资企业境内再投资等开放政策效应，</w:t>
      </w:r>
      <w:r>
        <w:rPr>
          <w:rFonts w:hint="eastAsia"/>
          <w:color w:val="auto"/>
          <w:sz w:val="32"/>
          <w:szCs w:val="32"/>
          <w:highlight w:val="none"/>
        </w:rPr>
        <w:t>确保外资企业在要素获取、标准制定、准入许可、经营运营、优惠政策等方面享受国民待遇</w:t>
      </w:r>
      <w:r>
        <w:rPr>
          <w:rFonts w:hint="eastAsia"/>
          <w:color w:val="auto"/>
          <w:sz w:val="32"/>
          <w:szCs w:val="32"/>
          <w:highlight w:val="none"/>
          <w:lang w:eastAsia="zh-CN"/>
        </w:rPr>
        <w:t>，落实</w:t>
      </w:r>
      <w:r>
        <w:rPr>
          <w:rFonts w:hint="eastAsia"/>
          <w:color w:val="auto"/>
          <w:sz w:val="32"/>
          <w:szCs w:val="32"/>
          <w:highlight w:val="none"/>
        </w:rPr>
        <w:t>增值电信、教育、医疗、涉外法律服务等领域开放</w:t>
      </w:r>
      <w:r>
        <w:rPr>
          <w:rFonts w:hint="eastAsia"/>
          <w:color w:val="auto"/>
          <w:sz w:val="32"/>
          <w:szCs w:val="32"/>
          <w:highlight w:val="none"/>
          <w:lang w:eastAsia="zh-CN"/>
        </w:rPr>
        <w:t>政策</w:t>
      </w:r>
      <w:r>
        <w:rPr>
          <w:rFonts w:hint="eastAsia"/>
          <w:color w:val="auto"/>
          <w:sz w:val="32"/>
          <w:szCs w:val="32"/>
          <w:highlight w:val="none"/>
        </w:rPr>
        <w:t>。</w:t>
      </w:r>
      <w:r>
        <w:rPr>
          <w:rFonts w:hint="eastAsia"/>
          <w:color w:val="auto"/>
          <w:sz w:val="32"/>
          <w:szCs w:val="32"/>
          <w:highlight w:val="none"/>
          <w:lang w:val="en-US" w:eastAsia="zh-CN"/>
        </w:rPr>
        <w:t>引进落地一批标志性外资项目，积极推动外资重点投向高新技术、高端消费、金融服务、医疗康养等领域</w:t>
      </w:r>
      <w:r>
        <w:rPr>
          <w:rFonts w:hint="eastAsia"/>
          <w:color w:val="auto"/>
          <w:sz w:val="32"/>
          <w:szCs w:val="32"/>
          <w:highlight w:val="none"/>
          <w:lang w:eastAsia="zh-CN"/>
        </w:rPr>
        <w:t>，</w:t>
      </w:r>
      <w:r>
        <w:rPr>
          <w:rFonts w:hint="eastAsia"/>
          <w:color w:val="auto"/>
          <w:sz w:val="32"/>
          <w:szCs w:val="32"/>
          <w:highlight w:val="none"/>
        </w:rPr>
        <w:t>吸引发达经济体人才、技术、设备等高端要素资源</w:t>
      </w:r>
      <w:r>
        <w:rPr>
          <w:rFonts w:hint="eastAsia"/>
          <w:color w:val="auto"/>
          <w:sz w:val="32"/>
          <w:szCs w:val="32"/>
          <w:highlight w:val="none"/>
          <w:lang w:val="en-US" w:eastAsia="zh-CN"/>
        </w:rPr>
        <w:t>，提升经济外向度和国际竞争力。扩展双向投资合作空间，加强同</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一带一路</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沿线国家城市和国际自由贸易区（港）的交流合作及功能对接。</w:t>
      </w: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ascii="Times New Roman" w:hAnsi="Times New Roman" w:eastAsia="仿宋" w:cs="Times New Roman"/>
          <w:color w:val="auto"/>
          <w:sz w:val="32"/>
          <w:szCs w:val="32"/>
          <w:highlight w:val="none"/>
          <w:shd w:val="clear" w:color="auto" w:fill="FFFFFF"/>
        </w:rPr>
      </w:pPr>
      <w:r>
        <w:rPr>
          <w:rFonts w:hint="eastAsia"/>
          <w:b/>
          <w:bCs/>
          <w:color w:val="auto"/>
          <w:sz w:val="32"/>
          <w:szCs w:val="32"/>
          <w:highlight w:val="none"/>
          <w:lang w:val="en-US" w:eastAsia="zh-CN"/>
        </w:rPr>
        <w:t>强化国内跨区域联动发展。</w:t>
      </w:r>
      <w:r>
        <w:rPr>
          <w:rFonts w:hint="eastAsia"/>
          <w:color w:val="auto"/>
          <w:sz w:val="32"/>
          <w:szCs w:val="32"/>
          <w:highlight w:val="none"/>
          <w:lang w:val="en-US" w:eastAsia="zh-CN"/>
        </w:rPr>
        <w:t>加强同粤港澳大湾区联动发展，积极吸引大湾区人才、技术和资本，推动产业、人才等重点领域合作取得可视性成果。深化同京津冀、长三角、长江经济带等区域合作。推进琼港、琼台合作，拓展与福建、北部湾沿海城市等合作交流，创新区域合作新模式，推动重大产业合作项目落地。</w:t>
      </w:r>
    </w:p>
    <w:p>
      <w:pPr>
        <w:pStyle w:val="4"/>
        <w:keepNext w:val="0"/>
        <w:keepLines w:val="0"/>
        <w:pageBreakBefore w:val="0"/>
        <w:widowControl w:val="0"/>
        <w:shd w:val="clear"/>
        <w:kinsoku/>
        <w:wordWrap/>
        <w:overflowPunct/>
        <w:topLinePunct w:val="0"/>
        <w:autoSpaceDE/>
        <w:autoSpaceDN/>
        <w:bidi w:val="0"/>
        <w:adjustRightInd w:val="0"/>
        <w:snapToGrid w:val="0"/>
        <w:spacing w:line="576" w:lineRule="exact"/>
        <w:ind w:left="0" w:leftChars="0" w:firstLine="0" w:firstLineChars="0"/>
        <w:textAlignment w:val="auto"/>
        <w:rPr>
          <w:rFonts w:hint="eastAsia"/>
          <w:b w:val="0"/>
          <w:bCs/>
          <w:color w:val="auto"/>
          <w:sz w:val="32"/>
          <w:szCs w:val="32"/>
          <w:highlight w:val="none"/>
        </w:rPr>
      </w:pPr>
      <w:bookmarkStart w:id="152" w:name="_Toc170314173"/>
      <w:bookmarkStart w:id="153" w:name="_Toc818830001"/>
      <w:bookmarkStart w:id="154" w:name="_Toc1681469587"/>
      <w:bookmarkStart w:id="155" w:name="_Toc107419072"/>
      <w:bookmarkStart w:id="156" w:name="_Toc455757883"/>
      <w:bookmarkStart w:id="157" w:name="_Toc462327682"/>
      <w:bookmarkStart w:id="158" w:name="_Toc213447237"/>
      <w:bookmarkStart w:id="159" w:name="_Toc990936821"/>
      <w:bookmarkStart w:id="160" w:name="_Toc31907"/>
      <w:bookmarkStart w:id="161" w:name="_Toc1897967080"/>
      <w:bookmarkStart w:id="162" w:name="_Toc760387570"/>
    </w:p>
    <w:p>
      <w:pPr>
        <w:pStyle w:val="4"/>
        <w:keepNext w:val="0"/>
        <w:keepLines w:val="0"/>
        <w:pageBreakBefore w:val="0"/>
        <w:widowControl w:val="0"/>
        <w:shd w:val="clear"/>
        <w:kinsoku/>
        <w:wordWrap/>
        <w:overflowPunct/>
        <w:topLinePunct w:val="0"/>
        <w:autoSpaceDE/>
        <w:autoSpaceDN/>
        <w:bidi w:val="0"/>
        <w:adjustRightInd w:val="0"/>
        <w:snapToGrid w:val="0"/>
        <w:spacing w:line="576"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第三节  推动开放型经济量质</w:t>
      </w:r>
      <w:r>
        <w:rPr>
          <w:rFonts w:hint="eastAsia" w:ascii="黑体" w:hAnsi="黑体" w:eastAsia="黑体" w:cs="黑体"/>
          <w:b w:val="0"/>
          <w:bCs/>
          <w:color w:val="auto"/>
          <w:sz w:val="32"/>
          <w:szCs w:val="32"/>
          <w:highlight w:val="none"/>
          <w:lang w:eastAsia="zh-CN"/>
        </w:rPr>
        <w:t>齐</w:t>
      </w:r>
      <w:r>
        <w:rPr>
          <w:rFonts w:hint="eastAsia" w:ascii="黑体" w:hAnsi="黑体" w:eastAsia="黑体" w:cs="黑体"/>
          <w:b w:val="0"/>
          <w:bCs/>
          <w:color w:val="auto"/>
          <w:sz w:val="32"/>
          <w:szCs w:val="32"/>
          <w:highlight w:val="none"/>
        </w:rPr>
        <w:t>升</w:t>
      </w:r>
      <w:bookmarkEnd w:id="152"/>
      <w:bookmarkEnd w:id="153"/>
      <w:bookmarkEnd w:id="154"/>
      <w:bookmarkEnd w:id="155"/>
      <w:bookmarkEnd w:id="156"/>
      <w:bookmarkEnd w:id="157"/>
      <w:bookmarkEnd w:id="158"/>
      <w:bookmarkEnd w:id="159"/>
      <w:bookmarkEnd w:id="160"/>
      <w:bookmarkEnd w:id="161"/>
      <w:bookmarkEnd w:id="162"/>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rPr>
        <w:t>推动货物贸易发展提质升级。</w:t>
      </w:r>
      <w:r>
        <w:rPr>
          <w:rFonts w:hint="eastAsia"/>
          <w:color w:val="auto"/>
          <w:sz w:val="32"/>
          <w:szCs w:val="32"/>
          <w:highlight w:val="none"/>
        </w:rPr>
        <w:t>用好自贸港</w:t>
      </w:r>
      <w:r>
        <w:rPr>
          <w:rFonts w:hint="eastAsia"/>
          <w:color w:val="auto"/>
          <w:sz w:val="32"/>
          <w:szCs w:val="32"/>
          <w:highlight w:val="none"/>
          <w:lang w:eastAsia="zh-CN"/>
        </w:rPr>
        <w:t>政策</w:t>
      </w:r>
      <w:r>
        <w:rPr>
          <w:rFonts w:hint="eastAsia"/>
          <w:color w:val="auto"/>
          <w:sz w:val="32"/>
          <w:szCs w:val="32"/>
          <w:highlight w:val="none"/>
        </w:rPr>
        <w:t>制度，大力培育出口新优势，以共建</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一带一路</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国家尤其是热区国家为重点，</w:t>
      </w:r>
      <w:r>
        <w:rPr>
          <w:color w:val="auto"/>
          <w:sz w:val="32"/>
          <w:szCs w:val="32"/>
          <w:highlight w:val="none"/>
        </w:rPr>
        <w:t>推动</w:t>
      </w:r>
      <w:r>
        <w:rPr>
          <w:rFonts w:hint="eastAsia"/>
          <w:color w:val="auto"/>
          <w:sz w:val="32"/>
          <w:szCs w:val="32"/>
          <w:highlight w:val="none"/>
        </w:rPr>
        <w:t>开展种子种苗贸易，大力引入技术水平先进、带动能力强、出口产品优的先进制造企业。</w:t>
      </w:r>
      <w:r>
        <w:rPr>
          <w:rFonts w:hint="eastAsia"/>
          <w:color w:val="auto"/>
          <w:sz w:val="32"/>
          <w:szCs w:val="32"/>
          <w:highlight w:val="none"/>
          <w:lang w:eastAsia="zh-CN"/>
        </w:rPr>
        <w:t>积极扩大</w:t>
      </w:r>
      <w:r>
        <w:rPr>
          <w:rFonts w:hint="eastAsia"/>
          <w:color w:val="auto"/>
          <w:sz w:val="32"/>
          <w:szCs w:val="32"/>
          <w:highlight w:val="none"/>
        </w:rPr>
        <w:t>本地特色农产品出口业务，发展跨境电商</w:t>
      </w:r>
      <w:r>
        <w:rPr>
          <w:rFonts w:hint="eastAsia"/>
          <w:color w:val="auto"/>
          <w:sz w:val="32"/>
          <w:szCs w:val="32"/>
          <w:highlight w:val="none"/>
          <w:lang w:eastAsia="zh-CN"/>
        </w:rPr>
        <w:t>“</w:t>
      </w:r>
      <w:r>
        <w:rPr>
          <w:rFonts w:hint="eastAsia"/>
          <w:color w:val="auto"/>
          <w:sz w:val="32"/>
          <w:szCs w:val="32"/>
          <w:highlight w:val="none"/>
        </w:rPr>
        <w:t>9610</w:t>
      </w:r>
      <w:r>
        <w:rPr>
          <w:rFonts w:hint="eastAsia"/>
          <w:color w:val="auto"/>
          <w:sz w:val="32"/>
          <w:szCs w:val="32"/>
          <w:highlight w:val="none"/>
          <w:lang w:eastAsia="zh-CN"/>
        </w:rPr>
        <w:t>”</w:t>
      </w:r>
      <w:r>
        <w:rPr>
          <w:rFonts w:hint="eastAsia"/>
          <w:color w:val="auto"/>
          <w:sz w:val="32"/>
          <w:szCs w:val="32"/>
          <w:highlight w:val="none"/>
        </w:rPr>
        <w:t>出口等新业态，持续扩大汽车出口规模。支持医疗设备、药品、电子信息产品等进口，培育矿石、化工品等大宗商品进口</w:t>
      </w:r>
      <w:r>
        <w:rPr>
          <w:rFonts w:hint="eastAsia"/>
          <w:color w:val="auto"/>
          <w:sz w:val="32"/>
          <w:szCs w:val="32"/>
          <w:highlight w:val="none"/>
          <w:lang w:eastAsia="zh-CN"/>
        </w:rPr>
        <w:t>，</w:t>
      </w:r>
      <w:r>
        <w:rPr>
          <w:rFonts w:hint="eastAsia"/>
          <w:color w:val="auto"/>
          <w:sz w:val="32"/>
          <w:szCs w:val="32"/>
          <w:highlight w:val="none"/>
        </w:rPr>
        <w:t>扩大离岛免税商品进口。引导进口贸易主体在园区集聚，集中商品进口、保税仓储、分拨配送等功能。</w:t>
      </w:r>
      <w:r>
        <w:rPr>
          <w:color w:val="auto"/>
          <w:sz w:val="32"/>
          <w:szCs w:val="32"/>
          <w:highlight w:val="none"/>
        </w:rPr>
        <w:t>提升</w:t>
      </w:r>
      <w:r>
        <w:rPr>
          <w:rFonts w:hint="eastAsia"/>
          <w:color w:val="auto"/>
          <w:sz w:val="32"/>
          <w:szCs w:val="32"/>
          <w:highlight w:val="none"/>
        </w:rPr>
        <w:t>动植物</w:t>
      </w:r>
      <w:r>
        <w:rPr>
          <w:color w:val="auto"/>
          <w:sz w:val="32"/>
          <w:szCs w:val="32"/>
          <w:highlight w:val="none"/>
        </w:rPr>
        <w:t>检验</w:t>
      </w:r>
      <w:r>
        <w:rPr>
          <w:rFonts w:hint="eastAsia"/>
          <w:color w:val="auto"/>
          <w:sz w:val="32"/>
          <w:szCs w:val="32"/>
          <w:highlight w:val="none"/>
        </w:rPr>
        <w:t>检疫</w:t>
      </w:r>
      <w:r>
        <w:rPr>
          <w:color w:val="auto"/>
          <w:sz w:val="32"/>
          <w:szCs w:val="32"/>
          <w:highlight w:val="none"/>
        </w:rPr>
        <w:t>能力</w:t>
      </w:r>
      <w:r>
        <w:rPr>
          <w:rFonts w:hint="eastAsia"/>
          <w:color w:val="auto"/>
          <w:sz w:val="32"/>
          <w:szCs w:val="32"/>
          <w:highlight w:val="none"/>
        </w:rPr>
        <w:t>，保障动植物及产品进出境生物安全。</w:t>
      </w: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rPr>
        <w:t>大力发展服务贸易。</w:t>
      </w:r>
      <w:r>
        <w:rPr>
          <w:rFonts w:hint="eastAsia"/>
          <w:color w:val="auto"/>
          <w:sz w:val="32"/>
          <w:szCs w:val="32"/>
          <w:highlight w:val="none"/>
        </w:rPr>
        <w:t>加快国家服务贸易创新发展示范区建设</w:t>
      </w:r>
      <w:r>
        <w:rPr>
          <w:rFonts w:hint="eastAsia"/>
          <w:color w:val="auto"/>
          <w:sz w:val="32"/>
          <w:szCs w:val="32"/>
          <w:highlight w:val="none"/>
          <w:lang w:eastAsia="zh-CN"/>
        </w:rPr>
        <w:t>。</w:t>
      </w:r>
      <w:r>
        <w:rPr>
          <w:rFonts w:hint="eastAsia"/>
          <w:color w:val="auto"/>
          <w:sz w:val="32"/>
          <w:szCs w:val="32"/>
          <w:highlight w:val="none"/>
        </w:rPr>
        <w:t>积极发展国际运输和物流</w:t>
      </w:r>
      <w:r>
        <w:rPr>
          <w:rFonts w:hint="eastAsia"/>
          <w:color w:val="auto"/>
          <w:sz w:val="32"/>
          <w:szCs w:val="32"/>
          <w:highlight w:val="none"/>
          <w:lang w:eastAsia="zh-CN"/>
        </w:rPr>
        <w:t>，新辟更多国际航线</w:t>
      </w:r>
      <w:r>
        <w:rPr>
          <w:rFonts w:hint="eastAsia"/>
          <w:color w:val="auto"/>
          <w:sz w:val="32"/>
          <w:szCs w:val="32"/>
          <w:highlight w:val="none"/>
        </w:rPr>
        <w:t>。积极发展跨境服务外包，承接育种研发、检测鉴定分析等科技服务外包，发展品种测试、鉴定评价、确权交换等种业</w:t>
      </w:r>
      <w:r>
        <w:rPr>
          <w:rFonts w:hint="default" w:ascii="Times New Roman" w:hAnsi="Times New Roman" w:cs="Times New Roman"/>
          <w:color w:val="auto"/>
          <w:sz w:val="32"/>
          <w:szCs w:val="32"/>
          <w:highlight w:val="none"/>
        </w:rPr>
        <w:t>CRO</w:t>
      </w:r>
      <w:r>
        <w:rPr>
          <w:rFonts w:hint="eastAsia"/>
          <w:color w:val="auto"/>
          <w:sz w:val="32"/>
          <w:szCs w:val="32"/>
          <w:highlight w:val="none"/>
        </w:rPr>
        <w:t>服务及知识产权服务。大力发展保税维修业务，重点</w:t>
      </w:r>
      <w:r>
        <w:rPr>
          <w:rFonts w:hint="eastAsia"/>
          <w:color w:val="auto"/>
          <w:sz w:val="32"/>
          <w:szCs w:val="32"/>
          <w:highlight w:val="none"/>
          <w:lang w:eastAsia="zh-CN"/>
        </w:rPr>
        <w:t>培育</w:t>
      </w:r>
      <w:r>
        <w:rPr>
          <w:rFonts w:hint="eastAsia"/>
          <w:color w:val="auto"/>
          <w:sz w:val="32"/>
          <w:szCs w:val="32"/>
          <w:highlight w:val="none"/>
        </w:rPr>
        <w:t>游艇、医疗器械、</w:t>
      </w:r>
      <w:r>
        <w:rPr>
          <w:rFonts w:hint="eastAsia"/>
          <w:color w:val="auto"/>
          <w:sz w:val="32"/>
          <w:szCs w:val="32"/>
          <w:highlight w:val="none"/>
          <w:lang w:eastAsia="zh-CN"/>
        </w:rPr>
        <w:t>科研设备</w:t>
      </w:r>
      <w:r>
        <w:rPr>
          <w:rFonts w:hint="eastAsia"/>
          <w:color w:val="auto"/>
          <w:sz w:val="32"/>
          <w:szCs w:val="32"/>
          <w:highlight w:val="none"/>
        </w:rPr>
        <w:t>的保税维修与再制造。适时增设科创成果国际交流平台，推动知识产权运用。支持离岸贸易发展，探索开展离岸</w:t>
      </w:r>
      <w:r>
        <w:rPr>
          <w:rFonts w:hint="eastAsia"/>
          <w:color w:val="auto"/>
          <w:sz w:val="32"/>
          <w:szCs w:val="32"/>
          <w:highlight w:val="none"/>
          <w:lang w:eastAsia="zh-CN"/>
        </w:rPr>
        <w:t>转手买卖</w:t>
      </w:r>
      <w:r>
        <w:rPr>
          <w:rFonts w:hint="eastAsia"/>
          <w:color w:val="auto"/>
          <w:sz w:val="32"/>
          <w:szCs w:val="32"/>
          <w:highlight w:val="none"/>
        </w:rPr>
        <w:t>、第三方国际采购等业务。</w:t>
      </w: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r>
        <w:rPr>
          <w:rFonts w:hint="eastAsia"/>
          <w:b/>
          <w:bCs/>
          <w:color w:val="auto"/>
          <w:sz w:val="32"/>
          <w:szCs w:val="32"/>
          <w:highlight w:val="none"/>
        </w:rPr>
        <w:t>探索数字贸易创新发展。</w:t>
      </w:r>
      <w:r>
        <w:rPr>
          <w:rFonts w:hint="eastAsia"/>
          <w:color w:val="auto"/>
          <w:sz w:val="32"/>
          <w:szCs w:val="32"/>
          <w:highlight w:val="none"/>
        </w:rPr>
        <w:t>利用数据跨境安全有序流动和数据跨境试点，积极推动贸易数据互联互通</w:t>
      </w:r>
      <w:r>
        <w:rPr>
          <w:rFonts w:hint="eastAsia"/>
          <w:color w:val="auto"/>
          <w:sz w:val="32"/>
          <w:szCs w:val="32"/>
          <w:highlight w:val="none"/>
          <w:lang w:eastAsia="zh-CN"/>
        </w:rPr>
        <w:t>，</w:t>
      </w:r>
      <w:r>
        <w:rPr>
          <w:rFonts w:hint="eastAsia"/>
          <w:color w:val="auto"/>
          <w:sz w:val="32"/>
          <w:szCs w:val="32"/>
          <w:highlight w:val="none"/>
        </w:rPr>
        <w:t>为企业提供数据出境安全评估、合规申报、加密传输、动态监测等全流程服务。</w:t>
      </w:r>
      <w:r>
        <w:rPr>
          <w:rFonts w:hint="eastAsia"/>
          <w:color w:val="auto"/>
          <w:sz w:val="32"/>
          <w:szCs w:val="32"/>
          <w:highlight w:val="none"/>
          <w:lang w:eastAsia="zh-CN"/>
        </w:rPr>
        <w:t>争取</w:t>
      </w:r>
      <w:r>
        <w:rPr>
          <w:rFonts w:hint="eastAsia"/>
          <w:color w:val="auto"/>
          <w:sz w:val="32"/>
          <w:szCs w:val="32"/>
          <w:highlight w:val="none"/>
        </w:rPr>
        <w:t>建设特色数字加工贸易区，拓展</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两头在外</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的来数加工场景。建立卫星数据跨境专区，扩大卫星数据及应用场景，重点拓展卫星遥感、海洋监测、生态保护、跨境物流追踪、国际游客预测</w:t>
      </w:r>
      <w:r>
        <w:rPr>
          <w:color w:val="auto"/>
          <w:sz w:val="32"/>
          <w:szCs w:val="32"/>
          <w:highlight w:val="none"/>
        </w:rPr>
        <w:t>、热带农业检测</w:t>
      </w:r>
      <w:r>
        <w:rPr>
          <w:rFonts w:hint="eastAsia"/>
          <w:color w:val="auto"/>
          <w:sz w:val="32"/>
          <w:szCs w:val="32"/>
          <w:highlight w:val="none"/>
        </w:rPr>
        <w:t>等高附加值服务贸易。</w:t>
      </w:r>
    </w:p>
    <w:tbl>
      <w:tblPr>
        <w:tblStyle w:val="22"/>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8717"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shd w:val="clear"/>
              <w:kinsoku/>
              <w:wordWrap/>
              <w:overflowPunct/>
              <w:topLinePunct w:val="0"/>
              <w:autoSpaceDE/>
              <w:autoSpaceDN/>
              <w:bidi w:val="0"/>
              <w:adjustRightInd/>
              <w:snapToGrid w:val="0"/>
              <w:spacing w:before="157" w:beforeLines="50" w:after="157" w:afterLines="50" w:line="440" w:lineRule="exact"/>
              <w:jc w:val="center"/>
              <w:textAlignment w:val="auto"/>
              <w:rPr>
                <w:rFonts w:ascii="Times New Roman" w:hAnsi="Times New Roman" w:eastAsia="黑体"/>
                <w:color w:val="auto"/>
                <w:kern w:val="0"/>
                <w:sz w:val="30"/>
                <w:szCs w:val="30"/>
                <w:highlight w:val="none"/>
              </w:rPr>
            </w:pPr>
            <w:r>
              <w:rPr>
                <w:rFonts w:hint="eastAsia" w:ascii="Times New Roman" w:hAnsi="Times New Roman" w:eastAsia="黑体"/>
                <w:color w:val="auto"/>
                <w:kern w:val="0"/>
                <w:sz w:val="28"/>
                <w:szCs w:val="28"/>
                <w:highlight w:val="none"/>
              </w:rPr>
              <w:t>专栏</w:t>
            </w:r>
            <w:r>
              <w:rPr>
                <w:rFonts w:hint="default" w:ascii="Times New Roman" w:hAnsi="Times New Roman" w:eastAsia="等线" w:cs="Times New Roman"/>
                <w:color w:val="auto"/>
                <w:sz w:val="28"/>
                <w:szCs w:val="28"/>
                <w:highlight w:val="none"/>
                <w:lang w:val="en-US" w:eastAsia="zh-CN"/>
              </w:rPr>
              <w:t>2</w:t>
            </w:r>
            <w:r>
              <w:rPr>
                <w:rFonts w:hint="eastAsia" w:ascii="Times New Roman" w:hAnsi="Times New Roman" w:eastAsia="黑体"/>
                <w:color w:val="auto"/>
                <w:kern w:val="0"/>
                <w:sz w:val="28"/>
                <w:szCs w:val="28"/>
                <w:highlight w:val="none"/>
                <w:lang w:val="en-US" w:eastAsia="zh-CN"/>
              </w:rPr>
              <w:t xml:space="preserve">  </w:t>
            </w:r>
            <w:r>
              <w:rPr>
                <w:rFonts w:hint="eastAsia" w:ascii="Times New Roman" w:hAnsi="Times New Roman" w:eastAsia="黑体"/>
                <w:color w:val="auto"/>
                <w:kern w:val="0"/>
                <w:sz w:val="28"/>
                <w:szCs w:val="28"/>
                <w:highlight w:val="none"/>
              </w:rPr>
              <w:t>高水平对外开放重</w:t>
            </w:r>
            <w:r>
              <w:rPr>
                <w:rFonts w:hint="eastAsia" w:ascii="Times New Roman" w:hAnsi="Times New Roman" w:eastAsia="黑体"/>
                <w:color w:val="auto"/>
                <w:kern w:val="0"/>
                <w:sz w:val="28"/>
                <w:szCs w:val="28"/>
                <w:highlight w:val="none"/>
                <w:lang w:eastAsia="zh-CN"/>
              </w:rPr>
              <w:t>大工程</w:t>
            </w:r>
            <w:r>
              <w:rPr>
                <w:rFonts w:hint="eastAsia" w:ascii="Times New Roman" w:hAnsi="Times New Roman" w:eastAsia="黑体"/>
                <w:color w:val="auto"/>
                <w:kern w:val="0"/>
                <w:sz w:val="28"/>
                <w:szCs w:val="28"/>
                <w:highlight w:val="none"/>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7" w:hRule="atLeast"/>
          <w:jc w:val="center"/>
        </w:trPr>
        <w:tc>
          <w:tcPr>
            <w:tcW w:w="8717" w:type="dxa"/>
            <w:tcBorders>
              <w:top w:val="single" w:color="auto" w:sz="4" w:space="0"/>
              <w:left w:val="single" w:color="auto" w:sz="4" w:space="0"/>
              <w:bottom w:val="single" w:color="auto" w:sz="4" w:space="0"/>
              <w:right w:val="single" w:color="auto" w:sz="4" w:space="0"/>
            </w:tcBorders>
            <w:vAlign w:val="center"/>
          </w:tcPr>
          <w:p>
            <w:pPr>
              <w:pStyle w:val="33"/>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440" w:lineRule="exact"/>
              <w:ind w:firstLine="562"/>
              <w:textAlignment w:val="auto"/>
              <w:rPr>
                <w:color w:val="auto"/>
                <w:highlight w:val="none"/>
              </w:rPr>
            </w:pPr>
            <w:r>
              <w:rPr>
                <w:rFonts w:hint="default" w:ascii="Times New Roman" w:hAnsi="Times New Roman" w:cs="Times New Roman"/>
                <w:b/>
                <w:bCs/>
                <w:color w:val="auto"/>
                <w:highlight w:val="none"/>
              </w:rPr>
              <w:t>1</w:t>
            </w:r>
            <w:r>
              <w:rPr>
                <w:rFonts w:hint="eastAsia" w:ascii="楷体_GB2312" w:hAnsi="楷体_GB2312" w:eastAsia="楷体_GB2312" w:cs="楷体_GB2312"/>
                <w:color w:val="auto"/>
                <w:highlight w:val="none"/>
                <w:lang w:val="en-US" w:eastAsia="zh-CN"/>
              </w:rPr>
              <w:t>.</w:t>
            </w:r>
            <w:r>
              <w:rPr>
                <w:rFonts w:hint="eastAsia"/>
                <w:b/>
                <w:bCs/>
                <w:color w:val="auto"/>
                <w:highlight w:val="none"/>
              </w:rPr>
              <w:t>高附加值加工贸易重点项目。</w:t>
            </w:r>
            <w:r>
              <w:rPr>
                <w:rFonts w:hint="eastAsia" w:ascii="Times New Roman" w:hAnsi="Times New Roman"/>
                <w:b w:val="0"/>
                <w:bCs w:val="0"/>
                <w:color w:val="auto"/>
                <w:highlight w:val="none"/>
                <w:lang w:eastAsia="zh-CN"/>
              </w:rPr>
              <w:t>推动建设</w:t>
            </w:r>
            <w:r>
              <w:rPr>
                <w:rFonts w:hint="eastAsia"/>
                <w:color w:val="auto"/>
                <w:highlight w:val="none"/>
              </w:rPr>
              <w:t>黄金精炼、珠宝加工及出口项目，游艇保税维修、医疗器械保税维修与再制造项目。</w:t>
            </w:r>
          </w:p>
          <w:p>
            <w:pPr>
              <w:pStyle w:val="33"/>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440" w:lineRule="exact"/>
              <w:ind w:firstLine="562"/>
              <w:textAlignment w:val="auto"/>
              <w:rPr>
                <w:color w:val="auto"/>
                <w:highlight w:val="none"/>
              </w:rPr>
            </w:pPr>
            <w:r>
              <w:rPr>
                <w:rFonts w:hint="default" w:ascii="Times New Roman" w:hAnsi="Times New Roman" w:cs="Times New Roman"/>
                <w:b/>
                <w:bCs/>
                <w:color w:val="auto"/>
                <w:highlight w:val="none"/>
              </w:rPr>
              <w:t>2</w:t>
            </w:r>
            <w:r>
              <w:rPr>
                <w:rFonts w:hint="eastAsia" w:ascii="楷体_GB2312" w:hAnsi="楷体_GB2312" w:eastAsia="楷体_GB2312" w:cs="楷体_GB2312"/>
                <w:color w:val="auto"/>
                <w:highlight w:val="none"/>
                <w:lang w:val="en-US" w:eastAsia="zh-CN"/>
              </w:rPr>
              <w:t>.</w:t>
            </w:r>
            <w:r>
              <w:rPr>
                <w:rFonts w:hint="eastAsia"/>
                <w:b/>
                <w:bCs/>
                <w:color w:val="auto"/>
                <w:highlight w:val="none"/>
              </w:rPr>
              <w:t>服务贸易重点项目。</w:t>
            </w:r>
            <w:r>
              <w:rPr>
                <w:rFonts w:hint="eastAsia" w:ascii="Times New Roman" w:hAnsi="Times New Roman" w:eastAsia="楷体" w:cs="楷体"/>
                <w:color w:val="auto"/>
                <w:kern w:val="2"/>
                <w:sz w:val="28"/>
                <w:szCs w:val="28"/>
                <w:highlight w:val="none"/>
                <w:lang w:val="en-US" w:eastAsia="zh-CN" w:bidi="ar"/>
              </w:rPr>
              <w:t>高水平建设和高质量运营中国海南国际文物艺术品交易中心及海南国际文化交流中心，打造一流的交易生态，</w:t>
            </w:r>
            <w:r>
              <w:rPr>
                <w:rFonts w:hint="eastAsia"/>
                <w:color w:val="auto"/>
                <w:highlight w:val="none"/>
                <w:lang w:bidi="ar"/>
              </w:rPr>
              <w:t>高质量建设运营国家对外文化贸易基地（三亚）</w:t>
            </w:r>
            <w:r>
              <w:rPr>
                <w:rFonts w:hint="eastAsia" w:ascii="Times New Roman" w:hAnsi="Times New Roman" w:eastAsia="楷体" w:cs="楷体"/>
                <w:color w:val="auto"/>
                <w:kern w:val="2"/>
                <w:sz w:val="28"/>
                <w:szCs w:val="28"/>
                <w:highlight w:val="none"/>
                <w:lang w:val="en-US" w:eastAsia="zh-CN" w:bidi="ar"/>
              </w:rPr>
              <w:t>。</w:t>
            </w:r>
          </w:p>
          <w:p>
            <w:pPr>
              <w:pStyle w:val="33"/>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440" w:lineRule="exact"/>
              <w:ind w:firstLine="562"/>
              <w:textAlignment w:val="auto"/>
              <w:rPr>
                <w:color w:val="auto"/>
                <w:highlight w:val="none"/>
              </w:rPr>
            </w:pPr>
            <w:r>
              <w:rPr>
                <w:rFonts w:hint="default" w:ascii="Times New Roman" w:hAnsi="Times New Roman" w:cs="Times New Roman"/>
                <w:b/>
                <w:bCs/>
                <w:color w:val="auto"/>
                <w:highlight w:val="none"/>
              </w:rPr>
              <w:t>3</w:t>
            </w:r>
            <w:r>
              <w:rPr>
                <w:rFonts w:hint="eastAsia" w:ascii="楷体_GB2312" w:hAnsi="楷体_GB2312" w:eastAsia="楷体_GB2312" w:cs="楷体_GB2312"/>
                <w:color w:val="auto"/>
                <w:highlight w:val="none"/>
                <w:lang w:val="en-US" w:eastAsia="zh-CN"/>
              </w:rPr>
              <w:t>.</w:t>
            </w:r>
            <w:r>
              <w:rPr>
                <w:rFonts w:hint="eastAsia"/>
                <w:b/>
                <w:bCs/>
                <w:color w:val="auto"/>
                <w:highlight w:val="none"/>
              </w:rPr>
              <w:t>高质量引进来重点项目。</w:t>
            </w:r>
            <w:r>
              <w:rPr>
                <w:rFonts w:hint="eastAsia"/>
                <w:color w:val="auto"/>
                <w:highlight w:val="none"/>
              </w:rPr>
              <w:t>打造三亚崖州湾科技城深海装备制造基地，推进深远海无人装备产业集群、深远海装备靠前技术保障、深远海装备高层次人才培养等方面国际交流合作。</w:t>
            </w:r>
          </w:p>
        </w:tc>
      </w:tr>
    </w:tbl>
    <w:p>
      <w:pPr>
        <w:pStyle w:val="4"/>
        <w:pageBreakBefore w:val="0"/>
        <w:widowControl w:val="0"/>
        <w:shd w:val="clear"/>
        <w:kinsoku/>
        <w:wordWrap/>
        <w:overflowPunct/>
        <w:topLinePunct w:val="0"/>
        <w:autoSpaceDE/>
        <w:autoSpaceDN/>
        <w:bidi w:val="0"/>
        <w:adjustRightInd w:val="0"/>
        <w:snapToGrid w:val="0"/>
        <w:ind w:left="0" w:leftChars="0" w:firstLine="0" w:firstLineChars="0"/>
        <w:textAlignment w:val="auto"/>
        <w:rPr>
          <w:rFonts w:hint="eastAsia"/>
          <w:b w:val="0"/>
          <w:bCs/>
          <w:color w:val="auto"/>
          <w:highlight w:val="none"/>
        </w:rPr>
      </w:pPr>
      <w:bookmarkStart w:id="163" w:name="_Toc213447238"/>
      <w:bookmarkStart w:id="164" w:name="_Toc1491534004"/>
      <w:bookmarkStart w:id="165" w:name="_Toc1198050447"/>
      <w:bookmarkStart w:id="166" w:name="_Toc1752067544"/>
      <w:bookmarkStart w:id="167" w:name="_Toc1667478524"/>
      <w:bookmarkStart w:id="168" w:name="_Toc1856344658"/>
      <w:bookmarkStart w:id="169" w:name="_Toc16798"/>
      <w:bookmarkStart w:id="170" w:name="_Toc1722118230"/>
      <w:bookmarkStart w:id="171" w:name="_Toc1989909938"/>
      <w:bookmarkStart w:id="172" w:name="_Toc1051512013"/>
    </w:p>
    <w:p>
      <w:pPr>
        <w:pStyle w:val="4"/>
        <w:pageBreakBefore w:val="0"/>
        <w:widowControl w:val="0"/>
        <w:shd w:val="clear"/>
        <w:kinsoku/>
        <w:wordWrap/>
        <w:overflowPunct/>
        <w:topLinePunct w:val="0"/>
        <w:autoSpaceDE/>
        <w:autoSpaceDN/>
        <w:bidi w:val="0"/>
        <w:adjustRightInd w:val="0"/>
        <w:snapToGrid w:val="0"/>
        <w:spacing w:line="576"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第四节  塑造营商环境三亚品牌</w:t>
      </w:r>
      <w:bookmarkEnd w:id="163"/>
      <w:bookmarkEnd w:id="164"/>
      <w:bookmarkEnd w:id="165"/>
      <w:bookmarkEnd w:id="166"/>
      <w:bookmarkEnd w:id="167"/>
      <w:bookmarkEnd w:id="168"/>
      <w:bookmarkEnd w:id="169"/>
      <w:bookmarkEnd w:id="170"/>
      <w:bookmarkEnd w:id="171"/>
      <w:bookmarkEnd w:id="172"/>
    </w:p>
    <w:p>
      <w:pPr>
        <w:pStyle w:val="31"/>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eastAsia="仿宋_GB2312"/>
          <w:color w:val="auto"/>
          <w:sz w:val="32"/>
          <w:szCs w:val="32"/>
          <w:highlight w:val="none"/>
          <w:lang w:eastAsia="zh-CN"/>
        </w:rPr>
      </w:pPr>
      <w:r>
        <w:rPr>
          <w:b/>
          <w:bCs/>
          <w:color w:val="auto"/>
          <w:sz w:val="32"/>
          <w:szCs w:val="32"/>
          <w:highlight w:val="none"/>
        </w:rPr>
        <w:t>营造更加公平的市场环境。</w:t>
      </w:r>
      <w:r>
        <w:rPr>
          <w:rFonts w:hint="eastAsia"/>
          <w:color w:val="auto"/>
          <w:sz w:val="32"/>
          <w:szCs w:val="32"/>
          <w:highlight w:val="none"/>
        </w:rPr>
        <w:t>积极融入全国统一大市场建设，全面落实市场准入制度</w:t>
      </w:r>
      <w:r>
        <w:rPr>
          <w:rFonts w:hint="eastAsia"/>
          <w:color w:val="auto"/>
          <w:sz w:val="32"/>
          <w:szCs w:val="32"/>
          <w:highlight w:val="none"/>
          <w:lang w:eastAsia="zh-CN"/>
        </w:rPr>
        <w:t>“</w:t>
      </w:r>
      <w:r>
        <w:rPr>
          <w:rFonts w:hint="eastAsia"/>
          <w:color w:val="auto"/>
          <w:sz w:val="32"/>
          <w:szCs w:val="32"/>
          <w:highlight w:val="none"/>
        </w:rPr>
        <w:t>全国一张清单</w:t>
      </w:r>
      <w:r>
        <w:rPr>
          <w:rFonts w:hint="eastAsia"/>
          <w:color w:val="auto"/>
          <w:sz w:val="32"/>
          <w:szCs w:val="32"/>
          <w:highlight w:val="none"/>
          <w:lang w:eastAsia="zh-CN"/>
        </w:rPr>
        <w:t>”</w:t>
      </w:r>
      <w:r>
        <w:rPr>
          <w:rFonts w:hint="eastAsia"/>
          <w:color w:val="auto"/>
          <w:sz w:val="32"/>
          <w:szCs w:val="32"/>
          <w:highlight w:val="none"/>
        </w:rPr>
        <w:t>管理模式</w:t>
      </w:r>
      <w:r>
        <w:rPr>
          <w:rFonts w:hint="eastAsia"/>
          <w:color w:val="auto"/>
          <w:sz w:val="32"/>
          <w:szCs w:val="32"/>
          <w:highlight w:val="none"/>
          <w:lang w:eastAsia="zh-CN"/>
        </w:rPr>
        <w:t>，</w:t>
      </w:r>
      <w:r>
        <w:rPr>
          <w:rFonts w:hint="eastAsia"/>
          <w:color w:val="auto"/>
          <w:sz w:val="32"/>
          <w:szCs w:val="32"/>
          <w:highlight w:val="none"/>
        </w:rPr>
        <w:t>坚决破除阻碍全国统一大市场建设的卡点堵点。按照国家高标准市场体系建设要求，依法平等长久保护各种所有制经济产权，坚决破除要素获取、资质认定、政府采购等壁垒。积极推进土地、劳动力、资本、技术、数据等要素市场化改革，稳步推进要素依靠市场自主定价、有序流动，促进各类要素资源高效配置。全面完善公平竞争审查制度，加大反不正当竞争执法司法力度。按要求规范招商引资行为，加强招商引资信息披露</w:t>
      </w:r>
      <w:r>
        <w:rPr>
          <w:rFonts w:hint="eastAsia"/>
          <w:color w:val="auto"/>
          <w:sz w:val="32"/>
          <w:szCs w:val="32"/>
          <w:highlight w:val="none"/>
          <w:lang w:eastAsia="zh-CN"/>
        </w:rPr>
        <w:t>。</w:t>
      </w:r>
    </w:p>
    <w:p>
      <w:pPr>
        <w:pStyle w:val="31"/>
        <w:keepNext w:val="0"/>
        <w:keepLines w:val="0"/>
        <w:pageBreakBefore w:val="0"/>
        <w:widowControl w:val="0"/>
        <w:kinsoku/>
        <w:wordWrap/>
        <w:overflowPunct/>
        <w:topLinePunct w:val="0"/>
        <w:autoSpaceDE/>
        <w:autoSpaceDN/>
        <w:bidi w:val="0"/>
        <w:adjustRightInd w:val="0"/>
        <w:snapToGrid w:val="0"/>
        <w:spacing w:line="590" w:lineRule="exact"/>
        <w:textAlignment w:val="auto"/>
        <w:rPr>
          <w:color w:val="auto"/>
          <w:sz w:val="32"/>
          <w:szCs w:val="32"/>
          <w:highlight w:val="none"/>
        </w:rPr>
      </w:pPr>
      <w:r>
        <w:rPr>
          <w:rFonts w:hint="eastAsia"/>
          <w:b/>
          <w:bCs/>
          <w:color w:val="auto"/>
          <w:sz w:val="32"/>
          <w:szCs w:val="32"/>
          <w:highlight w:val="none"/>
        </w:rPr>
        <w:t>构建公正透明的法治环境。</w:t>
      </w:r>
      <w:r>
        <w:rPr>
          <w:rFonts w:hint="eastAsia"/>
          <w:color w:val="auto"/>
          <w:sz w:val="32"/>
          <w:szCs w:val="32"/>
          <w:highlight w:val="none"/>
        </w:rPr>
        <w:t>加强知识产权保护，围绕重点领域平等保护各类市场主体合法权益。深化商事制度改革，完善商事调解配套制度，加强三亚国际商事调解中心、海南自由贸易港第二国际商事法庭、海南国际仲裁院三亚分院等机构能力建设。持续完善国际商事纠纷解决机制，建立</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调解</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仲裁</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诉讼</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相互衔接、有效配合的国际商事纠纷解决机制。</w:t>
      </w:r>
    </w:p>
    <w:p>
      <w:pPr>
        <w:pStyle w:val="31"/>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color w:val="auto"/>
          <w:sz w:val="32"/>
          <w:szCs w:val="32"/>
          <w:highlight w:val="none"/>
          <w:lang w:eastAsia="zh-CN"/>
        </w:rPr>
      </w:pPr>
      <w:r>
        <w:rPr>
          <w:rFonts w:hint="eastAsia"/>
          <w:b/>
          <w:bCs/>
          <w:color w:val="auto"/>
          <w:sz w:val="32"/>
          <w:szCs w:val="32"/>
          <w:highlight w:val="none"/>
        </w:rPr>
        <w:t>打造廉洁高效的政务环境</w:t>
      </w:r>
      <w:r>
        <w:rPr>
          <w:rFonts w:hint="eastAsia"/>
          <w:color w:val="auto"/>
          <w:sz w:val="32"/>
          <w:szCs w:val="32"/>
          <w:highlight w:val="none"/>
        </w:rPr>
        <w:t>。深化行政管理体制改革</w:t>
      </w:r>
      <w:r>
        <w:rPr>
          <w:rFonts w:hint="eastAsia"/>
          <w:color w:val="auto"/>
          <w:sz w:val="32"/>
          <w:szCs w:val="32"/>
          <w:highlight w:val="none"/>
          <w:lang w:eastAsia="zh-CN"/>
        </w:rPr>
        <w:t>和</w:t>
      </w:r>
      <w:r>
        <w:rPr>
          <w:rFonts w:hint="eastAsia"/>
          <w:color w:val="auto"/>
          <w:sz w:val="32"/>
          <w:szCs w:val="32"/>
          <w:highlight w:val="none"/>
        </w:rPr>
        <w:t>效能政府建设，</w:t>
      </w:r>
      <w:r>
        <w:rPr>
          <w:rFonts w:hint="default"/>
          <w:color w:val="auto"/>
          <w:sz w:val="32"/>
          <w:szCs w:val="32"/>
          <w:highlight w:val="none"/>
        </w:rPr>
        <w:t>聚</w:t>
      </w:r>
      <w:r>
        <w:rPr>
          <w:rFonts w:hint="eastAsia"/>
          <w:color w:val="auto"/>
          <w:sz w:val="32"/>
          <w:szCs w:val="32"/>
          <w:highlight w:val="none"/>
        </w:rPr>
        <w:t>焦海南自贸港</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五自由便利一安全有序流动</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推动要素保障，构建企业全生命周期服务，降低市场主体制度性交易成本。扩大</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高效办成一件事</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领域和范围，优化行政审批事项流程，落实告知承诺制</w:t>
      </w:r>
      <w:r>
        <w:rPr>
          <w:rFonts w:hint="default"/>
          <w:color w:val="auto"/>
          <w:sz w:val="32"/>
          <w:szCs w:val="32"/>
          <w:highlight w:val="none"/>
        </w:rPr>
        <w:t>，</w:t>
      </w:r>
      <w:r>
        <w:rPr>
          <w:rFonts w:hint="eastAsia"/>
          <w:color w:val="auto"/>
          <w:sz w:val="32"/>
          <w:szCs w:val="32"/>
          <w:highlight w:val="none"/>
          <w:lang w:eastAsia="zh-CN"/>
        </w:rPr>
        <w:t>扩大</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lang w:eastAsia="zh-CN"/>
        </w:rPr>
        <w:t>机器管招投标</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lang w:eastAsia="zh-CN"/>
        </w:rPr>
        <w:t>应用场景。</w:t>
      </w:r>
      <w:r>
        <w:rPr>
          <w:rFonts w:hint="eastAsia"/>
          <w:color w:val="auto"/>
          <w:sz w:val="32"/>
          <w:szCs w:val="32"/>
          <w:highlight w:val="none"/>
        </w:rPr>
        <w:t>规范涉企</w:t>
      </w:r>
      <w:r>
        <w:rPr>
          <w:color w:val="auto"/>
          <w:sz w:val="32"/>
          <w:szCs w:val="32"/>
          <w:highlight w:val="none"/>
        </w:rPr>
        <w:t>行政检查</w:t>
      </w:r>
      <w:r>
        <w:rPr>
          <w:rFonts w:hint="eastAsia"/>
          <w:color w:val="auto"/>
          <w:sz w:val="32"/>
          <w:szCs w:val="32"/>
          <w:highlight w:val="none"/>
        </w:rPr>
        <w:t>，实施</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综合查一次</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和</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亮码检查</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，健全</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双随机、一公开</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等监管机制。</w:t>
      </w:r>
      <w:r>
        <w:rPr>
          <w:rFonts w:hint="default"/>
          <w:color w:val="auto"/>
          <w:sz w:val="32"/>
          <w:szCs w:val="32"/>
          <w:highlight w:val="none"/>
        </w:rPr>
        <w:t>深入开展</w:t>
      </w:r>
      <w:r>
        <w:rPr>
          <w:rFonts w:hint="eastAsia" w:ascii="仿宋_GB2312" w:hAnsi="仿宋_GB2312" w:eastAsia="仿宋_GB2312" w:cs="仿宋_GB2312"/>
          <w:color w:val="auto"/>
          <w:sz w:val="32"/>
          <w:szCs w:val="32"/>
          <w:highlight w:val="none"/>
        </w:rPr>
        <w:t>“</w:t>
      </w:r>
      <w:r>
        <w:rPr>
          <w:rFonts w:hint="default"/>
          <w:color w:val="auto"/>
          <w:sz w:val="32"/>
          <w:szCs w:val="32"/>
          <w:highlight w:val="none"/>
        </w:rPr>
        <w:t>民营企业家日</w:t>
      </w:r>
      <w:r>
        <w:rPr>
          <w:rFonts w:hint="eastAsia" w:ascii="仿宋_GB2312" w:hAnsi="仿宋_GB2312" w:eastAsia="仿宋_GB2312" w:cs="仿宋_GB2312"/>
          <w:color w:val="auto"/>
          <w:sz w:val="32"/>
          <w:szCs w:val="32"/>
          <w:highlight w:val="none"/>
        </w:rPr>
        <w:t>”“</w:t>
      </w:r>
      <w:r>
        <w:rPr>
          <w:rFonts w:hint="default"/>
          <w:color w:val="auto"/>
          <w:sz w:val="32"/>
          <w:szCs w:val="32"/>
          <w:highlight w:val="none"/>
        </w:rPr>
        <w:t>政企约见</w:t>
      </w:r>
      <w:r>
        <w:rPr>
          <w:rFonts w:hint="eastAsia" w:ascii="仿宋_GB2312" w:hAnsi="仿宋_GB2312" w:eastAsia="仿宋_GB2312" w:cs="仿宋_GB2312"/>
          <w:color w:val="auto"/>
          <w:sz w:val="32"/>
          <w:szCs w:val="32"/>
          <w:highlight w:val="none"/>
        </w:rPr>
        <w:t>”“</w:t>
      </w:r>
      <w:r>
        <w:rPr>
          <w:rFonts w:hint="default"/>
          <w:color w:val="auto"/>
          <w:sz w:val="32"/>
          <w:szCs w:val="32"/>
          <w:highlight w:val="none"/>
        </w:rPr>
        <w:t>营商直通车</w:t>
      </w:r>
      <w:r>
        <w:rPr>
          <w:rFonts w:hint="eastAsia" w:ascii="仿宋_GB2312" w:hAnsi="仿宋_GB2312" w:eastAsia="仿宋_GB2312" w:cs="仿宋_GB2312"/>
          <w:color w:val="auto"/>
          <w:sz w:val="32"/>
          <w:szCs w:val="32"/>
          <w:highlight w:val="none"/>
        </w:rPr>
        <w:t>”</w:t>
      </w:r>
      <w:r>
        <w:rPr>
          <w:rFonts w:hint="default"/>
          <w:color w:val="auto"/>
          <w:sz w:val="32"/>
          <w:szCs w:val="32"/>
          <w:highlight w:val="none"/>
        </w:rPr>
        <w:t>等活动，培育尊商、亲商、安商、护商文化，构建亲清新型政商关系。</w:t>
      </w:r>
    </w:p>
    <w:p>
      <w:pPr>
        <w:pStyle w:val="31"/>
        <w:keepNext w:val="0"/>
        <w:keepLines w:val="0"/>
        <w:pageBreakBefore w:val="0"/>
        <w:widowControl w:val="0"/>
        <w:kinsoku/>
        <w:wordWrap/>
        <w:overflowPunct/>
        <w:topLinePunct w:val="0"/>
        <w:autoSpaceDE/>
        <w:autoSpaceDN/>
        <w:bidi w:val="0"/>
        <w:adjustRightInd w:val="0"/>
        <w:snapToGrid w:val="0"/>
        <w:spacing w:line="600" w:lineRule="exact"/>
        <w:textAlignment w:val="auto"/>
        <w:rPr>
          <w:color w:val="auto"/>
          <w:sz w:val="32"/>
          <w:szCs w:val="32"/>
          <w:highlight w:val="none"/>
        </w:rPr>
      </w:pPr>
      <w:r>
        <w:rPr>
          <w:rFonts w:hint="eastAsia"/>
          <w:b/>
          <w:bCs/>
          <w:color w:val="auto"/>
          <w:sz w:val="32"/>
          <w:szCs w:val="32"/>
          <w:highlight w:val="none"/>
          <w:lang w:eastAsia="zh-CN"/>
        </w:rPr>
        <w:t>健全规范有序的信用环境。</w:t>
      </w:r>
      <w:r>
        <w:rPr>
          <w:rFonts w:hint="eastAsia"/>
          <w:color w:val="auto"/>
          <w:sz w:val="32"/>
          <w:szCs w:val="32"/>
          <w:highlight w:val="none"/>
        </w:rPr>
        <w:t>持续优化公共信用信息平台功能，实现跨层级、跨部门、跨区域信用信息共享与治理协同。构建</w:t>
      </w:r>
      <w:r>
        <w:rPr>
          <w:rFonts w:hint="eastAsia"/>
          <w:color w:val="auto"/>
          <w:sz w:val="32"/>
          <w:szCs w:val="32"/>
          <w:highlight w:val="none"/>
          <w:lang w:eastAsia="zh-CN"/>
        </w:rPr>
        <w:t>经营</w:t>
      </w:r>
      <w:r>
        <w:rPr>
          <w:rFonts w:hint="eastAsia"/>
          <w:color w:val="auto"/>
          <w:sz w:val="32"/>
          <w:szCs w:val="32"/>
          <w:highlight w:val="none"/>
        </w:rPr>
        <w:t>主体全生命周期信用监管机制，健全政务诚信监测评价体系，建立重点职业人群信用档案。持续夯实</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诚信三亚</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建设基础，紧扣自贸港建设打造一批特色信用应用场景，争创全国社会信用体系建设示范区。在重点园区推行</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rPr>
        <w:t>入园即建档、审批承诺制、融资靠信用</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rPr>
        <w:t>的信用管理模式，打造</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rPr>
        <w:t>自贸港信用园区样板</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rPr>
        <w:t>，在基层构建</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rPr>
        <w:t>党建引领、信用支撑、居民参与</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rPr>
        <w:t>的治理新机制。探索三亚游客信用管理与跨境信用合作</w:t>
      </w:r>
      <w:r>
        <w:rPr>
          <w:rFonts w:hint="default"/>
          <w:color w:val="auto"/>
          <w:sz w:val="32"/>
          <w:szCs w:val="32"/>
          <w:highlight w:val="none"/>
        </w:rPr>
        <w:t>，</w:t>
      </w:r>
      <w:r>
        <w:rPr>
          <w:rFonts w:hint="eastAsia"/>
          <w:color w:val="auto"/>
          <w:sz w:val="32"/>
          <w:szCs w:val="32"/>
          <w:highlight w:val="none"/>
          <w:lang w:eastAsia="zh-CN"/>
        </w:rPr>
        <w:t>推动</w:t>
      </w:r>
      <w:r>
        <w:rPr>
          <w:rFonts w:hint="eastAsia"/>
          <w:color w:val="auto"/>
          <w:sz w:val="32"/>
          <w:szCs w:val="32"/>
          <w:highlight w:val="none"/>
        </w:rPr>
        <w:t>公共信用与市场信用深度融合</w:t>
      </w:r>
      <w:r>
        <w:rPr>
          <w:rFonts w:hint="eastAsia"/>
          <w:color w:val="auto"/>
          <w:sz w:val="32"/>
          <w:szCs w:val="32"/>
          <w:highlight w:val="none"/>
          <w:lang w:eastAsia="zh-CN"/>
        </w:rPr>
        <w:t>、</w:t>
      </w:r>
      <w:r>
        <w:rPr>
          <w:rFonts w:hint="eastAsia"/>
          <w:color w:val="auto"/>
          <w:sz w:val="32"/>
          <w:szCs w:val="32"/>
          <w:highlight w:val="none"/>
        </w:rPr>
        <w:t>国内信用标准与国际征信规则</w:t>
      </w:r>
      <w:r>
        <w:rPr>
          <w:rFonts w:hint="eastAsia"/>
          <w:color w:val="auto"/>
          <w:sz w:val="32"/>
          <w:szCs w:val="32"/>
          <w:highlight w:val="none"/>
          <w:lang w:eastAsia="zh-CN"/>
        </w:rPr>
        <w:t>相互</w:t>
      </w:r>
      <w:r>
        <w:rPr>
          <w:rFonts w:hint="eastAsia"/>
          <w:color w:val="auto"/>
          <w:sz w:val="32"/>
          <w:szCs w:val="32"/>
          <w:highlight w:val="none"/>
        </w:rPr>
        <w:t>衔接</w:t>
      </w:r>
      <w:r>
        <w:rPr>
          <w:rFonts w:hint="default"/>
          <w:color w:val="auto"/>
          <w:sz w:val="32"/>
          <w:szCs w:val="32"/>
          <w:highlight w:val="none"/>
        </w:rPr>
        <w:t>。</w:t>
      </w:r>
    </w:p>
    <w:p>
      <w:pPr>
        <w:pStyle w:val="4"/>
        <w:pageBreakBefore w:val="0"/>
        <w:widowControl w:val="0"/>
        <w:shd w:val="clear"/>
        <w:kinsoku/>
        <w:wordWrap/>
        <w:overflowPunct/>
        <w:topLinePunct w:val="0"/>
        <w:autoSpaceDE/>
        <w:autoSpaceDN/>
        <w:bidi w:val="0"/>
        <w:adjustRightInd w:val="0"/>
        <w:snapToGrid w:val="0"/>
        <w:spacing w:line="576" w:lineRule="exact"/>
        <w:ind w:left="0" w:leftChars="0" w:firstLine="0" w:firstLineChars="0"/>
        <w:jc w:val="center"/>
        <w:textAlignment w:val="auto"/>
        <w:rPr>
          <w:rFonts w:hint="eastAsia" w:ascii="黑体" w:hAnsi="黑体" w:eastAsia="黑体" w:cs="黑体"/>
          <w:b w:val="0"/>
          <w:bCs/>
          <w:color w:val="auto"/>
          <w:sz w:val="32"/>
          <w:szCs w:val="32"/>
          <w:highlight w:val="none"/>
        </w:rPr>
      </w:pPr>
      <w:bookmarkStart w:id="173" w:name="_Toc29989"/>
      <w:bookmarkStart w:id="174" w:name="_Toc725774424"/>
      <w:bookmarkStart w:id="175" w:name="_Toc585871188"/>
      <w:bookmarkStart w:id="176" w:name="_Toc685830475"/>
      <w:bookmarkStart w:id="177" w:name="_Toc1967262644"/>
      <w:bookmarkStart w:id="178" w:name="_Toc1720883534"/>
      <w:bookmarkStart w:id="179" w:name="_Toc1896903107"/>
      <w:bookmarkStart w:id="180" w:name="_Toc849120298"/>
      <w:bookmarkStart w:id="181" w:name="_Toc574221341"/>
      <w:bookmarkStart w:id="182" w:name="_Toc213447239"/>
      <w:bookmarkStart w:id="183" w:name="_Toc526727645"/>
      <w:r>
        <w:rPr>
          <w:rFonts w:hint="eastAsia" w:ascii="黑体" w:hAnsi="黑体" w:eastAsia="黑体" w:cs="黑体"/>
          <w:b w:val="0"/>
          <w:bCs/>
          <w:color w:val="auto"/>
          <w:sz w:val="32"/>
          <w:szCs w:val="32"/>
          <w:highlight w:val="none"/>
        </w:rPr>
        <w:t>第五节  全面深化重点领域改革</w:t>
      </w:r>
      <w:bookmarkEnd w:id="173"/>
      <w:bookmarkEnd w:id="174"/>
      <w:bookmarkEnd w:id="175"/>
      <w:bookmarkEnd w:id="176"/>
      <w:bookmarkEnd w:id="177"/>
      <w:bookmarkEnd w:id="178"/>
      <w:bookmarkEnd w:id="179"/>
      <w:bookmarkEnd w:id="180"/>
      <w:bookmarkEnd w:id="181"/>
      <w:bookmarkEnd w:id="182"/>
      <w:bookmarkEnd w:id="183"/>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p>
    <w:p>
      <w:pPr>
        <w:pStyle w:val="31"/>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rPr>
        <w:t>深化国资国企改革。</w:t>
      </w:r>
      <w:r>
        <w:rPr>
          <w:rFonts w:hint="eastAsia"/>
          <w:color w:val="auto"/>
          <w:sz w:val="32"/>
          <w:szCs w:val="32"/>
          <w:highlight w:val="none"/>
        </w:rPr>
        <w:t>做强国有资本投资运营主体，培育市属国有上市公司。清理低效无效资产，加快市属国企横向联合、纵向整合和专业化重组，提高经营效率和盈利能力。深化国有企业薪酬制度和工资分配机制改革，推行工资总额预算周期制管理。完善国资管理监督体制机制，健全有利于科技创新、产业发展的国有资产监管模式。</w:t>
      </w:r>
    </w:p>
    <w:p>
      <w:pPr>
        <w:pStyle w:val="31"/>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rPr>
        <w:t>促进民营经济发展壮大。</w:t>
      </w:r>
      <w:r>
        <w:rPr>
          <w:rFonts w:hint="eastAsia"/>
          <w:color w:val="auto"/>
          <w:sz w:val="32"/>
          <w:szCs w:val="32"/>
          <w:highlight w:val="none"/>
        </w:rPr>
        <w:t>落实民营经济促进法，支持民营企业平等使用生产要素、公平参与市场竞争。支持民营资本参与重大项目建设和国有企业混合所有制改革，鼓励参与新技术、新产业、新业态、新模式等经济形态，推动大中小企业协同融通发展。加大创业创新支持力度，鼓励民营企业提升创新能力。支持民营小微企业、转型企业和个体工商户发展，着力破解中小微企业融资难</w:t>
      </w:r>
      <w:r>
        <w:rPr>
          <w:rFonts w:hint="eastAsia"/>
          <w:color w:val="auto"/>
          <w:sz w:val="32"/>
          <w:szCs w:val="32"/>
          <w:highlight w:val="none"/>
          <w:lang w:eastAsia="zh-CN"/>
        </w:rPr>
        <w:t>、融资贵问</w:t>
      </w:r>
      <w:r>
        <w:rPr>
          <w:rFonts w:hint="eastAsia"/>
          <w:color w:val="auto"/>
          <w:sz w:val="32"/>
          <w:szCs w:val="32"/>
          <w:highlight w:val="none"/>
        </w:rPr>
        <w:t>题</w:t>
      </w:r>
      <w:r>
        <w:rPr>
          <w:rFonts w:hint="eastAsia"/>
          <w:color w:val="auto"/>
          <w:sz w:val="32"/>
          <w:szCs w:val="32"/>
          <w:highlight w:val="none"/>
          <w:lang w:eastAsia="zh-CN"/>
        </w:rPr>
        <w:t>。</w:t>
      </w:r>
      <w:r>
        <w:rPr>
          <w:rFonts w:hint="eastAsia"/>
          <w:color w:val="auto"/>
          <w:sz w:val="32"/>
          <w:szCs w:val="32"/>
          <w:highlight w:val="none"/>
        </w:rPr>
        <w:t>完善与民营企业常态化沟通交流机制。健全以信用监管为基础、与负面清单管理方式相适应的</w:t>
      </w:r>
      <w:r>
        <w:rPr>
          <w:rFonts w:hint="eastAsia"/>
          <w:color w:val="auto"/>
          <w:sz w:val="32"/>
          <w:szCs w:val="32"/>
          <w:highlight w:val="none"/>
          <w:lang w:eastAsia="zh-CN"/>
        </w:rPr>
        <w:t>全</w:t>
      </w:r>
      <w:r>
        <w:rPr>
          <w:rFonts w:hint="eastAsia"/>
          <w:color w:val="auto"/>
          <w:sz w:val="32"/>
          <w:szCs w:val="32"/>
          <w:highlight w:val="none"/>
        </w:rPr>
        <w:t>过程监管体系，有效提升监管效能。</w:t>
      </w:r>
    </w:p>
    <w:p>
      <w:pPr>
        <w:pStyle w:val="31"/>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b/>
          <w:bCs/>
          <w:color w:val="auto"/>
          <w:sz w:val="32"/>
          <w:szCs w:val="32"/>
          <w:highlight w:val="none"/>
        </w:rPr>
        <w:t>健全财</w:t>
      </w:r>
      <w:r>
        <w:rPr>
          <w:rFonts w:hint="eastAsia"/>
          <w:b/>
          <w:bCs/>
          <w:color w:val="auto"/>
          <w:sz w:val="32"/>
          <w:szCs w:val="32"/>
          <w:highlight w:val="none"/>
          <w:lang w:eastAsia="zh-CN"/>
        </w:rPr>
        <w:t>政</w:t>
      </w:r>
      <w:r>
        <w:rPr>
          <w:b/>
          <w:bCs/>
          <w:color w:val="auto"/>
          <w:sz w:val="32"/>
          <w:szCs w:val="32"/>
          <w:highlight w:val="none"/>
        </w:rPr>
        <w:t>管理制度。</w:t>
      </w:r>
      <w:r>
        <w:rPr>
          <w:color w:val="auto"/>
          <w:sz w:val="32"/>
          <w:szCs w:val="32"/>
          <w:highlight w:val="none"/>
        </w:rPr>
        <w:t>加强全市财政资源和预算统筹，</w:t>
      </w:r>
      <w:r>
        <w:rPr>
          <w:rFonts w:hint="eastAsia"/>
          <w:color w:val="auto"/>
          <w:sz w:val="32"/>
          <w:szCs w:val="32"/>
          <w:highlight w:val="none"/>
        </w:rPr>
        <w:t>将依托行政权力、政府信用、国有资源资产</w:t>
      </w:r>
      <w:r>
        <w:rPr>
          <w:rFonts w:hint="eastAsia"/>
          <w:color w:val="auto"/>
          <w:sz w:val="32"/>
          <w:szCs w:val="32"/>
          <w:highlight w:val="none"/>
          <w:lang w:eastAsia="zh-CN"/>
        </w:rPr>
        <w:t>等</w:t>
      </w:r>
      <w:r>
        <w:rPr>
          <w:rFonts w:hint="eastAsia"/>
          <w:color w:val="auto"/>
          <w:sz w:val="32"/>
          <w:szCs w:val="32"/>
          <w:highlight w:val="none"/>
        </w:rPr>
        <w:t>获取的收入纳入政府预算</w:t>
      </w:r>
      <w:r>
        <w:rPr>
          <w:rFonts w:hint="eastAsia"/>
          <w:color w:val="auto"/>
          <w:sz w:val="32"/>
          <w:szCs w:val="32"/>
          <w:highlight w:val="none"/>
          <w:lang w:eastAsia="zh-CN"/>
        </w:rPr>
        <w:t>管理</w:t>
      </w:r>
      <w:r>
        <w:rPr>
          <w:color w:val="auto"/>
          <w:sz w:val="32"/>
          <w:szCs w:val="32"/>
          <w:highlight w:val="none"/>
        </w:rPr>
        <w:t>。深化零基预算改革，统一预算分配权，科学论证财政支出必要性，提高财政资源配置效率和资金使用效益。同步建立权责清晰、财力协调、区域均衡的市区财政体制</w:t>
      </w:r>
      <w:r>
        <w:rPr>
          <w:rFonts w:hint="eastAsia"/>
          <w:color w:val="auto"/>
          <w:sz w:val="32"/>
          <w:szCs w:val="32"/>
          <w:highlight w:val="none"/>
          <w:lang w:eastAsia="zh-CN"/>
        </w:rPr>
        <w:t>，</w:t>
      </w:r>
      <w:r>
        <w:rPr>
          <w:color w:val="auto"/>
          <w:sz w:val="32"/>
          <w:szCs w:val="32"/>
          <w:highlight w:val="none"/>
        </w:rPr>
        <w:t>强化财政对</w:t>
      </w:r>
      <w:r>
        <w:rPr>
          <w:rFonts w:hint="eastAsia" w:ascii="仿宋_GB2312" w:hAnsi="仿宋_GB2312" w:eastAsia="仿宋_GB2312" w:cs="仿宋_GB2312"/>
          <w:color w:val="auto"/>
          <w:sz w:val="32"/>
          <w:szCs w:val="32"/>
          <w:highlight w:val="none"/>
        </w:rPr>
        <w:t>“</w:t>
      </w:r>
      <w:r>
        <w:rPr>
          <w:color w:val="auto"/>
          <w:sz w:val="32"/>
          <w:szCs w:val="32"/>
          <w:highlight w:val="none"/>
        </w:rPr>
        <w:t>三保</w:t>
      </w:r>
      <w:r>
        <w:rPr>
          <w:rFonts w:hint="eastAsia" w:ascii="仿宋_GB2312" w:hAnsi="仿宋_GB2312" w:eastAsia="仿宋_GB2312" w:cs="仿宋_GB2312"/>
          <w:color w:val="auto"/>
          <w:sz w:val="32"/>
          <w:szCs w:val="32"/>
          <w:highlight w:val="none"/>
        </w:rPr>
        <w:t>”</w:t>
      </w:r>
      <w:r>
        <w:rPr>
          <w:color w:val="auto"/>
          <w:sz w:val="32"/>
          <w:szCs w:val="32"/>
          <w:highlight w:val="none"/>
        </w:rPr>
        <w:t>及重点项目的保障能力。</w:t>
      </w:r>
      <w:r>
        <w:rPr>
          <w:rFonts w:hint="eastAsia"/>
          <w:color w:val="auto"/>
          <w:sz w:val="32"/>
          <w:szCs w:val="32"/>
          <w:highlight w:val="none"/>
        </w:rPr>
        <w:t>加强政府债务全生命周期管理，科学合理确定政府债务规模与结构，健全债务风险预警和债务偿还机制。</w:t>
      </w:r>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r>
        <w:rPr>
          <w:rFonts w:hint="eastAsia"/>
          <w:b/>
          <w:bCs/>
          <w:color w:val="auto"/>
          <w:sz w:val="32"/>
          <w:szCs w:val="32"/>
          <w:highlight w:val="none"/>
        </w:rPr>
        <w:t>强化财政金融联动。</w:t>
      </w:r>
      <w:r>
        <w:rPr>
          <w:rFonts w:hint="eastAsia"/>
          <w:color w:val="auto"/>
          <w:sz w:val="32"/>
          <w:szCs w:val="32"/>
          <w:highlight w:val="none"/>
          <w:lang w:eastAsia="zh-CN"/>
        </w:rPr>
        <w:t>加强财政与金融的有效衔接，进一步发挥财政资金杠杆作用，</w:t>
      </w:r>
      <w:r>
        <w:rPr>
          <w:rFonts w:hint="eastAsia"/>
          <w:color w:val="auto"/>
          <w:sz w:val="32"/>
          <w:szCs w:val="32"/>
          <w:highlight w:val="none"/>
        </w:rPr>
        <w:t>做优做实三亚高质量发展产业基金。规范实施政府和社会资本合作新机制（</w:t>
      </w:r>
      <w:r>
        <w:rPr>
          <w:rFonts w:hint="default" w:ascii="Times New Roman" w:hAnsi="Times New Roman" w:cs="Times New Roman"/>
          <w:color w:val="auto"/>
          <w:sz w:val="32"/>
          <w:szCs w:val="32"/>
          <w:highlight w:val="none"/>
        </w:rPr>
        <w:t>PPP</w:t>
      </w:r>
      <w:r>
        <w:rPr>
          <w:rFonts w:hint="eastAsia"/>
          <w:color w:val="auto"/>
          <w:sz w:val="32"/>
          <w:szCs w:val="32"/>
          <w:highlight w:val="none"/>
        </w:rPr>
        <w:t>），支持符合条件的资产项目发行不动产投资信托基金（</w:t>
      </w:r>
      <w:r>
        <w:rPr>
          <w:rFonts w:hint="default" w:ascii="Times New Roman" w:hAnsi="Times New Roman" w:cs="Times New Roman"/>
          <w:color w:val="auto"/>
          <w:sz w:val="32"/>
          <w:szCs w:val="32"/>
          <w:highlight w:val="none"/>
        </w:rPr>
        <w:t>REITs</w:t>
      </w:r>
      <w:r>
        <w:rPr>
          <w:rFonts w:hint="eastAsia"/>
          <w:color w:val="auto"/>
          <w:sz w:val="32"/>
          <w:szCs w:val="32"/>
          <w:highlight w:val="none"/>
        </w:rPr>
        <w:t>）。</w:t>
      </w:r>
      <w:r>
        <w:rPr>
          <w:rFonts w:hint="eastAsia"/>
          <w:color w:val="auto"/>
          <w:sz w:val="32"/>
          <w:szCs w:val="32"/>
          <w:highlight w:val="none"/>
          <w:lang w:eastAsia="zh-CN"/>
        </w:rPr>
        <w:t>组建</w:t>
      </w:r>
      <w:r>
        <w:rPr>
          <w:rFonts w:hint="eastAsia"/>
          <w:color w:val="auto"/>
          <w:sz w:val="32"/>
          <w:szCs w:val="32"/>
          <w:highlight w:val="none"/>
        </w:rPr>
        <w:t>金融发展集团，赋能招商引资工作。</w:t>
      </w:r>
    </w:p>
    <w:p>
      <w:pPr>
        <w:pStyle w:val="31"/>
        <w:pageBreakBefore w:val="0"/>
        <w:widowControl w:val="0"/>
        <w:shd w:val="clear"/>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p>
    <w:p>
      <w:pPr>
        <w:pStyle w:val="31"/>
        <w:rPr>
          <w:rFonts w:hint="eastAsia"/>
          <w:color w:val="auto"/>
          <w:sz w:val="32"/>
          <w:szCs w:val="32"/>
          <w:highlight w:val="none"/>
        </w:rPr>
      </w:pPr>
      <w:bookmarkStart w:id="184" w:name="_Toc466881157"/>
      <w:bookmarkStart w:id="185" w:name="_Toc200982565"/>
      <w:bookmarkStart w:id="186" w:name="_Toc1456898701"/>
      <w:bookmarkStart w:id="187" w:name="_Toc30490"/>
      <w:bookmarkStart w:id="188" w:name="_Toc211979415"/>
      <w:bookmarkStart w:id="189" w:name="_Toc544284895"/>
      <w:bookmarkStart w:id="190" w:name="_Toc213447240"/>
      <w:bookmarkStart w:id="191" w:name="_Toc742190827"/>
      <w:bookmarkStart w:id="192" w:name="_Toc572404473"/>
      <w:bookmarkStart w:id="193" w:name="_Toc847173987"/>
      <w:bookmarkStart w:id="194" w:name="_Toc1494692975"/>
      <w:bookmarkStart w:id="195" w:name="_Toc131120785"/>
    </w:p>
    <w:p>
      <w:pPr>
        <w:pStyle w:val="31"/>
        <w:rPr>
          <w:rFonts w:hint="eastAsia"/>
          <w:color w:val="auto"/>
          <w:sz w:val="32"/>
          <w:szCs w:val="32"/>
          <w:highlight w:val="none"/>
        </w:rPr>
      </w:pPr>
    </w:p>
    <w:p>
      <w:pPr>
        <w:pStyle w:val="31"/>
        <w:rPr>
          <w:rFonts w:hint="eastAsia"/>
          <w:color w:val="auto"/>
          <w:sz w:val="32"/>
          <w:szCs w:val="32"/>
          <w:highlight w:val="none"/>
        </w:rPr>
      </w:pPr>
    </w:p>
    <w:p>
      <w:pPr>
        <w:pStyle w:val="31"/>
        <w:rPr>
          <w:rFonts w:hint="eastAsia"/>
          <w:color w:val="auto"/>
          <w:sz w:val="32"/>
          <w:szCs w:val="32"/>
          <w:highlight w:val="none"/>
        </w:rPr>
      </w:pPr>
    </w:p>
    <w:p>
      <w:pPr>
        <w:pStyle w:val="31"/>
        <w:rPr>
          <w:rFonts w:hint="eastAsia"/>
          <w:color w:val="auto"/>
          <w:sz w:val="32"/>
          <w:szCs w:val="32"/>
          <w:highlight w:val="none"/>
        </w:rPr>
      </w:pPr>
    </w:p>
    <w:p>
      <w:pPr>
        <w:pStyle w:val="31"/>
        <w:rPr>
          <w:rFonts w:hint="eastAsia"/>
          <w:color w:val="auto"/>
          <w:sz w:val="32"/>
          <w:szCs w:val="32"/>
          <w:highlight w:val="none"/>
        </w:rPr>
      </w:pPr>
    </w:p>
    <w:p>
      <w:pPr>
        <w:pStyle w:val="31"/>
        <w:rPr>
          <w:rFonts w:hint="eastAsia"/>
          <w:color w:val="auto"/>
          <w:sz w:val="32"/>
          <w:szCs w:val="32"/>
          <w:highlight w:val="none"/>
        </w:rPr>
      </w:pPr>
    </w:p>
    <w:p>
      <w:pPr>
        <w:pStyle w:val="31"/>
        <w:rPr>
          <w:rFonts w:hint="eastAsia"/>
          <w:color w:val="auto"/>
          <w:sz w:val="32"/>
          <w:szCs w:val="32"/>
          <w:highlight w:val="none"/>
        </w:rPr>
      </w:pPr>
    </w:p>
    <w:p>
      <w:pPr>
        <w:pStyle w:val="31"/>
        <w:rPr>
          <w:rFonts w:hint="eastAsia"/>
          <w:color w:val="auto"/>
          <w:sz w:val="32"/>
          <w:szCs w:val="32"/>
          <w:highlight w:val="none"/>
        </w:rPr>
      </w:pPr>
    </w:p>
    <w:p>
      <w:pPr>
        <w:pStyle w:val="31"/>
        <w:adjustRightInd w:val="0"/>
        <w:snapToGrid w:val="0"/>
        <w:spacing w:line="576" w:lineRule="exact"/>
        <w:rPr>
          <w:rFonts w:hint="eastAsia"/>
          <w:color w:val="auto"/>
          <w:sz w:val="32"/>
          <w:szCs w:val="32"/>
          <w:highlight w:val="none"/>
        </w:rPr>
      </w:pPr>
    </w:p>
    <w:p>
      <w:pPr>
        <w:pStyle w:val="31"/>
        <w:rPr>
          <w:rFonts w:hint="eastAsia"/>
          <w:color w:val="auto"/>
          <w:sz w:val="32"/>
          <w:szCs w:val="32"/>
          <w:highlight w:val="none"/>
        </w:rPr>
      </w:pPr>
    </w:p>
    <w:p>
      <w:pPr>
        <w:pStyle w:val="31"/>
        <w:rPr>
          <w:rFonts w:hint="eastAsia"/>
          <w:color w:val="auto"/>
          <w:sz w:val="32"/>
          <w:szCs w:val="32"/>
          <w:highlight w:val="none"/>
        </w:rPr>
      </w:pPr>
    </w:p>
    <w:p>
      <w:pPr>
        <w:pStyle w:val="31"/>
        <w:adjustRightInd w:val="0"/>
        <w:snapToGrid w:val="0"/>
        <w:spacing w:line="576" w:lineRule="exact"/>
        <w:rPr>
          <w:rFonts w:hint="eastAsia"/>
          <w:color w:val="auto"/>
          <w:sz w:val="32"/>
          <w:szCs w:val="32"/>
          <w:highlight w:val="none"/>
        </w:rPr>
      </w:pPr>
    </w:p>
    <w:p>
      <w:pPr>
        <w:pStyle w:val="31"/>
        <w:adjustRightInd w:val="0"/>
        <w:snapToGrid w:val="0"/>
        <w:spacing w:line="576" w:lineRule="exact"/>
        <w:rPr>
          <w:rFonts w:hint="eastAsia"/>
          <w:color w:val="auto"/>
          <w:sz w:val="32"/>
          <w:szCs w:val="32"/>
          <w:highlight w:val="none"/>
        </w:rPr>
      </w:pPr>
    </w:p>
    <w:p>
      <w:pPr>
        <w:pStyle w:val="3"/>
        <w:pageBreakBefore w:val="0"/>
        <w:widowControl w:val="0"/>
        <w:shd w:val="clear"/>
        <w:kinsoku/>
        <w:wordWrap/>
        <w:overflowPunct/>
        <w:topLinePunct w:val="0"/>
        <w:autoSpaceDE/>
        <w:autoSpaceDN/>
        <w:bidi w:val="0"/>
        <w:adjustRightInd w:val="0"/>
        <w:snapToGrid w:val="0"/>
        <w:spacing w:line="576" w:lineRule="exact"/>
        <w:jc w:val="both"/>
        <w:textAlignment w:val="auto"/>
        <w:rPr>
          <w:rFonts w:hint="eastAsia"/>
          <w:color w:val="auto"/>
          <w:sz w:val="40"/>
          <w:szCs w:val="40"/>
          <w:highlight w:val="none"/>
        </w:rPr>
      </w:pPr>
    </w:p>
    <w:p>
      <w:pPr>
        <w:pStyle w:val="3"/>
        <w:pageBreakBefore w:val="0"/>
        <w:widowControl w:val="0"/>
        <w:shd w:val="clear"/>
        <w:kinsoku/>
        <w:wordWrap/>
        <w:overflowPunct/>
        <w:topLinePunct w:val="0"/>
        <w:autoSpaceDE/>
        <w:autoSpaceDN/>
        <w:bidi w:val="0"/>
        <w:adjustRightInd w:val="0"/>
        <w:snapToGrid w:val="0"/>
        <w:spacing w:line="576" w:lineRule="exact"/>
        <w:textAlignment w:val="auto"/>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sz w:val="40"/>
          <w:szCs w:val="40"/>
          <w:highlight w:val="none"/>
        </w:rPr>
        <w:t xml:space="preserve">第三章  </w:t>
      </w:r>
      <w:r>
        <w:rPr>
          <w:rFonts w:hint="eastAsia" w:ascii="方正小标宋简体" w:hAnsi="方正小标宋简体" w:eastAsia="方正小标宋简体" w:cs="方正小标宋简体"/>
          <w:color w:val="auto"/>
          <w:sz w:val="40"/>
          <w:szCs w:val="40"/>
          <w:highlight w:val="none"/>
          <w:lang w:val="en-US" w:eastAsia="zh-CN"/>
        </w:rPr>
        <w:t>加快建设</w:t>
      </w:r>
      <w:r>
        <w:rPr>
          <w:rFonts w:hint="eastAsia" w:ascii="方正小标宋简体" w:hAnsi="方正小标宋简体" w:eastAsia="方正小标宋简体" w:cs="方正小标宋简体"/>
          <w:color w:val="auto"/>
          <w:sz w:val="40"/>
          <w:szCs w:val="40"/>
          <w:highlight w:val="none"/>
        </w:rPr>
        <w:t>国家重大战略服务保障区</w:t>
      </w:r>
      <w:bookmarkEnd w:id="184"/>
      <w:bookmarkEnd w:id="185"/>
      <w:bookmarkEnd w:id="186"/>
      <w:bookmarkEnd w:id="187"/>
      <w:bookmarkEnd w:id="188"/>
      <w:bookmarkEnd w:id="189"/>
      <w:bookmarkEnd w:id="190"/>
      <w:bookmarkEnd w:id="191"/>
      <w:bookmarkEnd w:id="192"/>
      <w:bookmarkEnd w:id="193"/>
      <w:bookmarkEnd w:id="194"/>
      <w:bookmarkEnd w:id="195"/>
    </w:p>
    <w:p>
      <w:pPr>
        <w:pStyle w:val="31"/>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方正小标宋简体" w:hAnsi="方正小标宋简体" w:eastAsia="方正小标宋简体" w:cs="方正小标宋简体"/>
          <w:color w:val="auto"/>
          <w:sz w:val="32"/>
          <w:szCs w:val="32"/>
          <w:highlight w:val="none"/>
        </w:rPr>
      </w:pPr>
    </w:p>
    <w:p>
      <w:pPr>
        <w:pStyle w:val="31"/>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方正小标宋简体" w:hAnsi="方正小标宋简体" w:eastAsia="方正小标宋简体" w:cs="方正小标宋简体"/>
          <w:color w:val="auto"/>
          <w:sz w:val="32"/>
          <w:szCs w:val="32"/>
          <w:highlight w:val="none"/>
        </w:rPr>
      </w:pPr>
    </w:p>
    <w:p>
      <w:pPr>
        <w:pStyle w:val="31"/>
        <w:keepNext w:val="0"/>
        <w:keepLines w:val="0"/>
        <w:pageBreakBefore w:val="0"/>
        <w:widowControl w:val="0"/>
        <w:kinsoku/>
        <w:wordWrap/>
        <w:overflowPunct/>
        <w:topLinePunct w:val="0"/>
        <w:autoSpaceDE/>
        <w:autoSpaceDN/>
        <w:bidi w:val="0"/>
        <w:adjustRightInd w:val="0"/>
        <w:snapToGrid w:val="0"/>
        <w:spacing w:line="560" w:lineRule="exact"/>
        <w:textAlignment w:val="auto"/>
        <w:rPr>
          <w:color w:val="auto"/>
          <w:sz w:val="32"/>
          <w:szCs w:val="32"/>
          <w:highlight w:val="none"/>
        </w:rPr>
      </w:pPr>
      <w:r>
        <w:rPr>
          <w:rFonts w:hint="eastAsia"/>
          <w:color w:val="auto"/>
          <w:sz w:val="32"/>
          <w:szCs w:val="32"/>
          <w:highlight w:val="none"/>
        </w:rPr>
        <w:t>扛牢“守好祖国南大门”的职责使命，全面加强支撑保障能力建设，主动服务和融入海洋强国建设等重大战略，推动国防建设和经济社会协调发展。</w:t>
      </w:r>
    </w:p>
    <w:p>
      <w:pPr>
        <w:pStyle w:val="4"/>
        <w:keepNext w:val="0"/>
        <w:keepLines w:val="0"/>
        <w:pageBreakBefore w:val="0"/>
        <w:widowControl w:val="0"/>
        <w:shd w:val="clear"/>
        <w:kinsoku/>
        <w:wordWrap/>
        <w:overflowPunct/>
        <w:topLinePunct w:val="0"/>
        <w:autoSpaceDE/>
        <w:autoSpaceDN/>
        <w:bidi w:val="0"/>
        <w:adjustRightInd w:val="0"/>
        <w:snapToGrid w:val="0"/>
        <w:spacing w:line="560" w:lineRule="exact"/>
        <w:ind w:left="0" w:leftChars="0" w:firstLine="0" w:firstLineChars="0"/>
        <w:textAlignment w:val="auto"/>
        <w:rPr>
          <w:rFonts w:hint="eastAsia"/>
          <w:color w:val="auto"/>
          <w:sz w:val="32"/>
          <w:szCs w:val="32"/>
          <w:highlight w:val="none"/>
        </w:rPr>
      </w:pPr>
      <w:bookmarkStart w:id="196" w:name="_Toc192255386"/>
      <w:bookmarkStart w:id="197" w:name="_Toc1752348166"/>
      <w:bookmarkStart w:id="198" w:name="_Toc213447241"/>
      <w:bookmarkStart w:id="199" w:name="_Toc1330231995"/>
      <w:bookmarkStart w:id="200" w:name="_Toc200982566"/>
      <w:bookmarkStart w:id="201" w:name="_Toc1465533784"/>
      <w:bookmarkStart w:id="202" w:name="_Toc211979416"/>
      <w:bookmarkStart w:id="203" w:name="_Toc1093870726"/>
      <w:bookmarkStart w:id="204" w:name="_Toc1379732937"/>
      <w:bookmarkStart w:id="205" w:name="_Toc28628"/>
      <w:bookmarkStart w:id="206" w:name="_Toc951763986"/>
      <w:bookmarkStart w:id="207" w:name="_Toc130403296"/>
    </w:p>
    <w:p>
      <w:pPr>
        <w:pStyle w:val="4"/>
        <w:keepNext w:val="0"/>
        <w:keepLines w:val="0"/>
        <w:pageBreakBefore w:val="0"/>
        <w:widowControl w:val="0"/>
        <w:shd w:val="clear"/>
        <w:kinsoku/>
        <w:wordWrap/>
        <w:overflowPunct/>
        <w:topLinePunct w:val="0"/>
        <w:autoSpaceDE/>
        <w:autoSpaceDN/>
        <w:bidi w:val="0"/>
        <w:adjustRightInd w:val="0"/>
        <w:snapToGrid w:val="0"/>
        <w:spacing w:line="560" w:lineRule="exact"/>
        <w:ind w:left="0" w:leftChars="0" w:firstLine="0" w:firstLineChars="0"/>
        <w:jc w:val="center"/>
        <w:textAlignment w:val="auto"/>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2"/>
          <w:szCs w:val="32"/>
          <w:highlight w:val="none"/>
        </w:rPr>
        <w:t>第一节  持续深化军</w:t>
      </w:r>
      <w:bookmarkEnd w:id="196"/>
      <w:bookmarkEnd w:id="197"/>
      <w:bookmarkEnd w:id="198"/>
      <w:bookmarkEnd w:id="199"/>
      <w:bookmarkEnd w:id="200"/>
      <w:bookmarkEnd w:id="201"/>
      <w:bookmarkEnd w:id="202"/>
      <w:r>
        <w:rPr>
          <w:rFonts w:hint="eastAsia" w:ascii="黑体" w:hAnsi="黑体" w:eastAsia="黑体" w:cs="黑体"/>
          <w:b w:val="0"/>
          <w:bCs/>
          <w:color w:val="auto"/>
          <w:sz w:val="32"/>
          <w:szCs w:val="32"/>
          <w:highlight w:val="none"/>
          <w:lang w:eastAsia="zh-CN"/>
        </w:rPr>
        <w:t>地协调发展</w:t>
      </w:r>
      <w:bookmarkEnd w:id="203"/>
      <w:bookmarkEnd w:id="204"/>
      <w:bookmarkEnd w:id="205"/>
      <w:bookmarkEnd w:id="206"/>
      <w:bookmarkEnd w:id="207"/>
    </w:p>
    <w:p>
      <w:pPr>
        <w:pStyle w:val="31"/>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color w:val="auto"/>
          <w:sz w:val="32"/>
          <w:szCs w:val="32"/>
          <w:highlight w:val="none"/>
        </w:rPr>
      </w:pPr>
    </w:p>
    <w:p>
      <w:pPr>
        <w:pStyle w:val="31"/>
        <w:keepNext w:val="0"/>
        <w:keepLines w:val="0"/>
        <w:pageBreakBefore w:val="0"/>
        <w:widowControl w:val="0"/>
        <w:kinsoku/>
        <w:wordWrap/>
        <w:overflowPunct/>
        <w:topLinePunct w:val="0"/>
        <w:autoSpaceDE/>
        <w:autoSpaceDN/>
        <w:bidi w:val="0"/>
        <w:adjustRightInd w:val="0"/>
        <w:snapToGrid w:val="0"/>
        <w:spacing w:line="556" w:lineRule="exact"/>
        <w:textAlignment w:val="auto"/>
        <w:rPr>
          <w:color w:val="auto"/>
          <w:sz w:val="32"/>
          <w:szCs w:val="32"/>
          <w:highlight w:val="none"/>
        </w:rPr>
      </w:pPr>
      <w:r>
        <w:rPr>
          <w:rFonts w:hint="eastAsia"/>
          <w:b/>
          <w:bCs/>
          <w:color w:val="auto"/>
          <w:sz w:val="32"/>
          <w:szCs w:val="32"/>
          <w:highlight w:val="none"/>
        </w:rPr>
        <w:t>推动军地统筹协调发展。</w:t>
      </w:r>
      <w:r>
        <w:rPr>
          <w:rFonts w:hint="eastAsia"/>
          <w:color w:val="auto"/>
          <w:sz w:val="32"/>
          <w:szCs w:val="32"/>
          <w:highlight w:val="none"/>
        </w:rPr>
        <w:t>坚持军事优先、富国强军统一原则，深化跨军地改革，健全完善军地共商、科技共兴、设施共建、后勤共保的体制机制，持续推动军地基础设施、科技、教育、医疗等资源共建共享共用</w:t>
      </w:r>
      <w:r>
        <w:rPr>
          <w:rFonts w:hint="eastAsia"/>
          <w:color w:val="auto"/>
          <w:sz w:val="32"/>
          <w:szCs w:val="32"/>
          <w:highlight w:val="none"/>
          <w:lang w:eastAsia="zh-CN"/>
        </w:rPr>
        <w:t>，推动重大经济基础设施建设贯彻国防要求</w:t>
      </w:r>
      <w:r>
        <w:rPr>
          <w:rFonts w:hint="eastAsia"/>
          <w:color w:val="auto"/>
          <w:sz w:val="32"/>
          <w:szCs w:val="32"/>
          <w:highlight w:val="none"/>
        </w:rPr>
        <w:t>。加强与军队合作，发展</w:t>
      </w:r>
      <w:r>
        <w:rPr>
          <w:rFonts w:hint="eastAsia"/>
          <w:color w:val="auto"/>
          <w:sz w:val="32"/>
          <w:szCs w:val="32"/>
          <w:highlight w:val="none"/>
          <w:lang w:eastAsia="zh-CN"/>
        </w:rPr>
        <w:t>军队</w:t>
      </w:r>
      <w:r>
        <w:rPr>
          <w:rFonts w:hint="eastAsia"/>
          <w:color w:val="auto"/>
          <w:sz w:val="32"/>
          <w:szCs w:val="32"/>
          <w:highlight w:val="none"/>
        </w:rPr>
        <w:t>副食品供应</w:t>
      </w:r>
      <w:r>
        <w:rPr>
          <w:rFonts w:hint="eastAsia"/>
          <w:color w:val="auto"/>
          <w:sz w:val="32"/>
          <w:szCs w:val="32"/>
          <w:highlight w:val="none"/>
          <w:lang w:eastAsia="zh-CN"/>
        </w:rPr>
        <w:t>、</w:t>
      </w:r>
      <w:r>
        <w:rPr>
          <w:rFonts w:hint="eastAsia"/>
          <w:color w:val="auto"/>
          <w:sz w:val="32"/>
          <w:szCs w:val="32"/>
          <w:highlight w:val="none"/>
        </w:rPr>
        <w:t>关键重要小件制造、维保和土地综合开发等业务</w:t>
      </w:r>
      <w:r>
        <w:rPr>
          <w:rFonts w:hint="eastAsia"/>
          <w:color w:val="auto"/>
          <w:sz w:val="32"/>
          <w:szCs w:val="32"/>
          <w:highlight w:val="none"/>
          <w:lang w:eastAsia="zh-CN"/>
        </w:rPr>
        <w:t>，</w:t>
      </w:r>
      <w:r>
        <w:rPr>
          <w:rFonts w:hint="eastAsia"/>
          <w:color w:val="auto"/>
          <w:sz w:val="32"/>
          <w:szCs w:val="32"/>
          <w:highlight w:val="none"/>
        </w:rPr>
        <w:t>促进国防经济与社会经济、军用技术与民用技术深度融合。</w:t>
      </w:r>
    </w:p>
    <w:p>
      <w:pPr>
        <w:pStyle w:val="31"/>
        <w:keepNext w:val="0"/>
        <w:keepLines w:val="0"/>
        <w:pageBreakBefore w:val="0"/>
        <w:widowControl w:val="0"/>
        <w:kinsoku/>
        <w:wordWrap/>
        <w:overflowPunct/>
        <w:topLinePunct w:val="0"/>
        <w:autoSpaceDE/>
        <w:autoSpaceDN/>
        <w:bidi w:val="0"/>
        <w:adjustRightInd w:val="0"/>
        <w:snapToGrid w:val="0"/>
        <w:spacing w:line="556" w:lineRule="exact"/>
        <w:textAlignment w:val="auto"/>
        <w:rPr>
          <w:rFonts w:hint="eastAsia"/>
          <w:color w:val="auto"/>
          <w:sz w:val="32"/>
          <w:szCs w:val="32"/>
          <w:highlight w:val="none"/>
        </w:rPr>
      </w:pPr>
      <w:r>
        <w:rPr>
          <w:rFonts w:hint="eastAsia"/>
          <w:b/>
          <w:bCs/>
          <w:color w:val="auto"/>
          <w:sz w:val="32"/>
          <w:szCs w:val="32"/>
          <w:highlight w:val="none"/>
        </w:rPr>
        <w:t>强化国防动员能力建设。</w:t>
      </w:r>
      <w:r>
        <w:rPr>
          <w:rFonts w:hint="eastAsia"/>
          <w:color w:val="auto"/>
          <w:sz w:val="32"/>
          <w:szCs w:val="32"/>
          <w:highlight w:val="none"/>
        </w:rPr>
        <w:t>建立健全平战结合的国防动员组织指挥体系</w:t>
      </w:r>
      <w:r>
        <w:rPr>
          <w:rFonts w:hint="eastAsia"/>
          <w:color w:val="auto"/>
          <w:sz w:val="32"/>
          <w:szCs w:val="32"/>
          <w:highlight w:val="none"/>
          <w:lang w:eastAsia="zh-CN"/>
        </w:rPr>
        <w:t>、制度体系、</w:t>
      </w:r>
      <w:r>
        <w:rPr>
          <w:rFonts w:hint="eastAsia"/>
          <w:color w:val="auto"/>
          <w:sz w:val="32"/>
          <w:szCs w:val="32"/>
          <w:highlight w:val="none"/>
        </w:rPr>
        <w:t>完善方案预案体系</w:t>
      </w:r>
      <w:r>
        <w:rPr>
          <w:rFonts w:hint="eastAsia"/>
          <w:color w:val="auto"/>
          <w:sz w:val="32"/>
          <w:szCs w:val="32"/>
          <w:highlight w:val="none"/>
          <w:lang w:eastAsia="zh-CN"/>
        </w:rPr>
        <w:t>等</w:t>
      </w:r>
      <w:r>
        <w:rPr>
          <w:rFonts w:hint="eastAsia"/>
          <w:color w:val="auto"/>
          <w:sz w:val="32"/>
          <w:szCs w:val="32"/>
          <w:highlight w:val="none"/>
        </w:rPr>
        <w:t>。持续加强国防动员后备力量建设，常态开展国防动员培训和演练，打造过硬国防动员人才队伍</w:t>
      </w:r>
      <w:r>
        <w:rPr>
          <w:rFonts w:hint="eastAsia"/>
          <w:color w:val="auto"/>
          <w:sz w:val="32"/>
          <w:szCs w:val="32"/>
          <w:highlight w:val="none"/>
          <w:lang w:eastAsia="zh-CN"/>
        </w:rPr>
        <w:t>，</w:t>
      </w:r>
      <w:r>
        <w:rPr>
          <w:rFonts w:hint="eastAsia"/>
          <w:color w:val="auto"/>
          <w:sz w:val="32"/>
          <w:szCs w:val="32"/>
          <w:highlight w:val="none"/>
        </w:rPr>
        <w:t>探索推进国防动员信息化建设。优化国防动员专业保障队伍编组。</w:t>
      </w:r>
      <w:r>
        <w:rPr>
          <w:rFonts w:hint="eastAsia"/>
          <w:color w:val="auto"/>
          <w:sz w:val="32"/>
          <w:szCs w:val="32"/>
          <w:highlight w:val="none"/>
          <w:lang w:eastAsia="zh-CN"/>
        </w:rPr>
        <w:t>加</w:t>
      </w:r>
      <w:r>
        <w:rPr>
          <w:rFonts w:hint="eastAsia"/>
          <w:color w:val="auto"/>
          <w:sz w:val="32"/>
          <w:szCs w:val="32"/>
          <w:highlight w:val="none"/>
        </w:rPr>
        <w:t>强重点领域防护，深化人民防空管理体制改革，统筹推进人防与应急管理一体化建设和资源共享，建立健全协同工作体系。</w:t>
      </w: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lang w:eastAsia="zh-CN"/>
        </w:rPr>
        <w:t>持续</w:t>
      </w:r>
      <w:r>
        <w:rPr>
          <w:rFonts w:hint="eastAsia"/>
          <w:b/>
          <w:bCs/>
          <w:color w:val="auto"/>
          <w:sz w:val="32"/>
          <w:szCs w:val="32"/>
          <w:highlight w:val="none"/>
        </w:rPr>
        <w:t>深化双拥模范城创建。</w:t>
      </w:r>
      <w:r>
        <w:rPr>
          <w:rFonts w:hint="eastAsia"/>
          <w:color w:val="auto"/>
          <w:sz w:val="32"/>
          <w:szCs w:val="32"/>
          <w:highlight w:val="none"/>
        </w:rPr>
        <w:t>健全拥军支前协调机制，全面落实退役军人安置保障政策。加强烈士纪念设施建设、修缮、管理维护。建立军地互办实事清单制度，开展军民共建活动，进一步弘扬拥军优属、拥政爱民的优良传统</w:t>
      </w:r>
      <w:r>
        <w:rPr>
          <w:rFonts w:hint="eastAsia"/>
          <w:color w:val="auto"/>
          <w:sz w:val="32"/>
          <w:szCs w:val="32"/>
          <w:highlight w:val="none"/>
          <w:lang w:eastAsia="zh-CN"/>
        </w:rPr>
        <w:t>，</w:t>
      </w:r>
      <w:r>
        <w:rPr>
          <w:rFonts w:hint="eastAsia"/>
          <w:color w:val="auto"/>
          <w:sz w:val="32"/>
          <w:szCs w:val="32"/>
          <w:highlight w:val="none"/>
        </w:rPr>
        <w:t>推进党政军警民合力强边固防。</w:t>
      </w:r>
      <w:r>
        <w:rPr>
          <w:rFonts w:hint="eastAsia"/>
          <w:color w:val="auto"/>
          <w:sz w:val="32"/>
          <w:szCs w:val="32"/>
          <w:highlight w:val="none"/>
          <w:lang w:eastAsia="zh-CN"/>
        </w:rPr>
        <w:t>加强</w:t>
      </w:r>
      <w:r>
        <w:rPr>
          <w:rFonts w:hint="eastAsia"/>
          <w:color w:val="auto"/>
          <w:sz w:val="32"/>
          <w:szCs w:val="32"/>
          <w:highlight w:val="none"/>
        </w:rPr>
        <w:t>全民国防教育，实施国防教育骨干培训、青少年军事实践体验、社区国防知识普及计划</w:t>
      </w:r>
      <w:r>
        <w:rPr>
          <w:rFonts w:hint="eastAsia"/>
          <w:color w:val="auto"/>
          <w:sz w:val="32"/>
          <w:szCs w:val="32"/>
          <w:highlight w:val="none"/>
          <w:lang w:eastAsia="zh-CN"/>
        </w:rPr>
        <w:t>，</w:t>
      </w:r>
      <w:r>
        <w:rPr>
          <w:rFonts w:hint="eastAsia"/>
          <w:color w:val="auto"/>
          <w:sz w:val="32"/>
          <w:szCs w:val="32"/>
          <w:highlight w:val="none"/>
        </w:rPr>
        <w:t>不断巩固军政军民团结良好局面。</w:t>
      </w:r>
    </w:p>
    <w:p>
      <w:pPr>
        <w:pStyle w:val="4"/>
        <w:keepNext w:val="0"/>
        <w:keepLines w:val="0"/>
        <w:pageBreakBefore w:val="0"/>
        <w:widowControl w:val="0"/>
        <w:shd w:val="clear"/>
        <w:kinsoku/>
        <w:wordWrap/>
        <w:overflowPunct/>
        <w:topLinePunct w:val="0"/>
        <w:autoSpaceDE/>
        <w:autoSpaceDN/>
        <w:bidi w:val="0"/>
        <w:adjustRightInd w:val="0"/>
        <w:snapToGrid w:val="0"/>
        <w:spacing w:line="576" w:lineRule="exact"/>
        <w:ind w:left="0" w:leftChars="0" w:firstLine="0" w:firstLineChars="0"/>
        <w:textAlignment w:val="auto"/>
        <w:rPr>
          <w:rFonts w:hint="eastAsia"/>
          <w:color w:val="auto"/>
          <w:sz w:val="32"/>
          <w:szCs w:val="32"/>
          <w:highlight w:val="none"/>
        </w:rPr>
      </w:pPr>
      <w:bookmarkStart w:id="208" w:name="_Toc375709688"/>
      <w:bookmarkStart w:id="209" w:name="_Toc1405946049"/>
      <w:bookmarkStart w:id="210" w:name="_Toc1852644214"/>
      <w:bookmarkStart w:id="211" w:name="_Toc200982567"/>
      <w:bookmarkStart w:id="212" w:name="_Toc19783"/>
      <w:bookmarkStart w:id="213" w:name="_Toc1139675510"/>
      <w:bookmarkStart w:id="214" w:name="_Toc211979417"/>
      <w:bookmarkStart w:id="215" w:name="_Toc247135361"/>
      <w:bookmarkStart w:id="216" w:name="_Toc1959491074"/>
      <w:bookmarkStart w:id="217" w:name="_Toc213447242"/>
      <w:bookmarkStart w:id="218" w:name="_Toc527927005"/>
      <w:bookmarkStart w:id="219" w:name="_Toc551103404"/>
    </w:p>
    <w:p>
      <w:pPr>
        <w:pStyle w:val="4"/>
        <w:keepNext w:val="0"/>
        <w:keepLines w:val="0"/>
        <w:pageBreakBefore w:val="0"/>
        <w:widowControl w:val="0"/>
        <w:shd w:val="clear"/>
        <w:kinsoku/>
        <w:wordWrap/>
        <w:overflowPunct/>
        <w:topLinePunct w:val="0"/>
        <w:autoSpaceDE/>
        <w:autoSpaceDN/>
        <w:bidi w:val="0"/>
        <w:adjustRightInd w:val="0"/>
        <w:snapToGrid w:val="0"/>
        <w:spacing w:line="576"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第二节  服务和推进海洋资源开发</w:t>
      </w:r>
      <w:bookmarkEnd w:id="208"/>
      <w:bookmarkEnd w:id="209"/>
      <w:bookmarkEnd w:id="210"/>
      <w:bookmarkEnd w:id="211"/>
      <w:bookmarkEnd w:id="212"/>
      <w:bookmarkEnd w:id="213"/>
      <w:bookmarkEnd w:id="214"/>
      <w:bookmarkEnd w:id="215"/>
      <w:bookmarkEnd w:id="216"/>
      <w:bookmarkEnd w:id="217"/>
      <w:bookmarkEnd w:id="218"/>
      <w:bookmarkEnd w:id="219"/>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rPr>
        <w:t>强化海洋生物资源开发服务保障。</w:t>
      </w:r>
      <w:r>
        <w:rPr>
          <w:rFonts w:hint="eastAsia"/>
          <w:color w:val="auto"/>
          <w:sz w:val="32"/>
          <w:szCs w:val="32"/>
          <w:highlight w:val="none"/>
        </w:rPr>
        <w:t>围绕“再造一个‘海上三亚’”目标，抓好海洋开发，向海洋要生产力、求新增长点，建设海洋强市。构建渔业生产服务体系，延伸水产品产业链。严控近海捕捞强度，推动海洋捕捞向外海、远海拓展，发展深海养殖，建设</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海上粮仓</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。深度发掘</w:t>
      </w:r>
      <w:r>
        <w:rPr>
          <w:rFonts w:hint="eastAsia"/>
          <w:color w:val="auto"/>
          <w:sz w:val="32"/>
          <w:szCs w:val="32"/>
          <w:highlight w:val="none"/>
          <w:lang w:eastAsia="zh-CN"/>
        </w:rPr>
        <w:t>利用</w:t>
      </w:r>
      <w:r>
        <w:rPr>
          <w:rFonts w:hint="eastAsia"/>
          <w:color w:val="auto"/>
          <w:sz w:val="32"/>
          <w:szCs w:val="32"/>
          <w:highlight w:val="none"/>
        </w:rPr>
        <w:t>海洋生物资源价值，大力发展海洋生物制造产业，完善海洋生物制品安全保障，提高</w:t>
      </w:r>
      <w:r>
        <w:rPr>
          <w:rFonts w:hint="eastAsia"/>
          <w:color w:val="auto"/>
          <w:sz w:val="32"/>
          <w:szCs w:val="32"/>
          <w:highlight w:val="none"/>
          <w:lang w:eastAsia="zh-CN"/>
        </w:rPr>
        <w:t>海洋</w:t>
      </w:r>
      <w:r>
        <w:rPr>
          <w:rFonts w:hint="eastAsia"/>
          <w:color w:val="auto"/>
          <w:sz w:val="32"/>
          <w:szCs w:val="32"/>
          <w:highlight w:val="none"/>
        </w:rPr>
        <w:t>生物资源开发利用和产业发展水平。</w:t>
      </w: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rPr>
        <w:t>强化南海文旅资源开发服务保障。</w:t>
      </w:r>
      <w:r>
        <w:rPr>
          <w:rFonts w:hint="eastAsia"/>
          <w:color w:val="auto"/>
          <w:sz w:val="32"/>
          <w:szCs w:val="32"/>
          <w:highlight w:val="none"/>
        </w:rPr>
        <w:t>完善海上旅游基础设施，开辟邮轮旅游新航线，积极发展海上旅游观光等新业态</w:t>
      </w:r>
      <w:r>
        <w:rPr>
          <w:rFonts w:hint="eastAsia"/>
          <w:color w:val="auto"/>
          <w:sz w:val="32"/>
          <w:szCs w:val="32"/>
          <w:highlight w:val="none"/>
          <w:lang w:eastAsia="zh-CN"/>
        </w:rPr>
        <w:t>，</w:t>
      </w:r>
      <w:r>
        <w:rPr>
          <w:rFonts w:hint="eastAsia"/>
          <w:color w:val="auto"/>
          <w:sz w:val="32"/>
          <w:szCs w:val="32"/>
          <w:highlight w:val="none"/>
        </w:rPr>
        <w:t>探索深海旅游合作开发，加强南海文化挖掘和水下文物保护，打造具有强吸引力的旅游</w:t>
      </w:r>
      <w:r>
        <w:rPr>
          <w:rFonts w:hint="eastAsia"/>
          <w:color w:val="auto"/>
          <w:sz w:val="32"/>
          <w:szCs w:val="32"/>
          <w:highlight w:val="none"/>
          <w:lang w:eastAsia="zh-CN"/>
        </w:rPr>
        <w:t>产品</w:t>
      </w:r>
      <w:r>
        <w:rPr>
          <w:rFonts w:hint="eastAsia"/>
          <w:color w:val="auto"/>
          <w:sz w:val="32"/>
          <w:szCs w:val="32"/>
          <w:highlight w:val="none"/>
        </w:rPr>
        <w:t>。</w:t>
      </w: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rPr>
        <w:t>强化南海深海科技发展服务保障。</w:t>
      </w:r>
      <w:r>
        <w:rPr>
          <w:rFonts w:hint="eastAsia"/>
          <w:color w:val="auto"/>
          <w:sz w:val="32"/>
          <w:szCs w:val="32"/>
          <w:highlight w:val="none"/>
        </w:rPr>
        <w:t>打造深海装备技术试验验证基地。加强研发试验共性技术支撑平台</w:t>
      </w:r>
      <w:r>
        <w:rPr>
          <w:rFonts w:hint="eastAsia"/>
          <w:color w:val="auto"/>
          <w:sz w:val="32"/>
          <w:szCs w:val="32"/>
          <w:highlight w:val="none"/>
          <w:lang w:eastAsia="zh-CN"/>
        </w:rPr>
        <w:t>、</w:t>
      </w:r>
      <w:r>
        <w:rPr>
          <w:rFonts w:hint="eastAsia"/>
          <w:color w:val="auto"/>
          <w:sz w:val="32"/>
          <w:szCs w:val="32"/>
          <w:highlight w:val="none"/>
        </w:rPr>
        <w:t>科考公共码头及运维保障平台建设，</w:t>
      </w:r>
      <w:r>
        <w:rPr>
          <w:rFonts w:hint="eastAsia"/>
          <w:color w:val="auto"/>
          <w:sz w:val="32"/>
          <w:szCs w:val="32"/>
          <w:highlight w:val="none"/>
          <w:lang w:val="en-US" w:eastAsia="zh-CN"/>
        </w:rPr>
        <w:t>推动</w:t>
      </w:r>
      <w:r>
        <w:rPr>
          <w:rFonts w:hint="eastAsia"/>
          <w:color w:val="auto"/>
          <w:sz w:val="32"/>
          <w:szCs w:val="32"/>
          <w:highlight w:val="none"/>
        </w:rPr>
        <w:t>南山港建设成为国际公共科考试验母港</w:t>
      </w:r>
      <w:r>
        <w:rPr>
          <w:rFonts w:hint="eastAsia"/>
          <w:color w:val="auto"/>
          <w:sz w:val="32"/>
          <w:szCs w:val="32"/>
          <w:highlight w:val="none"/>
          <w:lang w:val="en-US" w:eastAsia="zh-CN"/>
        </w:rPr>
        <w:t>，</w:t>
      </w:r>
      <w:r>
        <w:rPr>
          <w:rFonts w:hint="eastAsia"/>
          <w:color w:val="auto"/>
          <w:sz w:val="32"/>
          <w:szCs w:val="32"/>
          <w:highlight w:val="none"/>
        </w:rPr>
        <w:t>支持服务海洋科技创新和产业发展。充分发挥科研机构作用，加力推动南海矿产、能源资源勘查，进一步突破尚未攻克的深水关键技术和产品。高质量搜集、整理、应用南海数据。</w:t>
      </w: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r>
        <w:rPr>
          <w:rFonts w:hint="eastAsia"/>
          <w:b/>
          <w:bCs/>
          <w:color w:val="auto"/>
          <w:sz w:val="32"/>
          <w:szCs w:val="32"/>
          <w:highlight w:val="none"/>
        </w:rPr>
        <w:t>强化南海维权斗争服务保障。</w:t>
      </w:r>
      <w:r>
        <w:rPr>
          <w:rFonts w:hint="eastAsia"/>
          <w:color w:val="auto"/>
          <w:sz w:val="32"/>
          <w:szCs w:val="32"/>
          <w:highlight w:val="none"/>
        </w:rPr>
        <w:t>开展海洋合作与治理国际交流，常态化开展军警民联合海上巡逻管控行动，加快推动海上执法维权基础设施升级改造，支持南海维权执法</w:t>
      </w:r>
      <w:r>
        <w:rPr>
          <w:rFonts w:hint="eastAsia"/>
          <w:color w:val="auto"/>
          <w:sz w:val="32"/>
          <w:szCs w:val="32"/>
          <w:highlight w:val="none"/>
          <w:lang w:val="en"/>
        </w:rPr>
        <w:t>，服务国家总体外交</w:t>
      </w:r>
      <w:r>
        <w:rPr>
          <w:rFonts w:hint="eastAsia"/>
          <w:color w:val="auto"/>
          <w:sz w:val="32"/>
          <w:szCs w:val="32"/>
          <w:highlight w:val="none"/>
        </w:rPr>
        <w:t>。加快推</w:t>
      </w:r>
      <w:r>
        <w:rPr>
          <w:rFonts w:hint="eastAsia"/>
          <w:color w:val="auto"/>
          <w:sz w:val="32"/>
          <w:szCs w:val="32"/>
          <w:highlight w:val="none"/>
          <w:lang w:eastAsia="zh-CN"/>
        </w:rPr>
        <w:t>进</w:t>
      </w:r>
      <w:r>
        <w:rPr>
          <w:rFonts w:hint="eastAsia"/>
          <w:color w:val="auto"/>
          <w:sz w:val="32"/>
          <w:szCs w:val="32"/>
          <w:highlight w:val="none"/>
        </w:rPr>
        <w:t>海上</w:t>
      </w:r>
      <w:r>
        <w:rPr>
          <w:rFonts w:hint="eastAsia"/>
          <w:color w:val="auto"/>
          <w:sz w:val="32"/>
          <w:szCs w:val="32"/>
          <w:highlight w:val="none"/>
          <w:lang w:eastAsia="zh-CN"/>
        </w:rPr>
        <w:t>应急</w:t>
      </w:r>
      <w:r>
        <w:rPr>
          <w:rFonts w:hint="eastAsia"/>
          <w:color w:val="auto"/>
          <w:sz w:val="32"/>
          <w:szCs w:val="32"/>
          <w:highlight w:val="none"/>
        </w:rPr>
        <w:t>搜救基础设施和陆上紧急医学救援体系建设。</w:t>
      </w:r>
    </w:p>
    <w:p>
      <w:pPr>
        <w:pStyle w:val="31"/>
        <w:pageBreakBefore w:val="0"/>
        <w:widowControl w:val="0"/>
        <w:shd w:val="clear"/>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p>
    <w:p>
      <w:pPr>
        <w:pStyle w:val="31"/>
        <w:rPr>
          <w:rFonts w:hint="eastAsia"/>
          <w:color w:val="auto"/>
          <w:sz w:val="32"/>
          <w:szCs w:val="32"/>
          <w:highlight w:val="none"/>
        </w:rPr>
      </w:pPr>
      <w:bookmarkStart w:id="220" w:name="_Toc211979419"/>
      <w:bookmarkStart w:id="221" w:name="_Toc213447243"/>
      <w:bookmarkStart w:id="222" w:name="_Toc307582138"/>
      <w:bookmarkStart w:id="223" w:name="_Toc26412820"/>
      <w:bookmarkStart w:id="224" w:name="_Toc25536899"/>
      <w:bookmarkStart w:id="225" w:name="_Toc166468158"/>
      <w:bookmarkStart w:id="226" w:name="_Toc21433"/>
      <w:bookmarkStart w:id="227" w:name="_Toc193244975"/>
      <w:bookmarkStart w:id="228" w:name="_Toc945961204"/>
      <w:bookmarkStart w:id="229" w:name="_Toc121535037"/>
      <w:bookmarkStart w:id="230" w:name="_Toc999619482"/>
      <w:bookmarkStart w:id="231" w:name="_Toc274793274"/>
      <w:bookmarkStart w:id="232" w:name="_Toc1757866148"/>
      <w:bookmarkStart w:id="233" w:name="_Toc95732245"/>
      <w:bookmarkStart w:id="234" w:name="_Toc937847127"/>
      <w:bookmarkStart w:id="235" w:name="_Toc23051"/>
      <w:bookmarkStart w:id="236" w:name="_Toc159782099"/>
    </w:p>
    <w:p>
      <w:pPr>
        <w:pStyle w:val="31"/>
        <w:rPr>
          <w:rFonts w:hint="eastAsia"/>
          <w:color w:val="auto"/>
          <w:sz w:val="32"/>
          <w:szCs w:val="32"/>
          <w:highlight w:val="none"/>
        </w:rPr>
      </w:pPr>
    </w:p>
    <w:p>
      <w:pPr>
        <w:pStyle w:val="31"/>
        <w:rPr>
          <w:rFonts w:hint="eastAsia"/>
          <w:color w:val="auto"/>
          <w:sz w:val="32"/>
          <w:szCs w:val="32"/>
          <w:highlight w:val="none"/>
        </w:rPr>
      </w:pPr>
    </w:p>
    <w:p>
      <w:pPr>
        <w:pStyle w:val="31"/>
        <w:rPr>
          <w:rFonts w:hint="eastAsia"/>
          <w:color w:val="auto"/>
          <w:sz w:val="32"/>
          <w:szCs w:val="32"/>
          <w:highlight w:val="none"/>
        </w:rPr>
      </w:pPr>
    </w:p>
    <w:p>
      <w:pPr>
        <w:pStyle w:val="31"/>
        <w:rPr>
          <w:rFonts w:hint="eastAsia"/>
          <w:color w:val="auto"/>
          <w:sz w:val="32"/>
          <w:szCs w:val="32"/>
          <w:highlight w:val="none"/>
        </w:rPr>
      </w:pPr>
    </w:p>
    <w:p>
      <w:pPr>
        <w:pStyle w:val="31"/>
        <w:rPr>
          <w:rFonts w:hint="eastAsia"/>
          <w:color w:val="auto"/>
          <w:sz w:val="32"/>
          <w:szCs w:val="32"/>
          <w:highlight w:val="none"/>
        </w:rPr>
      </w:pPr>
    </w:p>
    <w:p>
      <w:pPr>
        <w:pStyle w:val="31"/>
        <w:rPr>
          <w:rFonts w:hint="eastAsia"/>
          <w:color w:val="auto"/>
          <w:sz w:val="32"/>
          <w:szCs w:val="32"/>
          <w:highlight w:val="none"/>
        </w:rPr>
      </w:pPr>
    </w:p>
    <w:p>
      <w:pPr>
        <w:pStyle w:val="31"/>
        <w:rPr>
          <w:rFonts w:hint="eastAsia"/>
          <w:color w:val="auto"/>
          <w:sz w:val="32"/>
          <w:szCs w:val="32"/>
          <w:highlight w:val="none"/>
        </w:rPr>
      </w:pPr>
    </w:p>
    <w:p>
      <w:pPr>
        <w:pStyle w:val="31"/>
        <w:rPr>
          <w:rFonts w:hint="eastAsia"/>
          <w:color w:val="auto"/>
          <w:sz w:val="32"/>
          <w:szCs w:val="32"/>
          <w:highlight w:val="none"/>
        </w:rPr>
      </w:pPr>
    </w:p>
    <w:p>
      <w:pPr>
        <w:pStyle w:val="31"/>
        <w:adjustRightInd w:val="0"/>
        <w:snapToGrid w:val="0"/>
        <w:spacing w:line="576" w:lineRule="exact"/>
        <w:rPr>
          <w:rFonts w:hint="eastAsia"/>
          <w:color w:val="auto"/>
          <w:sz w:val="32"/>
          <w:szCs w:val="32"/>
          <w:highlight w:val="none"/>
        </w:rPr>
      </w:pPr>
    </w:p>
    <w:p>
      <w:pPr>
        <w:pStyle w:val="31"/>
        <w:rPr>
          <w:rFonts w:hint="eastAsia"/>
          <w:color w:val="auto"/>
          <w:sz w:val="32"/>
          <w:szCs w:val="32"/>
          <w:highlight w:val="none"/>
        </w:rPr>
      </w:pPr>
    </w:p>
    <w:p>
      <w:pPr>
        <w:pStyle w:val="31"/>
        <w:adjustRightInd w:val="0"/>
        <w:snapToGrid w:val="0"/>
        <w:spacing w:line="576" w:lineRule="exact"/>
        <w:rPr>
          <w:rFonts w:hint="eastAsia"/>
          <w:color w:val="auto"/>
          <w:sz w:val="32"/>
          <w:szCs w:val="32"/>
          <w:highlight w:val="none"/>
        </w:rPr>
      </w:pPr>
    </w:p>
    <w:p>
      <w:pPr>
        <w:pStyle w:val="31"/>
        <w:adjustRightInd w:val="0"/>
        <w:snapToGrid w:val="0"/>
        <w:spacing w:line="576" w:lineRule="exact"/>
        <w:rPr>
          <w:rFonts w:hint="eastAsia"/>
          <w:color w:val="auto"/>
          <w:sz w:val="32"/>
          <w:szCs w:val="32"/>
          <w:highlight w:val="none"/>
        </w:rPr>
      </w:pPr>
    </w:p>
    <w:p>
      <w:pPr>
        <w:pStyle w:val="3"/>
        <w:pageBreakBefore w:val="0"/>
        <w:widowControl w:val="0"/>
        <w:shd w:val="clear"/>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p>
    <w:p>
      <w:pPr>
        <w:pStyle w:val="3"/>
        <w:pageBreakBefore w:val="0"/>
        <w:widowControl w:val="0"/>
        <w:shd w:val="clear"/>
        <w:kinsoku/>
        <w:wordWrap/>
        <w:overflowPunct/>
        <w:topLinePunct w:val="0"/>
        <w:autoSpaceDE/>
        <w:autoSpaceDN/>
        <w:bidi w:val="0"/>
        <w:adjustRightInd w:val="0"/>
        <w:snapToGrid w:val="0"/>
        <w:spacing w:line="576" w:lineRule="exact"/>
        <w:textAlignment w:val="auto"/>
        <w:rPr>
          <w:rFonts w:hint="eastAsia" w:ascii="方正小标宋简体" w:hAnsi="方正小标宋简体" w:eastAsia="方正小标宋简体" w:cs="方正小标宋简体"/>
          <w:color w:val="auto"/>
          <w:sz w:val="40"/>
          <w:szCs w:val="40"/>
          <w:highlight w:val="none"/>
          <w:lang w:val="en-US" w:eastAsia="zh-CN"/>
        </w:rPr>
      </w:pPr>
      <w:r>
        <w:rPr>
          <w:rFonts w:hint="eastAsia" w:ascii="方正小标宋简体" w:hAnsi="方正小标宋简体" w:eastAsia="方正小标宋简体" w:cs="方正小标宋简体"/>
          <w:color w:val="auto"/>
          <w:sz w:val="40"/>
          <w:szCs w:val="40"/>
          <w:highlight w:val="none"/>
        </w:rPr>
        <w:t xml:space="preserve">第四章  </w:t>
      </w:r>
      <w:r>
        <w:rPr>
          <w:rFonts w:hint="eastAsia" w:ascii="方正小标宋简体" w:hAnsi="方正小标宋简体" w:eastAsia="方正小标宋简体" w:cs="方正小标宋简体"/>
          <w:color w:val="auto"/>
          <w:sz w:val="40"/>
          <w:szCs w:val="40"/>
          <w:highlight w:val="none"/>
          <w:lang w:val="en-US" w:eastAsia="zh-CN"/>
        </w:rPr>
        <w:t>推动</w:t>
      </w:r>
      <w:r>
        <w:rPr>
          <w:rFonts w:hint="eastAsia" w:ascii="方正小标宋简体" w:hAnsi="方正小标宋简体" w:eastAsia="方正小标宋简体" w:cs="方正小标宋简体"/>
          <w:color w:val="auto"/>
          <w:sz w:val="40"/>
          <w:szCs w:val="40"/>
          <w:highlight w:val="none"/>
        </w:rPr>
        <w:t>美丽中国先行区</w:t>
      </w:r>
      <w:bookmarkEnd w:id="220"/>
      <w:bookmarkEnd w:id="221"/>
      <w:r>
        <w:rPr>
          <w:rFonts w:hint="eastAsia" w:ascii="方正小标宋简体" w:hAnsi="方正小标宋简体" w:eastAsia="方正小标宋简体" w:cs="方正小标宋简体"/>
          <w:color w:val="auto"/>
          <w:sz w:val="40"/>
          <w:szCs w:val="40"/>
          <w:highlight w:val="none"/>
          <w:lang w:val="en-US" w:eastAsia="zh-CN"/>
        </w:rPr>
        <w:t>建设</w:t>
      </w:r>
      <w:bookmarkEnd w:id="222"/>
      <w:bookmarkEnd w:id="223"/>
      <w:bookmarkEnd w:id="224"/>
      <w:bookmarkEnd w:id="225"/>
      <w:bookmarkEnd w:id="226"/>
      <w:bookmarkEnd w:id="227"/>
      <w:bookmarkEnd w:id="228"/>
      <w:bookmarkEnd w:id="229"/>
      <w:bookmarkEnd w:id="230"/>
    </w:p>
    <w:bookmarkEnd w:id="231"/>
    <w:bookmarkEnd w:id="232"/>
    <w:bookmarkEnd w:id="233"/>
    <w:bookmarkEnd w:id="234"/>
    <w:bookmarkEnd w:id="235"/>
    <w:bookmarkEnd w:id="236"/>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p>
    <w:p>
      <w:pPr>
        <w:pStyle w:val="31"/>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color w:val="auto"/>
          <w:sz w:val="32"/>
          <w:szCs w:val="32"/>
          <w:highlight w:val="none"/>
        </w:rPr>
        <w:t>坚持生态优先、绿色发展，牢固树立“绿水青山就是金山银山”的理念，高标准推进生态环境保护和美丽三亚建设，坚决守护好生态家底，确保生态环境“只能更好、不能变差”，加快建设美丽中国先行区。</w:t>
      </w:r>
    </w:p>
    <w:p>
      <w:pPr>
        <w:pStyle w:val="4"/>
        <w:pageBreakBefore w:val="0"/>
        <w:widowControl w:val="0"/>
        <w:shd w:val="clear"/>
        <w:kinsoku/>
        <w:wordWrap/>
        <w:overflowPunct/>
        <w:topLinePunct w:val="0"/>
        <w:autoSpaceDE/>
        <w:autoSpaceDN/>
        <w:bidi w:val="0"/>
        <w:adjustRightInd w:val="0"/>
        <w:snapToGrid w:val="0"/>
        <w:spacing w:line="576" w:lineRule="exact"/>
        <w:ind w:left="0" w:leftChars="0" w:firstLine="0" w:firstLineChars="0"/>
        <w:textAlignment w:val="auto"/>
        <w:rPr>
          <w:rFonts w:hint="eastAsia"/>
          <w:color w:val="auto"/>
          <w:sz w:val="32"/>
          <w:szCs w:val="32"/>
          <w:highlight w:val="none"/>
        </w:rPr>
      </w:pPr>
      <w:bookmarkStart w:id="237" w:name="_Toc467325900"/>
      <w:bookmarkStart w:id="238" w:name="_Toc101667044"/>
      <w:bookmarkStart w:id="239" w:name="_Toc107255234"/>
      <w:bookmarkStart w:id="240" w:name="_Toc1822564419"/>
      <w:bookmarkStart w:id="241" w:name="_Toc211979421"/>
      <w:bookmarkStart w:id="242" w:name="_Toc213447244"/>
      <w:bookmarkStart w:id="243" w:name="_Toc1595316460"/>
      <w:bookmarkStart w:id="244" w:name="_Toc664899713"/>
      <w:bookmarkStart w:id="245" w:name="_Toc106433175"/>
      <w:bookmarkStart w:id="246" w:name="_Toc345477242"/>
      <w:bookmarkStart w:id="247" w:name="_Toc1086606682"/>
      <w:bookmarkStart w:id="248" w:name="_Toc200982589"/>
      <w:bookmarkStart w:id="249" w:name="_Toc24512"/>
      <w:bookmarkStart w:id="250" w:name="_Toc17137"/>
      <w:bookmarkStart w:id="251" w:name="_Toc223158495"/>
      <w:bookmarkStart w:id="252" w:name="_Toc316050948"/>
      <w:bookmarkStart w:id="253" w:name="_Toc932226004"/>
      <w:bookmarkStart w:id="254" w:name="_Toc1665463400"/>
      <w:bookmarkStart w:id="255" w:name="_Toc1352413108"/>
    </w:p>
    <w:p>
      <w:pPr>
        <w:pStyle w:val="4"/>
        <w:pageBreakBefore w:val="0"/>
        <w:widowControl w:val="0"/>
        <w:shd w:val="clear"/>
        <w:kinsoku/>
        <w:wordWrap/>
        <w:overflowPunct/>
        <w:topLinePunct w:val="0"/>
        <w:autoSpaceDE/>
        <w:autoSpaceDN/>
        <w:bidi w:val="0"/>
        <w:adjustRightInd w:val="0"/>
        <w:snapToGrid w:val="0"/>
        <w:spacing w:line="576"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第一节  持续改善生态环境质量</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p>
    <w:p>
      <w:pPr>
        <w:pStyle w:val="31"/>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rPr>
        <w:t>持续打好蓝天保卫战。</w:t>
      </w:r>
      <w:r>
        <w:rPr>
          <w:rFonts w:hint="eastAsia"/>
          <w:color w:val="auto"/>
          <w:sz w:val="32"/>
          <w:szCs w:val="32"/>
          <w:highlight w:val="none"/>
          <w:lang w:val="en-US" w:eastAsia="zh-CN"/>
        </w:rPr>
        <w:t>持续推进大气污染研判、污染天气应急响应和联动，加强锅炉大气污染物排放监管，开展工业、汽修、印刷等企业低效失效治理设施的排查整治，加强油气储运销、建筑、工业涂装等重点行业挥发性有机化合物（</w:t>
      </w:r>
      <w:r>
        <w:rPr>
          <w:rFonts w:hint="default" w:ascii="Times New Roman" w:hAnsi="Times New Roman" w:cs="Times New Roman"/>
          <w:color w:val="auto"/>
          <w:sz w:val="32"/>
          <w:szCs w:val="32"/>
          <w:highlight w:val="none"/>
          <w:lang w:val="en-US" w:eastAsia="zh-CN"/>
        </w:rPr>
        <w:t>VOCs</w:t>
      </w:r>
      <w:r>
        <w:rPr>
          <w:rFonts w:hint="eastAsia"/>
          <w:color w:val="auto"/>
          <w:sz w:val="32"/>
          <w:szCs w:val="32"/>
          <w:highlight w:val="none"/>
          <w:lang w:val="en-US" w:eastAsia="zh-CN"/>
        </w:rPr>
        <w:t>）综合整治。强化施工工地扬尘、秸秆露天焚烧、农业氨排放等面源污染管控。加强机动车、非道路移动机械等移动源尾气监管，加大机动车检验机构监管。</w:t>
      </w:r>
      <w:r>
        <w:rPr>
          <w:rFonts w:hint="eastAsia"/>
          <w:color w:val="auto"/>
          <w:sz w:val="32"/>
          <w:szCs w:val="32"/>
          <w:highlight w:val="none"/>
        </w:rPr>
        <w:t>科学规划餐饮经营布局，规范商户油烟排放设置，强化油烟净化设施安装与运行监管。</w:t>
      </w:r>
    </w:p>
    <w:p>
      <w:pPr>
        <w:pStyle w:val="31"/>
        <w:keepNext w:val="0"/>
        <w:keepLines w:val="0"/>
        <w:pageBreakBefore w:val="0"/>
        <w:widowControl w:val="0"/>
        <w:kinsoku/>
        <w:wordWrap/>
        <w:overflowPunct/>
        <w:topLinePunct w:val="0"/>
        <w:autoSpaceDE/>
        <w:autoSpaceDN/>
        <w:bidi w:val="0"/>
        <w:adjustRightInd w:val="0"/>
        <w:snapToGrid w:val="0"/>
        <w:spacing w:line="596" w:lineRule="exact"/>
        <w:textAlignment w:val="auto"/>
        <w:rPr>
          <w:color w:val="auto"/>
          <w:sz w:val="32"/>
          <w:szCs w:val="32"/>
          <w:highlight w:val="none"/>
        </w:rPr>
      </w:pPr>
      <w:r>
        <w:rPr>
          <w:rFonts w:hint="eastAsia"/>
          <w:b/>
          <w:bCs/>
          <w:color w:val="auto"/>
          <w:sz w:val="32"/>
          <w:szCs w:val="32"/>
          <w:highlight w:val="none"/>
        </w:rPr>
        <w:t>加强噪声污染防治。</w:t>
      </w:r>
      <w:r>
        <w:rPr>
          <w:rFonts w:hint="eastAsia"/>
          <w:color w:val="auto"/>
          <w:sz w:val="32"/>
          <w:szCs w:val="32"/>
          <w:highlight w:val="none"/>
          <w:lang w:val="en-US" w:eastAsia="zh-CN"/>
        </w:rPr>
        <w:t>优化交通干线、工业园区、商超等噪声源与噪声敏感建筑物之间的空间布局。规范社会生活噪声活动秩序，推动各区探索开展建设</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宁静小区</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宁静公园</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宁静广场</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。加强营业场所和公共场所文体娱乐活动噪声监管及整治。严控夜间连续施工许可审批，加强夜间施工噪声监管和非现场执法监督。加强机动车辆、船舶噪声管理。</w:t>
      </w:r>
    </w:p>
    <w:p>
      <w:pPr>
        <w:pStyle w:val="31"/>
        <w:keepNext w:val="0"/>
        <w:keepLines w:val="0"/>
        <w:pageBreakBefore w:val="0"/>
        <w:widowControl w:val="0"/>
        <w:kinsoku/>
        <w:wordWrap/>
        <w:overflowPunct/>
        <w:topLinePunct w:val="0"/>
        <w:autoSpaceDE/>
        <w:autoSpaceDN/>
        <w:bidi w:val="0"/>
        <w:adjustRightInd w:val="0"/>
        <w:snapToGrid w:val="0"/>
        <w:spacing w:line="600" w:lineRule="exact"/>
        <w:textAlignment w:val="auto"/>
        <w:rPr>
          <w:color w:val="auto"/>
          <w:sz w:val="32"/>
          <w:szCs w:val="32"/>
          <w:highlight w:val="none"/>
        </w:rPr>
      </w:pPr>
      <w:r>
        <w:rPr>
          <w:rFonts w:hint="eastAsia"/>
          <w:b/>
          <w:bCs/>
          <w:color w:val="auto"/>
          <w:sz w:val="32"/>
          <w:szCs w:val="32"/>
          <w:highlight w:val="none"/>
        </w:rPr>
        <w:t>持续打好碧水保卫战。</w:t>
      </w:r>
      <w:r>
        <w:rPr>
          <w:rFonts w:hint="eastAsia"/>
          <w:color w:val="auto"/>
          <w:sz w:val="32"/>
          <w:szCs w:val="32"/>
          <w:highlight w:val="none"/>
        </w:rPr>
        <w:t>深化</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六水共治</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lang w:eastAsia="zh-CN"/>
        </w:rPr>
        <w:t>，系统推进</w:t>
      </w:r>
      <w:r>
        <w:rPr>
          <w:rFonts w:hint="eastAsia"/>
          <w:color w:val="auto"/>
          <w:sz w:val="32"/>
          <w:szCs w:val="32"/>
          <w:highlight w:val="none"/>
        </w:rPr>
        <w:t>宁远河、藤桥河、三亚河等重点流域水环境综合整治，</w:t>
      </w:r>
      <w:r>
        <w:rPr>
          <w:rFonts w:hint="eastAsia"/>
          <w:color w:val="auto"/>
          <w:sz w:val="32"/>
          <w:szCs w:val="32"/>
          <w:highlight w:val="none"/>
          <w:lang w:eastAsia="zh-CN"/>
        </w:rPr>
        <w:t>强化</w:t>
      </w:r>
      <w:r>
        <w:rPr>
          <w:rFonts w:hint="eastAsia"/>
          <w:color w:val="auto"/>
          <w:sz w:val="32"/>
          <w:szCs w:val="32"/>
          <w:highlight w:val="none"/>
        </w:rPr>
        <w:t>饮用水水源地规范化建设和生态修复。加强重要生产生活区域污水处置能力，加快补齐城镇污水收集处理设施短板，提升农村水污染防治水平。</w:t>
      </w:r>
      <w:r>
        <w:rPr>
          <w:rFonts w:hint="eastAsia"/>
          <w:color w:val="auto"/>
          <w:sz w:val="32"/>
          <w:szCs w:val="32"/>
          <w:highlight w:val="none"/>
          <w:lang w:eastAsia="zh-CN"/>
        </w:rPr>
        <w:t>完善水质监测与预警体系</w:t>
      </w:r>
      <w:r>
        <w:rPr>
          <w:rFonts w:hint="eastAsia"/>
          <w:color w:val="auto"/>
          <w:sz w:val="32"/>
          <w:szCs w:val="32"/>
          <w:highlight w:val="none"/>
        </w:rPr>
        <w:t>，推动黑臭水体动态清零。深化流域水生态环境保护，有序推进美丽河湖保护与建设。</w:t>
      </w:r>
    </w:p>
    <w:p>
      <w:pPr>
        <w:pStyle w:val="31"/>
        <w:keepNext w:val="0"/>
        <w:keepLines w:val="0"/>
        <w:pageBreakBefore w:val="0"/>
        <w:widowControl w:val="0"/>
        <w:kinsoku/>
        <w:wordWrap/>
        <w:overflowPunct/>
        <w:topLinePunct w:val="0"/>
        <w:autoSpaceDE/>
        <w:autoSpaceDN/>
        <w:bidi w:val="0"/>
        <w:adjustRightInd w:val="0"/>
        <w:snapToGrid w:val="0"/>
        <w:spacing w:line="604" w:lineRule="exact"/>
        <w:textAlignment w:val="auto"/>
        <w:rPr>
          <w:color w:val="auto"/>
          <w:sz w:val="32"/>
          <w:szCs w:val="32"/>
          <w:highlight w:val="none"/>
        </w:rPr>
      </w:pPr>
      <w:r>
        <w:rPr>
          <w:rFonts w:hint="eastAsia"/>
          <w:b/>
          <w:bCs/>
          <w:color w:val="auto"/>
          <w:sz w:val="32"/>
          <w:szCs w:val="32"/>
          <w:highlight w:val="none"/>
        </w:rPr>
        <w:t>着力提升海域综合治理。</w:t>
      </w:r>
      <w:r>
        <w:rPr>
          <w:rFonts w:hint="eastAsia"/>
          <w:color w:val="auto"/>
          <w:sz w:val="32"/>
          <w:szCs w:val="32"/>
          <w:highlight w:val="none"/>
        </w:rPr>
        <w:t>实施全域美丽海湾建设提升行动，常态化开展海上环卫，强化入海排污口排查整治和规范化建设。</w:t>
      </w:r>
      <w:r>
        <w:rPr>
          <w:rFonts w:hint="eastAsia"/>
          <w:color w:val="auto"/>
          <w:sz w:val="32"/>
          <w:szCs w:val="32"/>
          <w:highlight w:val="none"/>
          <w:lang w:eastAsia="zh-CN"/>
        </w:rPr>
        <w:t>加强海洋垃圾及微塑料治理、技术创新研究与推广。研究</w:t>
      </w:r>
      <w:r>
        <w:rPr>
          <w:rFonts w:hint="eastAsia"/>
          <w:color w:val="auto"/>
          <w:sz w:val="32"/>
          <w:szCs w:val="32"/>
          <w:highlight w:val="none"/>
        </w:rPr>
        <w:t>推动海洋环境质量生态补偿。持续打造和推广具有引领性的美丽海湾优秀案例，积极申报</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蓝旗海滩</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国际认证和评选。到</w:t>
      </w:r>
      <w:r>
        <w:rPr>
          <w:rFonts w:hint="default" w:ascii="Times New Roman" w:hAnsi="Times New Roman" w:cs="Times New Roman"/>
          <w:color w:val="auto"/>
          <w:sz w:val="32"/>
          <w:szCs w:val="32"/>
          <w:highlight w:val="none"/>
        </w:rPr>
        <w:t>2027</w:t>
      </w:r>
      <w:r>
        <w:rPr>
          <w:rFonts w:hint="eastAsia"/>
          <w:color w:val="auto"/>
          <w:sz w:val="32"/>
          <w:szCs w:val="32"/>
          <w:highlight w:val="none"/>
        </w:rPr>
        <w:t>年，美丽海湾建成率达到</w:t>
      </w:r>
      <w:r>
        <w:rPr>
          <w:rFonts w:hint="default" w:ascii="Times New Roman" w:hAnsi="Times New Roman" w:cs="Times New Roman"/>
          <w:color w:val="auto"/>
          <w:sz w:val="32"/>
          <w:szCs w:val="32"/>
          <w:highlight w:val="none"/>
        </w:rPr>
        <w:t>100</w:t>
      </w:r>
      <w:r>
        <w:rPr>
          <w:color w:val="auto"/>
          <w:sz w:val="32"/>
          <w:szCs w:val="32"/>
          <w:highlight w:val="none"/>
        </w:rPr>
        <w:t>%</w:t>
      </w:r>
      <w:r>
        <w:rPr>
          <w:rFonts w:hint="eastAsia"/>
          <w:color w:val="auto"/>
          <w:sz w:val="32"/>
          <w:szCs w:val="32"/>
          <w:highlight w:val="none"/>
        </w:rPr>
        <w:t>。到</w:t>
      </w:r>
      <w:r>
        <w:rPr>
          <w:rFonts w:hint="default" w:ascii="Times New Roman" w:hAnsi="Times New Roman" w:cs="Times New Roman"/>
          <w:color w:val="auto"/>
          <w:sz w:val="32"/>
          <w:szCs w:val="32"/>
          <w:highlight w:val="none"/>
        </w:rPr>
        <w:t>2030</w:t>
      </w:r>
      <w:r>
        <w:rPr>
          <w:rFonts w:hint="eastAsia"/>
          <w:color w:val="auto"/>
          <w:sz w:val="32"/>
          <w:szCs w:val="32"/>
          <w:highlight w:val="none"/>
        </w:rPr>
        <w:t>年，完成全域国家级美丽海湾创建。</w:t>
      </w:r>
    </w:p>
    <w:p>
      <w:pPr>
        <w:pStyle w:val="31"/>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cs="仿宋"/>
          <w:color w:val="auto"/>
          <w:sz w:val="32"/>
          <w:szCs w:val="32"/>
          <w:highlight w:val="none"/>
        </w:rPr>
      </w:pPr>
      <w:r>
        <w:rPr>
          <w:rFonts w:hint="eastAsia"/>
          <w:b/>
          <w:bCs/>
          <w:color w:val="auto"/>
          <w:sz w:val="32"/>
          <w:szCs w:val="32"/>
          <w:highlight w:val="none"/>
        </w:rPr>
        <w:t>持续打好净土保卫战。</w:t>
      </w:r>
      <w:r>
        <w:rPr>
          <w:rFonts w:hint="eastAsia"/>
          <w:color w:val="auto"/>
          <w:sz w:val="32"/>
          <w:szCs w:val="32"/>
          <w:highlight w:val="none"/>
        </w:rPr>
        <w:t>推进重点区域土壤污染排查整治。推动流域治理与全域土地综合整治融通，有序推进地下水污染防治</w:t>
      </w:r>
      <w:r>
        <w:rPr>
          <w:rFonts w:hint="eastAsia"/>
          <w:color w:val="auto"/>
          <w:sz w:val="32"/>
          <w:szCs w:val="32"/>
          <w:highlight w:val="none"/>
          <w:lang w:eastAsia="zh-CN"/>
        </w:rPr>
        <w:t>。</w:t>
      </w:r>
      <w:r>
        <w:rPr>
          <w:rFonts w:hint="eastAsia"/>
          <w:color w:val="auto"/>
          <w:sz w:val="32"/>
          <w:szCs w:val="32"/>
          <w:highlight w:val="none"/>
        </w:rPr>
        <w:t>严防</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洋垃圾</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入境</w:t>
      </w:r>
      <w:r>
        <w:rPr>
          <w:rFonts w:hint="eastAsia"/>
          <w:color w:val="auto"/>
          <w:sz w:val="32"/>
          <w:szCs w:val="32"/>
          <w:highlight w:val="none"/>
          <w:lang w:eastAsia="zh-CN"/>
        </w:rPr>
        <w:t>，拓展</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lang w:eastAsia="zh-CN"/>
        </w:rPr>
        <w:t>无废城市</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lang w:eastAsia="zh-CN"/>
        </w:rPr>
        <w:t>建设内涵，深入开展</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lang w:eastAsia="zh-CN"/>
        </w:rPr>
        <w:t>无废细胞</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lang w:eastAsia="zh-CN"/>
        </w:rPr>
        <w:t>建设。</w:t>
      </w:r>
      <w:r>
        <w:rPr>
          <w:rFonts w:hint="eastAsia"/>
          <w:color w:val="auto"/>
          <w:sz w:val="32"/>
          <w:szCs w:val="32"/>
          <w:highlight w:val="none"/>
        </w:rPr>
        <w:t>高标准建好用好循环经济产业园，系统推进固体废物源头减量、资源化利用和无害化处置，</w:t>
      </w:r>
      <w:r>
        <w:rPr>
          <w:rFonts w:hint="eastAsia"/>
          <w:color w:val="auto"/>
          <w:sz w:val="32"/>
          <w:szCs w:val="32"/>
          <w:highlight w:val="none"/>
          <w:lang w:val="en-US" w:eastAsia="zh-CN"/>
        </w:rPr>
        <w:t>规范构建再生资源回收体系。</w:t>
      </w:r>
      <w:r>
        <w:rPr>
          <w:rFonts w:hint="eastAsia"/>
          <w:color w:val="auto"/>
          <w:sz w:val="32"/>
          <w:szCs w:val="32"/>
          <w:highlight w:val="none"/>
        </w:rPr>
        <w:t>加强建筑垃圾资源化利用，提升建筑垃圾治理水平</w:t>
      </w:r>
      <w:r>
        <w:rPr>
          <w:rFonts w:hint="eastAsia"/>
          <w:color w:val="auto"/>
          <w:sz w:val="32"/>
          <w:szCs w:val="32"/>
          <w:highlight w:val="none"/>
          <w:lang w:eastAsia="zh-CN"/>
        </w:rPr>
        <w:t>。</w:t>
      </w:r>
      <w:r>
        <w:rPr>
          <w:rFonts w:hint="eastAsia"/>
          <w:color w:val="auto"/>
          <w:sz w:val="32"/>
          <w:szCs w:val="32"/>
          <w:highlight w:val="none"/>
        </w:rPr>
        <w:t>实施土壤污染源头防控和保护修复行动，推进化肥农药减量增效和农业面源污染治理，到</w:t>
      </w:r>
      <w:r>
        <w:rPr>
          <w:rFonts w:hint="default" w:ascii="Times New Roman" w:hAnsi="Times New Roman" w:cs="Times New Roman"/>
          <w:color w:val="auto"/>
          <w:sz w:val="32"/>
          <w:szCs w:val="32"/>
          <w:highlight w:val="none"/>
        </w:rPr>
        <w:t>2030</w:t>
      </w:r>
      <w:r>
        <w:rPr>
          <w:rFonts w:hint="eastAsia"/>
          <w:color w:val="auto"/>
          <w:sz w:val="32"/>
          <w:szCs w:val="32"/>
          <w:highlight w:val="none"/>
        </w:rPr>
        <w:t>年，</w:t>
      </w:r>
      <w:r>
        <w:rPr>
          <w:color w:val="auto"/>
          <w:sz w:val="32"/>
          <w:szCs w:val="32"/>
          <w:highlight w:val="none"/>
        </w:rPr>
        <w:t>飞灰资源化利用率大于</w:t>
      </w:r>
      <w:r>
        <w:rPr>
          <w:rFonts w:hint="default" w:ascii="Times New Roman" w:hAnsi="Times New Roman" w:cs="Times New Roman"/>
          <w:color w:val="auto"/>
          <w:sz w:val="32"/>
          <w:szCs w:val="32"/>
          <w:highlight w:val="none"/>
        </w:rPr>
        <w:t>90</w:t>
      </w:r>
      <w:r>
        <w:rPr>
          <w:color w:val="auto"/>
          <w:sz w:val="32"/>
          <w:szCs w:val="32"/>
          <w:highlight w:val="none"/>
        </w:rPr>
        <w:t>%</w:t>
      </w:r>
      <w:r>
        <w:rPr>
          <w:rFonts w:hint="eastAsia"/>
          <w:color w:val="auto"/>
          <w:sz w:val="32"/>
          <w:szCs w:val="32"/>
          <w:highlight w:val="none"/>
          <w:lang w:val="en" w:eastAsia="zh-CN"/>
        </w:rPr>
        <w:t>，</w:t>
      </w:r>
      <w:r>
        <w:rPr>
          <w:color w:val="auto"/>
          <w:sz w:val="32"/>
          <w:szCs w:val="32"/>
          <w:highlight w:val="none"/>
        </w:rPr>
        <w:t>再生资源每年回收量</w:t>
      </w:r>
      <w:r>
        <w:rPr>
          <w:rFonts w:hint="default"/>
          <w:color w:val="auto"/>
          <w:sz w:val="32"/>
          <w:szCs w:val="32"/>
          <w:highlight w:val="none"/>
          <w:lang w:val="en-US"/>
        </w:rPr>
        <w:t>较上一年度</w:t>
      </w:r>
      <w:r>
        <w:rPr>
          <w:color w:val="auto"/>
          <w:sz w:val="32"/>
          <w:szCs w:val="32"/>
          <w:highlight w:val="none"/>
        </w:rPr>
        <w:t>增加</w:t>
      </w:r>
      <w:r>
        <w:rPr>
          <w:rFonts w:hint="default" w:ascii="Times New Roman" w:hAnsi="Times New Roman" w:cs="Times New Roman"/>
          <w:color w:val="auto"/>
          <w:sz w:val="32"/>
          <w:szCs w:val="32"/>
          <w:highlight w:val="none"/>
        </w:rPr>
        <w:t>2</w:t>
      </w:r>
      <w:r>
        <w:rPr>
          <w:color w:val="auto"/>
          <w:sz w:val="32"/>
          <w:szCs w:val="32"/>
          <w:highlight w:val="none"/>
        </w:rPr>
        <w:t>%以上</w:t>
      </w:r>
      <w:r>
        <w:rPr>
          <w:rFonts w:hint="eastAsia"/>
          <w:color w:val="auto"/>
          <w:sz w:val="32"/>
          <w:szCs w:val="32"/>
          <w:highlight w:val="none"/>
          <w:lang w:eastAsia="zh-CN"/>
        </w:rPr>
        <w:t>，</w:t>
      </w:r>
      <w:r>
        <w:rPr>
          <w:rFonts w:hint="default"/>
          <w:color w:val="auto"/>
          <w:sz w:val="32"/>
          <w:szCs w:val="32"/>
          <w:highlight w:val="none"/>
        </w:rPr>
        <w:t>秸秆综合利用率</w:t>
      </w:r>
      <w:r>
        <w:rPr>
          <w:rFonts w:hint="eastAsia"/>
          <w:color w:val="auto"/>
          <w:sz w:val="32"/>
          <w:szCs w:val="32"/>
          <w:highlight w:val="none"/>
          <w:lang w:eastAsia="zh-CN"/>
        </w:rPr>
        <w:t>逐步达到</w:t>
      </w:r>
      <w:r>
        <w:rPr>
          <w:rFonts w:hint="default"/>
          <w:color w:val="auto"/>
          <w:sz w:val="32"/>
          <w:szCs w:val="32"/>
          <w:highlight w:val="none"/>
        </w:rPr>
        <w:t>9</w:t>
      </w:r>
      <w:r>
        <w:rPr>
          <w:rFonts w:hint="eastAsia"/>
          <w:color w:val="auto"/>
          <w:sz w:val="32"/>
          <w:szCs w:val="32"/>
          <w:highlight w:val="none"/>
          <w:lang w:val="en-US" w:eastAsia="zh-CN"/>
        </w:rPr>
        <w:t>5</w:t>
      </w:r>
      <w:r>
        <w:rPr>
          <w:rFonts w:hint="default"/>
          <w:color w:val="auto"/>
          <w:sz w:val="32"/>
          <w:szCs w:val="32"/>
          <w:highlight w:val="none"/>
        </w:rPr>
        <w:t>%</w:t>
      </w:r>
      <w:r>
        <w:rPr>
          <w:rFonts w:hint="eastAsia"/>
          <w:color w:val="auto"/>
          <w:sz w:val="32"/>
          <w:szCs w:val="32"/>
          <w:highlight w:val="none"/>
          <w:lang w:eastAsia="zh-CN"/>
        </w:rPr>
        <w:t>以上。</w:t>
      </w:r>
    </w:p>
    <w:p>
      <w:pPr>
        <w:pStyle w:val="4"/>
        <w:pageBreakBefore w:val="0"/>
        <w:widowControl w:val="0"/>
        <w:shd w:val="clear"/>
        <w:kinsoku/>
        <w:wordWrap/>
        <w:overflowPunct/>
        <w:topLinePunct w:val="0"/>
        <w:autoSpaceDE/>
        <w:autoSpaceDN/>
        <w:bidi w:val="0"/>
        <w:adjustRightInd w:val="0"/>
        <w:snapToGrid w:val="0"/>
        <w:spacing w:line="576" w:lineRule="exact"/>
        <w:ind w:left="0" w:leftChars="0" w:firstLine="0" w:firstLineChars="0"/>
        <w:textAlignment w:val="auto"/>
        <w:rPr>
          <w:rFonts w:hint="eastAsia"/>
          <w:color w:val="auto"/>
          <w:sz w:val="32"/>
          <w:szCs w:val="32"/>
          <w:highlight w:val="none"/>
        </w:rPr>
      </w:pPr>
      <w:bookmarkStart w:id="256" w:name="_Toc1609785517"/>
      <w:bookmarkStart w:id="257" w:name="_Toc639613110"/>
      <w:bookmarkStart w:id="258" w:name="_Toc672541430"/>
      <w:bookmarkStart w:id="259" w:name="_Toc2042046149"/>
      <w:bookmarkStart w:id="260" w:name="_Toc1281744906"/>
      <w:bookmarkStart w:id="261" w:name="_Toc1743254676"/>
      <w:bookmarkStart w:id="262" w:name="_Toc334284024"/>
      <w:bookmarkStart w:id="263" w:name="_Toc12051"/>
      <w:bookmarkStart w:id="264" w:name="_Toc1839926786"/>
      <w:bookmarkStart w:id="265" w:name="_Toc683997519"/>
      <w:bookmarkStart w:id="266" w:name="_Toc211979423"/>
      <w:bookmarkStart w:id="267" w:name="_Toc280160191"/>
      <w:bookmarkStart w:id="268" w:name="_Toc213447245"/>
      <w:bookmarkStart w:id="269" w:name="_Toc4300"/>
      <w:bookmarkStart w:id="270" w:name="_Toc1500094021"/>
      <w:bookmarkStart w:id="271" w:name="_Toc1573802908"/>
      <w:bookmarkStart w:id="272" w:name="_Toc1791421129"/>
      <w:bookmarkStart w:id="273" w:name="_Toc1496796006"/>
      <w:bookmarkStart w:id="274" w:name="_Toc200982592"/>
      <w:bookmarkStart w:id="275" w:name="_Toc350035752"/>
      <w:bookmarkStart w:id="276" w:name="_Toc274394002"/>
      <w:bookmarkStart w:id="277" w:name="_Toc889211753"/>
      <w:bookmarkStart w:id="278" w:name="_Toc1524855527"/>
      <w:bookmarkStart w:id="279" w:name="_Toc17288"/>
      <w:bookmarkStart w:id="280" w:name="_Toc1352424469"/>
      <w:bookmarkStart w:id="281" w:name="_Toc1698001516"/>
      <w:bookmarkStart w:id="282" w:name="_Toc200982590"/>
      <w:bookmarkStart w:id="283" w:name="_Toc211979422"/>
    </w:p>
    <w:p>
      <w:pPr>
        <w:pStyle w:val="4"/>
        <w:pageBreakBefore w:val="0"/>
        <w:widowControl w:val="0"/>
        <w:shd w:val="clear"/>
        <w:kinsoku/>
        <w:wordWrap/>
        <w:overflowPunct/>
        <w:topLinePunct w:val="0"/>
        <w:autoSpaceDE/>
        <w:autoSpaceDN/>
        <w:bidi w:val="0"/>
        <w:adjustRightInd w:val="0"/>
        <w:snapToGrid w:val="0"/>
        <w:spacing w:line="576"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第二节  夯实全域生态安全屏障</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p>
    <w:p>
      <w:pPr>
        <w:pStyle w:val="31"/>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rPr>
        <w:t>严守生态保护红线。</w:t>
      </w:r>
      <w:r>
        <w:rPr>
          <w:rFonts w:hint="eastAsia"/>
          <w:color w:val="auto"/>
          <w:sz w:val="32"/>
          <w:szCs w:val="32"/>
          <w:highlight w:val="none"/>
        </w:rPr>
        <w:t>落实最严格的围填海和岸线开发管控措施，科学划定与生态环境承载力相匹配的海水养殖禁养区、限养区、适养区。加强生态环境分区管控与国土空间规划双向衔接</w:t>
      </w:r>
      <w:r>
        <w:rPr>
          <w:rFonts w:hint="eastAsia"/>
          <w:color w:val="auto"/>
          <w:sz w:val="32"/>
          <w:szCs w:val="32"/>
          <w:highlight w:val="none"/>
          <w:lang w:eastAsia="zh-CN"/>
        </w:rPr>
        <w:t>，</w:t>
      </w:r>
      <w:r>
        <w:rPr>
          <w:rFonts w:hint="eastAsia"/>
          <w:color w:val="auto"/>
          <w:sz w:val="32"/>
          <w:szCs w:val="32"/>
          <w:highlight w:val="none"/>
        </w:rPr>
        <w:t>强化重要生态空间监管，落实生态保护红线管控要求，稳妥推进自然保护地核心保护区内居民、耕地、矿权等人为活动有序退出。加快建立现代化生态环境监测体系，健全天空地海一体化监测网络，推行自然资源网格化管理。加强自然资源开发利用全过程管控，落实好生态保护补偿制度。健全海洋资源开发保护制度，提升海域</w:t>
      </w:r>
      <w:r>
        <w:rPr>
          <w:rFonts w:hint="eastAsia"/>
          <w:color w:val="auto"/>
          <w:sz w:val="32"/>
          <w:szCs w:val="32"/>
          <w:highlight w:val="none"/>
          <w:lang w:eastAsia="zh-CN"/>
        </w:rPr>
        <w:t>、</w:t>
      </w:r>
      <w:r>
        <w:rPr>
          <w:rFonts w:hint="eastAsia"/>
          <w:color w:val="auto"/>
          <w:sz w:val="32"/>
          <w:szCs w:val="32"/>
          <w:highlight w:val="none"/>
        </w:rPr>
        <w:t>海岛资源配置效率。</w:t>
      </w:r>
    </w:p>
    <w:p>
      <w:pPr>
        <w:pStyle w:val="31"/>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rPr>
        <w:t>加大全域生态环境保护和修复力度。</w:t>
      </w:r>
      <w:r>
        <w:rPr>
          <w:rFonts w:hint="eastAsia"/>
          <w:color w:val="auto"/>
          <w:sz w:val="32"/>
          <w:szCs w:val="32"/>
          <w:highlight w:val="none"/>
        </w:rPr>
        <w:t>统筹推进山水林田湖草沙一体化保护和系统治理，加强全域水土流失动态监测，推进浅海滩涂、红树林、珊瑚礁、海草床等重要生态系统</w:t>
      </w:r>
      <w:r>
        <w:rPr>
          <w:rFonts w:hint="eastAsia"/>
          <w:color w:val="auto"/>
          <w:sz w:val="32"/>
          <w:szCs w:val="32"/>
          <w:highlight w:val="none"/>
          <w:lang w:eastAsia="zh-CN"/>
        </w:rPr>
        <w:t>的</w:t>
      </w:r>
      <w:r>
        <w:rPr>
          <w:rFonts w:hint="eastAsia"/>
          <w:color w:val="auto"/>
          <w:sz w:val="32"/>
          <w:szCs w:val="32"/>
          <w:highlight w:val="none"/>
        </w:rPr>
        <w:t>保护和修复工程，增强生态系统固碳和气候调节能力。加强对湿地公园、</w:t>
      </w:r>
      <w:r>
        <w:rPr>
          <w:rFonts w:hint="eastAsia"/>
          <w:color w:val="auto"/>
          <w:sz w:val="32"/>
          <w:szCs w:val="32"/>
          <w:highlight w:val="none"/>
          <w:lang w:eastAsia="zh-CN"/>
        </w:rPr>
        <w:t>岛屿</w:t>
      </w:r>
      <w:r>
        <w:rPr>
          <w:rFonts w:hint="eastAsia"/>
          <w:color w:val="auto"/>
          <w:sz w:val="32"/>
          <w:szCs w:val="32"/>
          <w:highlight w:val="none"/>
        </w:rPr>
        <w:t>等</w:t>
      </w:r>
      <w:r>
        <w:rPr>
          <w:rFonts w:hint="eastAsia"/>
          <w:color w:val="auto"/>
          <w:sz w:val="32"/>
          <w:szCs w:val="32"/>
          <w:highlight w:val="none"/>
          <w:lang w:eastAsia="zh-CN"/>
        </w:rPr>
        <w:t>易</w:t>
      </w:r>
      <w:r>
        <w:rPr>
          <w:rFonts w:hint="eastAsia"/>
          <w:color w:val="auto"/>
          <w:sz w:val="32"/>
          <w:szCs w:val="32"/>
          <w:highlight w:val="none"/>
        </w:rPr>
        <w:t>受气候变化威胁的旅游资源保护，开展城市山体自然风貌、城市湿地、城市景观绿地公共空间生态修复。科学规划建设城市公园绿地，推进国土绿化攻坚，加强湿地系统保护，着力建设</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公园城市</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森林城市</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湿地城市</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w:t>
      </w:r>
    </w:p>
    <w:p>
      <w:pPr>
        <w:pStyle w:val="31"/>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rPr>
        <w:t>加强生物多样性保护。</w:t>
      </w:r>
      <w:r>
        <w:rPr>
          <w:rFonts w:hint="eastAsia"/>
          <w:color w:val="auto"/>
          <w:sz w:val="32"/>
          <w:szCs w:val="32"/>
          <w:highlight w:val="none"/>
        </w:rPr>
        <w:t>推进重点区域生态系统、生物物种及生物遗传资源调查，提升野生动植物保护水平。</w:t>
      </w:r>
      <w:r>
        <w:rPr>
          <w:rFonts w:hint="eastAsia"/>
          <w:color w:val="auto"/>
          <w:sz w:val="32"/>
          <w:szCs w:val="32"/>
          <w:highlight w:val="none"/>
          <w:lang w:val="en-US" w:eastAsia="zh-CN"/>
        </w:rPr>
        <w:t>提升种质资源保护水平。</w:t>
      </w:r>
      <w:r>
        <w:rPr>
          <w:rFonts w:hint="eastAsia"/>
          <w:color w:val="auto"/>
          <w:sz w:val="32"/>
          <w:szCs w:val="32"/>
          <w:highlight w:val="none"/>
        </w:rPr>
        <w:t>做好</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rPr>
        <w:t>二线口岸</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rPr>
        <w:t>动植物及其制品监管职能的前推后移工作，完善外来入侵物种调查监测、风险评估、清除控制等制度体系，有效防范外来物种入侵，科学有序开展外来物种清除及后续修复工作。</w:t>
      </w:r>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r>
        <w:rPr>
          <w:rFonts w:hint="eastAsia"/>
          <w:b/>
          <w:bCs/>
          <w:color w:val="auto"/>
          <w:sz w:val="32"/>
          <w:szCs w:val="32"/>
          <w:highlight w:val="none"/>
        </w:rPr>
        <w:t>加强环境风险防控。</w:t>
      </w:r>
      <w:r>
        <w:rPr>
          <w:rFonts w:hint="eastAsia"/>
          <w:color w:val="auto"/>
          <w:sz w:val="32"/>
          <w:szCs w:val="32"/>
          <w:highlight w:val="none"/>
          <w:lang w:eastAsia="zh-CN"/>
        </w:rPr>
        <w:t>加强重金属、持久性有机污染物和化学品风险防控，加快对科学实验研发、工业生产、种植养殖等行业领域</w:t>
      </w:r>
      <w:r>
        <w:rPr>
          <w:rFonts w:hint="eastAsia"/>
          <w:color w:val="auto"/>
          <w:sz w:val="32"/>
          <w:szCs w:val="32"/>
          <w:highlight w:val="none"/>
        </w:rPr>
        <w:t>开展环境调查监测、生态毒性和健康毒性识别、环境风险筛查和评估，</w:t>
      </w:r>
      <w:r>
        <w:rPr>
          <w:rFonts w:hint="eastAsia"/>
          <w:color w:val="auto"/>
          <w:sz w:val="32"/>
          <w:szCs w:val="32"/>
          <w:highlight w:val="none"/>
          <w:lang w:eastAsia="zh-CN"/>
        </w:rPr>
        <w:t>健全实验室废弃物处置管理机制，</w:t>
      </w:r>
      <w:r>
        <w:rPr>
          <w:rFonts w:hint="eastAsia"/>
          <w:color w:val="auto"/>
          <w:sz w:val="32"/>
          <w:szCs w:val="32"/>
          <w:highlight w:val="none"/>
        </w:rPr>
        <w:t>深入推进新污染物治理。完善海上溢油等突发生态环境事件应对体系，提升应急保障、应急准备和响应处置能力。完善适应气候变化工作体系，强化气候变化背景下极端天气监测预警和风险评估，提升应对气候变化特别是极端天气</w:t>
      </w:r>
      <w:r>
        <w:rPr>
          <w:rFonts w:hint="eastAsia"/>
          <w:color w:val="auto"/>
          <w:sz w:val="32"/>
          <w:szCs w:val="32"/>
          <w:highlight w:val="none"/>
          <w:lang w:eastAsia="zh-CN"/>
        </w:rPr>
        <w:t>的</w:t>
      </w:r>
      <w:r>
        <w:rPr>
          <w:rFonts w:hint="eastAsia"/>
          <w:color w:val="auto"/>
          <w:sz w:val="32"/>
          <w:szCs w:val="32"/>
          <w:highlight w:val="none"/>
        </w:rPr>
        <w:t>能力。加强辐射安全监管</w:t>
      </w:r>
      <w:r>
        <w:rPr>
          <w:rFonts w:hint="eastAsia"/>
          <w:color w:val="auto"/>
          <w:sz w:val="32"/>
          <w:szCs w:val="32"/>
          <w:highlight w:val="none"/>
          <w:lang w:eastAsia="zh-CN"/>
        </w:rPr>
        <w:t>，提升核与辐射应急能力建设。</w:t>
      </w:r>
      <w:r>
        <w:rPr>
          <w:rFonts w:hint="eastAsia"/>
          <w:color w:val="auto"/>
          <w:sz w:val="32"/>
          <w:szCs w:val="32"/>
          <w:highlight w:val="none"/>
        </w:rPr>
        <w:t>完善生态环境标准、监测、评价和考核制度，健全生态环境保护督察反馈问题整改工作机制，落实领导干部生态环境保护责任制。</w:t>
      </w:r>
    </w:p>
    <w:p>
      <w:pPr>
        <w:pStyle w:val="4"/>
        <w:pageBreakBefore w:val="0"/>
        <w:widowControl w:val="0"/>
        <w:shd w:val="clear"/>
        <w:kinsoku/>
        <w:wordWrap/>
        <w:overflowPunct/>
        <w:topLinePunct w:val="0"/>
        <w:autoSpaceDE/>
        <w:autoSpaceDN/>
        <w:bidi w:val="0"/>
        <w:adjustRightInd w:val="0"/>
        <w:snapToGrid w:val="0"/>
        <w:spacing w:line="576" w:lineRule="exact"/>
        <w:ind w:left="0" w:leftChars="0" w:firstLine="0" w:firstLineChars="0"/>
        <w:textAlignment w:val="auto"/>
        <w:rPr>
          <w:rFonts w:hint="eastAsia"/>
          <w:color w:val="auto"/>
          <w:sz w:val="32"/>
          <w:szCs w:val="32"/>
          <w:highlight w:val="none"/>
        </w:rPr>
      </w:pPr>
      <w:bookmarkStart w:id="284" w:name="_Toc1633793090"/>
      <w:bookmarkStart w:id="285" w:name="_Toc1771181023"/>
      <w:bookmarkStart w:id="286" w:name="_Toc836641261"/>
      <w:bookmarkStart w:id="287" w:name="_Toc765718883"/>
      <w:bookmarkStart w:id="288" w:name="_Toc2105488448"/>
      <w:bookmarkStart w:id="289" w:name="_Toc11042"/>
      <w:bookmarkStart w:id="290" w:name="_Toc613349686"/>
      <w:bookmarkStart w:id="291" w:name="_Toc1795799960"/>
      <w:bookmarkStart w:id="292" w:name="_Toc1098221339"/>
      <w:bookmarkStart w:id="293" w:name="_Toc213447246"/>
    </w:p>
    <w:p>
      <w:pPr>
        <w:pStyle w:val="4"/>
        <w:pageBreakBefore w:val="0"/>
        <w:widowControl w:val="0"/>
        <w:shd w:val="clear"/>
        <w:kinsoku/>
        <w:wordWrap/>
        <w:overflowPunct/>
        <w:topLinePunct w:val="0"/>
        <w:autoSpaceDE/>
        <w:autoSpaceDN/>
        <w:bidi w:val="0"/>
        <w:adjustRightInd w:val="0"/>
        <w:snapToGrid w:val="0"/>
        <w:spacing w:line="576"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 xml:space="preserve">第三节  </w:t>
      </w:r>
      <w:bookmarkEnd w:id="275"/>
      <w:bookmarkEnd w:id="276"/>
      <w:bookmarkEnd w:id="277"/>
      <w:bookmarkEnd w:id="278"/>
      <w:bookmarkEnd w:id="279"/>
      <w:bookmarkEnd w:id="280"/>
      <w:bookmarkEnd w:id="281"/>
      <w:bookmarkEnd w:id="282"/>
      <w:bookmarkEnd w:id="283"/>
      <w:r>
        <w:rPr>
          <w:rFonts w:hint="eastAsia" w:ascii="黑体" w:hAnsi="黑体" w:eastAsia="黑体" w:cs="黑体"/>
          <w:b w:val="0"/>
          <w:bCs/>
          <w:color w:val="auto"/>
          <w:sz w:val="32"/>
          <w:szCs w:val="32"/>
          <w:highlight w:val="none"/>
        </w:rPr>
        <w:t>积极稳妥推进和实现碳达峰</w:t>
      </w:r>
      <w:bookmarkEnd w:id="284"/>
      <w:bookmarkEnd w:id="285"/>
      <w:bookmarkEnd w:id="286"/>
      <w:bookmarkEnd w:id="287"/>
      <w:bookmarkEnd w:id="288"/>
      <w:bookmarkEnd w:id="289"/>
      <w:bookmarkEnd w:id="290"/>
      <w:bookmarkEnd w:id="291"/>
      <w:bookmarkEnd w:id="292"/>
      <w:bookmarkEnd w:id="293"/>
    </w:p>
    <w:p>
      <w:pPr>
        <w:pStyle w:val="31"/>
        <w:pageBreakBefore w:val="0"/>
        <w:widowControl w:val="0"/>
        <w:kinsoku/>
        <w:wordWrap/>
        <w:overflowPunct/>
        <w:topLinePunct w:val="0"/>
        <w:autoSpaceDE/>
        <w:autoSpaceDN/>
        <w:bidi w:val="0"/>
        <w:adjustRightInd w:val="0"/>
        <w:snapToGrid w:val="0"/>
        <w:spacing w:line="576" w:lineRule="exact"/>
        <w:jc w:val="center"/>
        <w:textAlignment w:val="auto"/>
        <w:rPr>
          <w:rFonts w:hint="eastAsia" w:ascii="黑体" w:hAnsi="黑体" w:eastAsia="黑体" w:cs="黑体"/>
          <w:color w:val="auto"/>
          <w:sz w:val="32"/>
          <w:szCs w:val="32"/>
          <w:highlight w:val="none"/>
        </w:rPr>
      </w:pPr>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r>
        <w:rPr>
          <w:rFonts w:hint="eastAsia"/>
          <w:b/>
          <w:bCs/>
          <w:color w:val="auto"/>
          <w:sz w:val="32"/>
          <w:szCs w:val="32"/>
          <w:highlight w:val="none"/>
        </w:rPr>
        <w:t>实施碳排放总量和强度双控。</w:t>
      </w:r>
      <w:r>
        <w:rPr>
          <w:rFonts w:hint="eastAsia"/>
          <w:color w:val="auto"/>
          <w:sz w:val="32"/>
          <w:szCs w:val="32"/>
          <w:highlight w:val="none"/>
        </w:rPr>
        <w:t>完善碳排放统计核算体系，加强重点行业节能降碳管理</w:t>
      </w:r>
      <w:r>
        <w:rPr>
          <w:rFonts w:hint="eastAsia"/>
          <w:color w:val="auto"/>
          <w:sz w:val="32"/>
          <w:szCs w:val="32"/>
          <w:highlight w:val="none"/>
          <w:lang w:eastAsia="zh-CN"/>
        </w:rPr>
        <w:t>，协同推进降碳、减污、扩绿、增长。</w:t>
      </w:r>
      <w:r>
        <w:rPr>
          <w:rFonts w:hint="eastAsia"/>
          <w:color w:val="auto"/>
          <w:sz w:val="32"/>
          <w:szCs w:val="32"/>
          <w:highlight w:val="none"/>
        </w:rPr>
        <w:t>完善地方特色产品碳足迹管理体系，以三亚特色产品及主要贸易产品为重点，推进产品碳足迹核算</w:t>
      </w:r>
      <w:r>
        <w:rPr>
          <w:rFonts w:hint="eastAsia"/>
          <w:color w:val="auto"/>
          <w:sz w:val="32"/>
          <w:szCs w:val="32"/>
          <w:highlight w:val="none"/>
          <w:lang w:eastAsia="zh-CN"/>
        </w:rPr>
        <w:t>、</w:t>
      </w:r>
      <w:r>
        <w:rPr>
          <w:rFonts w:hint="eastAsia"/>
          <w:color w:val="auto"/>
          <w:sz w:val="32"/>
          <w:szCs w:val="32"/>
          <w:highlight w:val="none"/>
        </w:rPr>
        <w:t>碳标识申报</w:t>
      </w:r>
      <w:r>
        <w:rPr>
          <w:rFonts w:hint="eastAsia"/>
          <w:color w:val="auto"/>
          <w:sz w:val="32"/>
          <w:szCs w:val="32"/>
          <w:highlight w:val="none"/>
          <w:lang w:eastAsia="zh-CN"/>
        </w:rPr>
        <w:t>与</w:t>
      </w:r>
      <w:r>
        <w:rPr>
          <w:rFonts w:hint="eastAsia"/>
          <w:color w:val="auto"/>
          <w:sz w:val="32"/>
          <w:szCs w:val="32"/>
          <w:highlight w:val="none"/>
        </w:rPr>
        <w:t>认证工作。稳步</w:t>
      </w:r>
      <w:r>
        <w:rPr>
          <w:rFonts w:hint="eastAsia"/>
          <w:color w:val="auto"/>
          <w:sz w:val="32"/>
          <w:szCs w:val="32"/>
          <w:highlight w:val="none"/>
          <w:lang w:eastAsia="zh-CN"/>
        </w:rPr>
        <w:t>落实</w:t>
      </w:r>
      <w:r>
        <w:rPr>
          <w:rFonts w:hint="eastAsia"/>
          <w:color w:val="auto"/>
          <w:sz w:val="32"/>
          <w:szCs w:val="32"/>
          <w:highlight w:val="none"/>
        </w:rPr>
        <w:t>地方碳考核、行业碳管控、企业碳管理、项目碳评价、产品碳足迹等政策制度，完善减污降碳激励约束机制。</w:t>
      </w:r>
      <w:r>
        <w:rPr>
          <w:rFonts w:hint="eastAsia"/>
          <w:color w:val="auto"/>
          <w:sz w:val="32"/>
          <w:szCs w:val="32"/>
          <w:highlight w:val="none"/>
          <w:lang w:val="en-US" w:eastAsia="zh-CN"/>
        </w:rPr>
        <w:t>研究推动各区开展能源统计，探索建立区级能源平衡表。</w:t>
      </w:r>
      <w:r>
        <w:rPr>
          <w:rFonts w:hint="eastAsia"/>
          <w:color w:val="auto"/>
          <w:sz w:val="32"/>
          <w:szCs w:val="32"/>
          <w:highlight w:val="none"/>
        </w:rPr>
        <w:t>持续推进大型活动碳中和，探索推动碳普惠应用。</w:t>
      </w:r>
    </w:p>
    <w:p>
      <w:pPr>
        <w:pStyle w:val="31"/>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rPr>
        <w:t>加快建设温室气体自愿减排交易市场。</w:t>
      </w:r>
      <w:r>
        <w:rPr>
          <w:rFonts w:hint="eastAsia"/>
          <w:color w:val="auto"/>
          <w:sz w:val="32"/>
          <w:szCs w:val="32"/>
          <w:highlight w:val="none"/>
        </w:rPr>
        <w:t>推进碳排放权、用水权等资源环境要素市场化交易，开展海洋碳汇、林业碳汇本底调查和动态监测。拓宽碳汇探索应用场景，健全碳汇交易机制。做好与海南及国家产品碳足迹因子数据库的衔接，加强绿色转型、蓝色经济国际合作，推动热带水果、水产等特色出口产品碳足迹标准与东盟互认。</w:t>
      </w:r>
    </w:p>
    <w:p>
      <w:pPr>
        <w:pStyle w:val="31"/>
        <w:keepNext w:val="0"/>
        <w:keepLines w:val="0"/>
        <w:pageBreakBefore w:val="0"/>
        <w:widowControl w:val="0"/>
        <w:kinsoku/>
        <w:wordWrap/>
        <w:overflowPunct/>
        <w:topLinePunct w:val="0"/>
        <w:autoSpaceDE/>
        <w:autoSpaceDN/>
        <w:bidi w:val="0"/>
        <w:adjustRightInd w:val="0"/>
        <w:snapToGrid w:val="0"/>
        <w:spacing w:after="251" w:afterLines="80" w:line="576" w:lineRule="exact"/>
        <w:ind w:left="0" w:leftChars="0" w:firstLine="0" w:firstLineChars="0"/>
        <w:textAlignment w:val="auto"/>
        <w:rPr>
          <w:rFonts w:hint="eastAsia"/>
          <w:color w:val="auto"/>
          <w:highlight w:val="none"/>
        </w:rPr>
      </w:pPr>
      <w:r>
        <w:rPr>
          <w:rFonts w:hint="eastAsia"/>
          <w:b/>
          <w:bCs/>
          <w:color w:val="auto"/>
          <w:sz w:val="32"/>
          <w:szCs w:val="32"/>
          <w:highlight w:val="none"/>
        </w:rPr>
        <w:t>深入实施节能降碳改造。</w:t>
      </w:r>
      <w:r>
        <w:rPr>
          <w:rFonts w:hint="eastAsia"/>
          <w:color w:val="auto"/>
          <w:sz w:val="32"/>
          <w:szCs w:val="32"/>
          <w:highlight w:val="none"/>
        </w:rPr>
        <w:t>推进清洁能源</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制储输用</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全链条发展，提高终端用能电气化水平，推动能源消费绿色化低碳化。扩大节能环保绿色材料及设备、清洁能源应用，推动交通、物流、建筑体系绿色转型，推动城乡基础设施绿色低碳改造，持续建设更多低碳园区、低碳景区、低碳社区，助力加快建成海南低碳岛</w:t>
      </w:r>
      <w:r>
        <w:rPr>
          <w:rFonts w:hint="eastAsia"/>
          <w:color w:val="auto"/>
          <w:highlight w:val="none"/>
        </w:rPr>
        <w:t>。</w:t>
      </w:r>
    </w:p>
    <w:tbl>
      <w:tblPr>
        <w:tblStyle w:val="34"/>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844"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shd w:val="clear"/>
              <w:kinsoku/>
              <w:wordWrap/>
              <w:overflowPunct/>
              <w:topLinePunct w:val="0"/>
              <w:autoSpaceDE/>
              <w:autoSpaceDN/>
              <w:bidi w:val="0"/>
              <w:snapToGrid w:val="0"/>
              <w:spacing w:before="157" w:beforeLines="50" w:after="157" w:afterLines="50" w:line="440" w:lineRule="exact"/>
              <w:jc w:val="center"/>
              <w:textAlignment w:val="auto"/>
              <w:rPr>
                <w:rFonts w:hint="eastAsia" w:ascii="Times New Roman" w:hAnsi="Times New Roman" w:eastAsia="黑体"/>
                <w:color w:val="auto"/>
                <w:kern w:val="0"/>
                <w:sz w:val="30"/>
                <w:szCs w:val="30"/>
                <w:highlight w:val="none"/>
                <w:lang w:eastAsia="zh-CN"/>
              </w:rPr>
            </w:pPr>
            <w:bookmarkStart w:id="294" w:name="_Toc213447247"/>
            <w:bookmarkStart w:id="295" w:name="_Toc620932889"/>
            <w:r>
              <w:rPr>
                <w:rFonts w:hint="eastAsia" w:ascii="Times New Roman" w:hAnsi="Times New Roman" w:eastAsia="黑体"/>
                <w:color w:val="auto"/>
                <w:kern w:val="0"/>
                <w:sz w:val="28"/>
                <w:szCs w:val="28"/>
                <w:highlight w:val="none"/>
              </w:rPr>
              <w:t>专栏</w:t>
            </w:r>
            <w:r>
              <w:rPr>
                <w:rFonts w:hint="default" w:ascii="Times New Roman" w:hAnsi="Times New Roman" w:eastAsia="黑体" w:cs="Times New Roman"/>
                <w:bCs/>
                <w:color w:val="auto"/>
                <w:kern w:val="0"/>
                <w:sz w:val="28"/>
                <w:szCs w:val="28"/>
                <w:highlight w:val="none"/>
                <w:lang w:val="en-US" w:eastAsia="zh-CN"/>
              </w:rPr>
              <w:t>3</w:t>
            </w:r>
            <w:r>
              <w:rPr>
                <w:rFonts w:hint="eastAsia" w:ascii="Times New Roman" w:hAnsi="Times New Roman" w:eastAsia="黑体" w:cs="Times New Roman"/>
                <w:bCs/>
                <w:color w:val="auto"/>
                <w:kern w:val="0"/>
                <w:sz w:val="28"/>
                <w:szCs w:val="28"/>
                <w:highlight w:val="none"/>
                <w:lang w:val="en-US" w:eastAsia="zh-CN"/>
              </w:rPr>
              <w:t xml:space="preserve">  </w:t>
            </w:r>
            <w:r>
              <w:rPr>
                <w:rFonts w:hint="eastAsia" w:ascii="Times New Roman" w:hAnsi="Times New Roman" w:eastAsia="黑体"/>
                <w:color w:val="auto"/>
                <w:kern w:val="0"/>
                <w:sz w:val="28"/>
                <w:szCs w:val="28"/>
                <w:highlight w:val="none"/>
              </w:rPr>
              <w:t>美丽三亚重大工程</w:t>
            </w:r>
            <w:r>
              <w:rPr>
                <w:rFonts w:hint="eastAsia" w:ascii="Times New Roman" w:hAnsi="Times New Roman" w:eastAsia="黑体"/>
                <w:color w:val="auto"/>
                <w:kern w:val="0"/>
                <w:sz w:val="28"/>
                <w:szCs w:val="28"/>
                <w:highlight w:val="none"/>
                <w:lang w:eastAsia="zh-CN"/>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7" w:hRule="atLeast"/>
          <w:jc w:val="center"/>
        </w:trPr>
        <w:tc>
          <w:tcPr>
            <w:tcW w:w="8844" w:type="dxa"/>
            <w:tcBorders>
              <w:top w:val="single" w:color="auto" w:sz="4" w:space="0"/>
              <w:left w:val="single" w:color="auto" w:sz="4" w:space="0"/>
              <w:bottom w:val="single" w:color="auto" w:sz="4" w:space="0"/>
              <w:right w:val="single" w:color="auto" w:sz="4" w:space="0"/>
            </w:tcBorders>
            <w:vAlign w:val="top"/>
          </w:tcPr>
          <w:p>
            <w:pPr>
              <w:pStyle w:val="33"/>
              <w:keepNext w:val="0"/>
              <w:keepLines w:val="0"/>
              <w:pageBreakBefore w:val="0"/>
              <w:widowControl w:val="0"/>
              <w:shd w:val="clear"/>
              <w:kinsoku/>
              <w:wordWrap/>
              <w:overflowPunct/>
              <w:topLinePunct w:val="0"/>
              <w:autoSpaceDE/>
              <w:autoSpaceDN/>
              <w:bidi w:val="0"/>
              <w:snapToGrid w:val="0"/>
              <w:spacing w:before="157" w:beforeLines="50" w:after="157" w:afterLines="50" w:line="440" w:lineRule="exact"/>
              <w:ind w:firstLine="562"/>
              <w:textAlignment w:val="auto"/>
              <w:rPr>
                <w:color w:val="auto"/>
                <w:highlight w:val="none"/>
              </w:rPr>
            </w:pPr>
            <w:r>
              <w:rPr>
                <w:rFonts w:hint="default" w:ascii="Times New Roman" w:hAnsi="Times New Roman" w:cs="Times New Roman"/>
                <w:b/>
                <w:bCs/>
                <w:color w:val="auto"/>
                <w:highlight w:val="none"/>
              </w:rPr>
              <w:t>1</w:t>
            </w:r>
            <w:r>
              <w:rPr>
                <w:rFonts w:hint="eastAsia" w:ascii="楷体_GB2312" w:hAnsi="楷体_GB2312" w:eastAsia="楷体_GB2312" w:cs="楷体_GB2312"/>
                <w:color w:val="auto"/>
                <w:highlight w:val="none"/>
                <w:lang w:val="en-US" w:eastAsia="zh-CN"/>
              </w:rPr>
              <w:t>.</w:t>
            </w:r>
            <w:r>
              <w:rPr>
                <w:rFonts w:hint="eastAsia"/>
                <w:b/>
                <w:bCs/>
                <w:color w:val="auto"/>
                <w:highlight w:val="none"/>
              </w:rPr>
              <w:t>绿色低碳示范工程。</w:t>
            </w:r>
            <w:r>
              <w:rPr>
                <w:rFonts w:hint="eastAsia"/>
                <w:color w:val="auto"/>
                <w:highlight w:val="none"/>
              </w:rPr>
              <w:t>推动蜈支洲岛零碳智慧生态岛等示范引领工程，支持崖州湾科技城高新区申报国家级零碳园区。</w:t>
            </w:r>
          </w:p>
          <w:p>
            <w:pPr>
              <w:pStyle w:val="33"/>
              <w:keepNext w:val="0"/>
              <w:keepLines w:val="0"/>
              <w:pageBreakBefore w:val="0"/>
              <w:widowControl w:val="0"/>
              <w:shd w:val="clear"/>
              <w:kinsoku/>
              <w:wordWrap/>
              <w:overflowPunct/>
              <w:topLinePunct w:val="0"/>
              <w:autoSpaceDE/>
              <w:autoSpaceDN/>
              <w:bidi w:val="0"/>
              <w:snapToGrid w:val="0"/>
              <w:spacing w:before="157" w:beforeLines="50" w:after="157" w:afterLines="50" w:line="440" w:lineRule="exact"/>
              <w:ind w:firstLine="562"/>
              <w:textAlignment w:val="auto"/>
              <w:rPr>
                <w:color w:val="auto"/>
                <w:highlight w:val="none"/>
              </w:rPr>
            </w:pPr>
            <w:r>
              <w:rPr>
                <w:rFonts w:hint="default" w:ascii="Times New Roman" w:hAnsi="Times New Roman" w:cs="Times New Roman"/>
                <w:b/>
                <w:bCs/>
                <w:color w:val="auto"/>
                <w:highlight w:val="none"/>
              </w:rPr>
              <w:t>2</w:t>
            </w:r>
            <w:r>
              <w:rPr>
                <w:rFonts w:hint="eastAsia" w:ascii="楷体_GB2312" w:hAnsi="楷体_GB2312" w:eastAsia="楷体_GB2312" w:cs="楷体_GB2312"/>
                <w:color w:val="auto"/>
                <w:highlight w:val="none"/>
                <w:lang w:val="en-US" w:eastAsia="zh-CN"/>
              </w:rPr>
              <w:t>.</w:t>
            </w:r>
            <w:r>
              <w:rPr>
                <w:rFonts w:hint="eastAsia" w:cs="Times New Roman"/>
                <w:b/>
                <w:bCs/>
                <w:color w:val="auto"/>
                <w:highlight w:val="none"/>
              </w:rPr>
              <w:t>大气</w:t>
            </w:r>
            <w:r>
              <w:rPr>
                <w:rFonts w:hint="eastAsia"/>
                <w:b/>
                <w:bCs/>
                <w:color w:val="auto"/>
                <w:highlight w:val="none"/>
              </w:rPr>
              <w:t>环境提升工程。</w:t>
            </w:r>
            <w:r>
              <w:rPr>
                <w:rFonts w:hint="eastAsia"/>
                <w:color w:val="auto"/>
                <w:highlight w:val="none"/>
              </w:rPr>
              <w:t>实施大气精细化防控工程，推动核心区中大型餐饮油烟单位、大型建筑施工工地安装智能监控系统。</w:t>
            </w:r>
          </w:p>
          <w:p>
            <w:pPr>
              <w:pStyle w:val="33"/>
              <w:keepNext w:val="0"/>
              <w:keepLines w:val="0"/>
              <w:pageBreakBefore w:val="0"/>
              <w:widowControl w:val="0"/>
              <w:shd w:val="clear"/>
              <w:kinsoku/>
              <w:wordWrap/>
              <w:overflowPunct/>
              <w:topLinePunct w:val="0"/>
              <w:autoSpaceDE/>
              <w:autoSpaceDN/>
              <w:bidi w:val="0"/>
              <w:snapToGrid w:val="0"/>
              <w:spacing w:before="157" w:beforeLines="50" w:after="157" w:afterLines="50" w:line="440" w:lineRule="exact"/>
              <w:ind w:firstLine="562"/>
              <w:textAlignment w:val="auto"/>
              <w:rPr>
                <w:color w:val="auto"/>
                <w:highlight w:val="none"/>
              </w:rPr>
            </w:pPr>
            <w:r>
              <w:rPr>
                <w:rFonts w:hint="default" w:ascii="Times New Roman" w:hAnsi="Times New Roman" w:cs="Times New Roman"/>
                <w:b/>
                <w:bCs/>
                <w:color w:val="auto"/>
                <w:highlight w:val="none"/>
              </w:rPr>
              <w:t>3</w:t>
            </w:r>
            <w:r>
              <w:rPr>
                <w:rFonts w:hint="eastAsia" w:ascii="楷体_GB2312" w:hAnsi="楷体_GB2312" w:eastAsia="楷体_GB2312" w:cs="楷体_GB2312"/>
                <w:color w:val="auto"/>
                <w:highlight w:val="none"/>
                <w:lang w:val="en-US" w:eastAsia="zh-CN"/>
              </w:rPr>
              <w:t>.</w:t>
            </w:r>
            <w:r>
              <w:rPr>
                <w:rFonts w:hint="eastAsia" w:cs="Times New Roman"/>
                <w:b/>
                <w:bCs/>
                <w:color w:val="auto"/>
                <w:highlight w:val="none"/>
              </w:rPr>
              <w:t>水</w:t>
            </w:r>
            <w:r>
              <w:rPr>
                <w:rFonts w:hint="eastAsia"/>
                <w:b/>
                <w:bCs/>
                <w:color w:val="auto"/>
                <w:highlight w:val="none"/>
              </w:rPr>
              <w:t>生态环境提升工程。</w:t>
            </w:r>
            <w:r>
              <w:rPr>
                <w:rFonts w:hint="eastAsia"/>
                <w:color w:val="auto"/>
                <w:highlight w:val="none"/>
                <w:lang w:eastAsia="zh-CN"/>
              </w:rPr>
              <w:t>在</w:t>
            </w:r>
            <w:r>
              <w:rPr>
                <w:rFonts w:hint="eastAsia"/>
                <w:color w:val="auto"/>
                <w:highlight w:val="none"/>
              </w:rPr>
              <w:t>半岭水库、赤田水库、大隆及</w:t>
            </w:r>
            <w:r>
              <w:rPr>
                <w:rFonts w:hint="eastAsia"/>
                <w:color w:val="auto"/>
                <w:highlight w:val="none"/>
                <w:lang w:eastAsia="zh-CN"/>
              </w:rPr>
              <w:t>福万—水源池</w:t>
            </w:r>
            <w:r>
              <w:rPr>
                <w:rFonts w:hint="eastAsia"/>
                <w:color w:val="auto"/>
                <w:highlight w:val="none"/>
              </w:rPr>
              <w:t>水库等饮用水水源地</w:t>
            </w:r>
            <w:r>
              <w:rPr>
                <w:rFonts w:hint="eastAsia"/>
                <w:color w:val="auto"/>
                <w:highlight w:val="none"/>
                <w:lang w:eastAsia="zh-CN"/>
              </w:rPr>
              <w:t>，推进物理隔离设施等规范化建设与升级。实施重点饮用水水源地水生态调查评估与成因解析，深化内源污染与流域输入</w:t>
            </w:r>
            <w:r>
              <w:rPr>
                <w:rFonts w:hint="eastAsia"/>
                <w:color w:val="auto"/>
                <w:highlight w:val="none"/>
              </w:rPr>
              <w:t>负荷</w:t>
            </w:r>
            <w:r>
              <w:rPr>
                <w:rFonts w:hint="eastAsia"/>
                <w:color w:val="auto"/>
                <w:highlight w:val="none"/>
                <w:lang w:eastAsia="zh-CN"/>
              </w:rPr>
              <w:t>研究。</w:t>
            </w:r>
            <w:r>
              <w:rPr>
                <w:rFonts w:hint="eastAsia"/>
                <w:color w:val="auto"/>
                <w:highlight w:val="none"/>
              </w:rPr>
              <w:t>建</w:t>
            </w:r>
            <w:r>
              <w:rPr>
                <w:rFonts w:hint="eastAsia"/>
                <w:color w:val="auto"/>
                <w:highlight w:val="none"/>
                <w:lang w:eastAsia="zh-CN"/>
              </w:rPr>
              <w:t>设</w:t>
            </w:r>
            <w:r>
              <w:rPr>
                <w:rFonts w:hint="eastAsia"/>
                <w:color w:val="auto"/>
                <w:highlight w:val="none"/>
              </w:rPr>
              <w:t>清流园水质净化厂、三亚市循环经济产业园水质净化厂</w:t>
            </w:r>
            <w:r>
              <w:rPr>
                <w:rFonts w:hint="eastAsia"/>
                <w:color w:val="auto"/>
                <w:highlight w:val="none"/>
                <w:lang w:eastAsia="zh-CN"/>
              </w:rPr>
              <w:t>等。</w:t>
            </w:r>
            <w:r>
              <w:rPr>
                <w:rFonts w:hint="eastAsia"/>
                <w:color w:val="auto"/>
                <w:highlight w:val="none"/>
              </w:rPr>
              <w:t>实施大兵河、担油河等流域水生态保护修复工程，冲会河、育才生态区等水环境水生态综合治理工程。</w:t>
            </w:r>
          </w:p>
          <w:p>
            <w:pPr>
              <w:pStyle w:val="33"/>
              <w:keepNext w:val="0"/>
              <w:keepLines w:val="0"/>
              <w:pageBreakBefore w:val="0"/>
              <w:widowControl w:val="0"/>
              <w:shd w:val="clear"/>
              <w:kinsoku/>
              <w:wordWrap/>
              <w:overflowPunct/>
              <w:topLinePunct w:val="0"/>
              <w:autoSpaceDE/>
              <w:autoSpaceDN/>
              <w:bidi w:val="0"/>
              <w:snapToGrid w:val="0"/>
              <w:spacing w:before="157" w:beforeLines="50" w:after="157" w:afterLines="50" w:line="440" w:lineRule="exact"/>
              <w:ind w:firstLine="562"/>
              <w:textAlignment w:val="auto"/>
              <w:rPr>
                <w:color w:val="auto"/>
                <w:highlight w:val="none"/>
              </w:rPr>
            </w:pPr>
            <w:r>
              <w:rPr>
                <w:rFonts w:hint="default" w:ascii="Times New Roman" w:hAnsi="Times New Roman" w:cs="Times New Roman"/>
                <w:b/>
                <w:bCs/>
                <w:color w:val="auto"/>
                <w:highlight w:val="none"/>
              </w:rPr>
              <w:t>4</w:t>
            </w:r>
            <w:r>
              <w:rPr>
                <w:rFonts w:hint="eastAsia" w:ascii="楷体_GB2312" w:hAnsi="楷体_GB2312" w:eastAsia="楷体_GB2312" w:cs="楷体_GB2312"/>
                <w:color w:val="auto"/>
                <w:highlight w:val="none"/>
                <w:lang w:val="en-US" w:eastAsia="zh-CN"/>
              </w:rPr>
              <w:t>.</w:t>
            </w:r>
            <w:r>
              <w:rPr>
                <w:rFonts w:hint="eastAsia" w:cs="Times New Roman"/>
                <w:b/>
                <w:bCs/>
                <w:color w:val="auto"/>
                <w:highlight w:val="none"/>
              </w:rPr>
              <w:t>土</w:t>
            </w:r>
            <w:r>
              <w:rPr>
                <w:rFonts w:hint="eastAsia"/>
                <w:b/>
                <w:bCs/>
                <w:color w:val="auto"/>
                <w:highlight w:val="none"/>
              </w:rPr>
              <w:t>壤和地下水提升工程。</w:t>
            </w:r>
            <w:r>
              <w:rPr>
                <w:rFonts w:hint="eastAsia"/>
                <w:color w:val="auto"/>
                <w:highlight w:val="none"/>
              </w:rPr>
              <w:t>实施</w:t>
            </w:r>
            <w:r>
              <w:rPr>
                <w:rFonts w:hint="eastAsia"/>
                <w:color w:val="auto"/>
                <w:highlight w:val="none"/>
                <w:lang w:eastAsia="zh-CN"/>
              </w:rPr>
              <w:t>垃圾填埋场土壤和地下水污染治理</w:t>
            </w:r>
            <w:r>
              <w:rPr>
                <w:rFonts w:hint="eastAsia"/>
                <w:color w:val="auto"/>
                <w:highlight w:val="none"/>
              </w:rPr>
              <w:t>，开展农用地污染溯源和整治，实施土壤和地下水环境监测能力提升工程。</w:t>
            </w:r>
          </w:p>
          <w:p>
            <w:pPr>
              <w:pStyle w:val="33"/>
              <w:keepNext w:val="0"/>
              <w:keepLines w:val="0"/>
              <w:pageBreakBefore w:val="0"/>
              <w:widowControl w:val="0"/>
              <w:shd w:val="clear"/>
              <w:kinsoku/>
              <w:wordWrap/>
              <w:overflowPunct/>
              <w:topLinePunct w:val="0"/>
              <w:autoSpaceDE/>
              <w:autoSpaceDN/>
              <w:bidi w:val="0"/>
              <w:snapToGrid w:val="0"/>
              <w:spacing w:before="157" w:beforeLines="50" w:after="157" w:afterLines="50" w:line="440" w:lineRule="exact"/>
              <w:ind w:firstLine="562"/>
              <w:textAlignment w:val="auto"/>
              <w:rPr>
                <w:rFonts w:hint="eastAsia"/>
                <w:color w:val="auto"/>
                <w:highlight w:val="none"/>
              </w:rPr>
            </w:pPr>
            <w:r>
              <w:rPr>
                <w:rFonts w:hint="default" w:ascii="Times New Roman" w:hAnsi="Times New Roman" w:cs="Times New Roman"/>
                <w:b/>
                <w:bCs/>
                <w:color w:val="auto"/>
                <w:highlight w:val="none"/>
              </w:rPr>
              <w:t>5</w:t>
            </w:r>
            <w:r>
              <w:rPr>
                <w:rFonts w:hint="eastAsia" w:ascii="楷体_GB2312" w:hAnsi="楷体_GB2312" w:eastAsia="楷体_GB2312" w:cs="楷体_GB2312"/>
                <w:color w:val="auto"/>
                <w:highlight w:val="none"/>
                <w:lang w:val="en-US" w:eastAsia="zh-CN"/>
              </w:rPr>
              <w:t>.</w:t>
            </w:r>
            <w:r>
              <w:rPr>
                <w:rFonts w:hint="eastAsia" w:cs="Times New Roman"/>
                <w:b/>
                <w:bCs/>
                <w:color w:val="auto"/>
                <w:highlight w:val="none"/>
              </w:rPr>
              <w:t>海</w:t>
            </w:r>
            <w:r>
              <w:rPr>
                <w:rFonts w:hint="eastAsia"/>
                <w:b/>
                <w:bCs/>
                <w:color w:val="auto"/>
                <w:highlight w:val="none"/>
              </w:rPr>
              <w:t>洋生态环境提升工程。</w:t>
            </w:r>
            <w:r>
              <w:rPr>
                <w:rFonts w:hint="eastAsia"/>
                <w:color w:val="auto"/>
                <w:highlight w:val="none"/>
              </w:rPr>
              <w:t>实施藤桥河、大茅河、宁远河等入海河流总氮削减工程，实施入海排污口规范化整治项目。实施珊瑚礁生态修复及海洋生态环境监测项目，建设珊瑚种质资源库，实施亲海品质提升工程。</w:t>
            </w:r>
          </w:p>
        </w:tc>
      </w:tr>
    </w:tbl>
    <w:p>
      <w:pPr>
        <w:pStyle w:val="4"/>
        <w:pageBreakBefore w:val="0"/>
        <w:widowControl w:val="0"/>
        <w:shd w:val="clear"/>
        <w:kinsoku/>
        <w:wordWrap/>
        <w:overflowPunct/>
        <w:topLinePunct w:val="0"/>
        <w:autoSpaceDE/>
        <w:autoSpaceDN/>
        <w:bidi w:val="0"/>
        <w:adjustRightInd w:val="0"/>
        <w:snapToGrid w:val="0"/>
        <w:ind w:left="0" w:leftChars="0" w:firstLine="0" w:firstLineChars="0"/>
        <w:textAlignment w:val="auto"/>
        <w:rPr>
          <w:rFonts w:hint="eastAsia"/>
          <w:b w:val="0"/>
          <w:bCs/>
          <w:color w:val="auto"/>
          <w:highlight w:val="none"/>
        </w:rPr>
      </w:pPr>
      <w:bookmarkStart w:id="296" w:name="_Toc2081812211"/>
      <w:bookmarkStart w:id="297" w:name="_Toc991608775"/>
      <w:bookmarkStart w:id="298" w:name="_Toc216693732"/>
      <w:bookmarkStart w:id="299" w:name="_Toc680867600"/>
      <w:bookmarkStart w:id="300" w:name="_Toc1176435695"/>
      <w:bookmarkStart w:id="301" w:name="_Toc1849337188"/>
      <w:bookmarkStart w:id="302" w:name="_Toc3354"/>
      <w:bookmarkStart w:id="303" w:name="_Toc734601880"/>
    </w:p>
    <w:p>
      <w:pPr>
        <w:pStyle w:val="4"/>
        <w:pageBreakBefore w:val="0"/>
        <w:widowControl w:val="0"/>
        <w:shd w:val="clear"/>
        <w:kinsoku/>
        <w:wordWrap/>
        <w:overflowPunct/>
        <w:topLinePunct w:val="0"/>
        <w:autoSpaceDE/>
        <w:autoSpaceDN/>
        <w:bidi w:val="0"/>
        <w:adjustRightInd w:val="0"/>
        <w:snapToGrid w:val="0"/>
        <w:spacing w:line="576" w:lineRule="exact"/>
        <w:ind w:left="0" w:leftChars="0" w:firstLine="0" w:firstLineChars="0"/>
        <w:jc w:val="center"/>
        <w:textAlignment w:val="auto"/>
        <w:rPr>
          <w:rFonts w:hint="eastAsia" w:ascii="黑体" w:hAnsi="黑体" w:eastAsia="黑体" w:cs="黑体"/>
          <w:b w:val="0"/>
          <w:bCs/>
          <w:color w:val="auto"/>
          <w:sz w:val="32"/>
          <w:szCs w:val="32"/>
          <w:highlight w:val="none"/>
          <w:shd w:val="clear" w:color="auto" w:fill="FFFFFF"/>
        </w:rPr>
      </w:pPr>
      <w:r>
        <w:rPr>
          <w:rFonts w:hint="eastAsia" w:ascii="黑体" w:hAnsi="黑体" w:eastAsia="黑体" w:cs="黑体"/>
          <w:b w:val="0"/>
          <w:bCs/>
          <w:color w:val="auto"/>
          <w:sz w:val="32"/>
          <w:szCs w:val="32"/>
          <w:highlight w:val="none"/>
        </w:rPr>
        <w:t>第四节  加快形成绿色生产生活方式</w:t>
      </w:r>
      <w:bookmarkEnd w:id="294"/>
      <w:bookmarkEnd w:id="295"/>
      <w:bookmarkEnd w:id="296"/>
      <w:bookmarkEnd w:id="297"/>
      <w:bookmarkEnd w:id="298"/>
      <w:bookmarkEnd w:id="299"/>
      <w:bookmarkEnd w:id="300"/>
      <w:bookmarkEnd w:id="301"/>
      <w:bookmarkEnd w:id="302"/>
      <w:bookmarkEnd w:id="303"/>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r>
        <w:rPr>
          <w:rFonts w:hint="eastAsia"/>
          <w:b/>
          <w:bCs/>
          <w:color w:val="auto"/>
          <w:sz w:val="32"/>
          <w:szCs w:val="32"/>
          <w:highlight w:val="none"/>
        </w:rPr>
        <w:t>推动生态产业化和产业生态化。</w:t>
      </w:r>
      <w:r>
        <w:rPr>
          <w:rFonts w:hint="eastAsia"/>
          <w:color w:val="auto"/>
          <w:sz w:val="32"/>
          <w:szCs w:val="32"/>
          <w:highlight w:val="none"/>
        </w:rPr>
        <w:t>开发生态农业、旅游业产品服务，健全生态产品调查监测、价值评估、经营开发机制，开展生态产品价值实现试点示范，持续拓宽</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两山</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转化路径。高质量建设国家生态文明试验区，大力发展垃圾焚烧产业、废旧物回收再生利用</w:t>
      </w:r>
      <w:r>
        <w:rPr>
          <w:rFonts w:hint="eastAsia"/>
          <w:color w:val="auto"/>
          <w:sz w:val="32"/>
          <w:szCs w:val="32"/>
          <w:highlight w:val="none"/>
          <w:lang w:eastAsia="zh-CN"/>
        </w:rPr>
        <w:t>、</w:t>
      </w:r>
      <w:r>
        <w:rPr>
          <w:rFonts w:hint="eastAsia"/>
          <w:color w:val="auto"/>
          <w:sz w:val="32"/>
          <w:szCs w:val="32"/>
          <w:highlight w:val="none"/>
        </w:rPr>
        <w:t>装配式</w:t>
      </w:r>
      <w:r>
        <w:rPr>
          <w:rFonts w:hint="eastAsia"/>
          <w:color w:val="auto"/>
          <w:sz w:val="32"/>
          <w:szCs w:val="32"/>
          <w:highlight w:val="none"/>
          <w:lang w:eastAsia="zh-CN"/>
        </w:rPr>
        <w:t>建筑和</w:t>
      </w:r>
      <w:r>
        <w:rPr>
          <w:rFonts w:hint="eastAsia"/>
          <w:color w:val="auto"/>
          <w:sz w:val="32"/>
          <w:szCs w:val="32"/>
          <w:highlight w:val="none"/>
        </w:rPr>
        <w:t>绿色建筑等。加快建设绿色制造体系和服务体系，推动建材、现代服务等重点行业能源利用效率和主要污染物排放控制水平达到国际先进水平。</w:t>
      </w:r>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r>
        <w:rPr>
          <w:rFonts w:hint="eastAsia"/>
          <w:b/>
          <w:bCs/>
          <w:color w:val="auto"/>
          <w:sz w:val="32"/>
          <w:szCs w:val="32"/>
          <w:highlight w:val="none"/>
        </w:rPr>
        <w:t>践行绿色低碳生活。</w:t>
      </w:r>
      <w:r>
        <w:rPr>
          <w:rFonts w:hint="eastAsia"/>
          <w:color w:val="auto"/>
          <w:sz w:val="32"/>
          <w:szCs w:val="32"/>
          <w:highlight w:val="none"/>
        </w:rPr>
        <w:t>大力倡导简约适度、绿色低碳、文明健康的生活理念和消费方式，加强资源节约集约高效利用，推动水、</w:t>
      </w:r>
      <w:r>
        <w:rPr>
          <w:rFonts w:hint="eastAsia"/>
          <w:color w:val="auto"/>
          <w:sz w:val="32"/>
          <w:szCs w:val="32"/>
          <w:highlight w:val="none"/>
          <w:lang w:eastAsia="zh-CN"/>
        </w:rPr>
        <w:t>电、</w:t>
      </w:r>
      <w:r>
        <w:rPr>
          <w:rFonts w:hint="eastAsia"/>
          <w:color w:val="auto"/>
          <w:sz w:val="32"/>
          <w:szCs w:val="32"/>
          <w:highlight w:val="none"/>
        </w:rPr>
        <w:t>粮食等资源全过程管理和全链条节约，健全绿色消费激励机制，开展绿色出行、节水节电、</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光盘行动</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禁塑</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、垃圾分类等专项行动。持续开展</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美丽中国，我是行动者</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系列活动，广泛动员园区、企业、社区、学校、家庭和个人积极行动起来，形成崇尚生态文明的社会氛围。</w:t>
      </w:r>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r>
        <w:rPr>
          <w:rFonts w:hint="eastAsia"/>
          <w:b/>
          <w:bCs/>
          <w:color w:val="auto"/>
          <w:sz w:val="32"/>
          <w:szCs w:val="32"/>
          <w:highlight w:val="none"/>
        </w:rPr>
        <w:t>加强生态文化建设。</w:t>
      </w:r>
      <w:r>
        <w:rPr>
          <w:rFonts w:hint="eastAsia"/>
          <w:color w:val="auto"/>
          <w:sz w:val="32"/>
          <w:szCs w:val="32"/>
          <w:highlight w:val="none"/>
        </w:rPr>
        <w:t>广泛面向党政机关、中小学生、基层组织开展生态文明教育活动。建设红树林研学教育基地和生物多样性保护体验基地，</w:t>
      </w:r>
      <w:r>
        <w:rPr>
          <w:rFonts w:hint="eastAsia"/>
          <w:color w:val="auto"/>
          <w:sz w:val="32"/>
          <w:szCs w:val="32"/>
          <w:highlight w:val="none"/>
          <w:lang w:eastAsia="zh-CN"/>
        </w:rPr>
        <w:t>积极组织</w:t>
      </w:r>
      <w:r>
        <w:rPr>
          <w:rFonts w:hint="eastAsia"/>
          <w:color w:val="auto"/>
          <w:sz w:val="32"/>
          <w:szCs w:val="32"/>
          <w:highlight w:val="none"/>
        </w:rPr>
        <w:t>国际重要湿地创建和国际湿地城市申报工作，深化与联合国环境署巴塞尔公约亚太区域中心的合作，加快推动相关国际组织基地落地三亚，推动三亚成为展示海南生态文明建设成果的名片。</w:t>
      </w:r>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p>
    <w:p>
      <w:pPr>
        <w:pStyle w:val="31"/>
        <w:rPr>
          <w:rFonts w:hint="eastAsia"/>
          <w:color w:val="auto"/>
          <w:sz w:val="32"/>
          <w:szCs w:val="32"/>
          <w:highlight w:val="none"/>
        </w:rPr>
      </w:pPr>
      <w:bookmarkStart w:id="304" w:name="_Toc387863738"/>
      <w:bookmarkStart w:id="305" w:name="_Toc213447248"/>
      <w:bookmarkStart w:id="306" w:name="_Toc2109343076"/>
      <w:bookmarkStart w:id="307" w:name="_Toc1505179977"/>
      <w:bookmarkStart w:id="308" w:name="_Toc1099883760"/>
      <w:bookmarkStart w:id="309" w:name="_Toc378221453"/>
      <w:bookmarkStart w:id="310" w:name="_Toc24118"/>
      <w:bookmarkStart w:id="311" w:name="_Toc746576831"/>
      <w:bookmarkStart w:id="312" w:name="_Toc523105226"/>
      <w:bookmarkStart w:id="313" w:name="_Toc1034295775"/>
      <w:bookmarkStart w:id="314" w:name="_Toc211979429"/>
    </w:p>
    <w:p>
      <w:pPr>
        <w:pStyle w:val="31"/>
        <w:rPr>
          <w:rFonts w:hint="eastAsia"/>
          <w:color w:val="auto"/>
          <w:sz w:val="32"/>
          <w:szCs w:val="32"/>
          <w:highlight w:val="none"/>
        </w:rPr>
      </w:pPr>
    </w:p>
    <w:p>
      <w:pPr>
        <w:pStyle w:val="31"/>
        <w:rPr>
          <w:rFonts w:hint="eastAsia"/>
          <w:color w:val="auto"/>
          <w:sz w:val="32"/>
          <w:szCs w:val="32"/>
          <w:highlight w:val="none"/>
        </w:rPr>
      </w:pPr>
    </w:p>
    <w:p>
      <w:pPr>
        <w:pStyle w:val="31"/>
        <w:rPr>
          <w:rFonts w:hint="eastAsia"/>
          <w:color w:val="auto"/>
          <w:sz w:val="32"/>
          <w:szCs w:val="32"/>
          <w:highlight w:val="none"/>
        </w:rPr>
      </w:pPr>
    </w:p>
    <w:p>
      <w:pPr>
        <w:pStyle w:val="31"/>
        <w:rPr>
          <w:rFonts w:hint="eastAsia"/>
          <w:color w:val="auto"/>
          <w:sz w:val="32"/>
          <w:szCs w:val="32"/>
          <w:highlight w:val="none"/>
        </w:rPr>
      </w:pPr>
    </w:p>
    <w:p>
      <w:pPr>
        <w:pStyle w:val="31"/>
        <w:rPr>
          <w:rFonts w:hint="eastAsia"/>
          <w:color w:val="auto"/>
          <w:sz w:val="32"/>
          <w:szCs w:val="32"/>
          <w:highlight w:val="none"/>
        </w:rPr>
      </w:pPr>
    </w:p>
    <w:p>
      <w:pPr>
        <w:pStyle w:val="31"/>
        <w:rPr>
          <w:rFonts w:hint="eastAsia"/>
          <w:color w:val="auto"/>
          <w:sz w:val="32"/>
          <w:szCs w:val="32"/>
          <w:highlight w:val="none"/>
        </w:rPr>
      </w:pPr>
    </w:p>
    <w:p>
      <w:pPr>
        <w:pStyle w:val="31"/>
        <w:rPr>
          <w:rFonts w:hint="eastAsia"/>
          <w:color w:val="auto"/>
          <w:sz w:val="32"/>
          <w:szCs w:val="32"/>
          <w:highlight w:val="none"/>
        </w:rPr>
      </w:pPr>
    </w:p>
    <w:p>
      <w:pPr>
        <w:pStyle w:val="31"/>
        <w:rPr>
          <w:rFonts w:hint="eastAsia"/>
          <w:color w:val="auto"/>
          <w:sz w:val="32"/>
          <w:szCs w:val="32"/>
          <w:highlight w:val="none"/>
        </w:rPr>
      </w:pPr>
    </w:p>
    <w:p>
      <w:pPr>
        <w:pStyle w:val="31"/>
        <w:rPr>
          <w:rFonts w:hint="eastAsia"/>
          <w:color w:val="auto"/>
          <w:sz w:val="32"/>
          <w:szCs w:val="32"/>
          <w:highlight w:val="none"/>
        </w:rPr>
      </w:pPr>
    </w:p>
    <w:p>
      <w:pPr>
        <w:pStyle w:val="31"/>
        <w:rPr>
          <w:rFonts w:hint="eastAsia"/>
          <w:color w:val="auto"/>
          <w:sz w:val="32"/>
          <w:szCs w:val="32"/>
          <w:highlight w:val="none"/>
        </w:rPr>
      </w:pPr>
    </w:p>
    <w:p>
      <w:pPr>
        <w:pStyle w:val="31"/>
        <w:rPr>
          <w:rFonts w:hint="eastAsia"/>
          <w:color w:val="auto"/>
          <w:sz w:val="32"/>
          <w:szCs w:val="32"/>
          <w:highlight w:val="none"/>
        </w:rPr>
      </w:pPr>
    </w:p>
    <w:p>
      <w:pPr>
        <w:rPr>
          <w:rFonts w:hint="eastAsia"/>
        </w:rPr>
      </w:pPr>
    </w:p>
    <w:p>
      <w:pPr>
        <w:pStyle w:val="3"/>
        <w:pageBreakBefore w:val="0"/>
        <w:widowControl w:val="0"/>
        <w:shd w:val="clear"/>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p>
    <w:p>
      <w:pPr>
        <w:pStyle w:val="3"/>
        <w:pageBreakBefore w:val="0"/>
        <w:widowControl w:val="0"/>
        <w:shd w:val="clear"/>
        <w:kinsoku/>
        <w:wordWrap/>
        <w:overflowPunct/>
        <w:topLinePunct w:val="0"/>
        <w:autoSpaceDE/>
        <w:autoSpaceDN/>
        <w:bidi w:val="0"/>
        <w:adjustRightInd w:val="0"/>
        <w:snapToGrid w:val="0"/>
        <w:spacing w:line="576" w:lineRule="exact"/>
        <w:textAlignment w:val="auto"/>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sz w:val="40"/>
          <w:szCs w:val="40"/>
          <w:highlight w:val="none"/>
        </w:rPr>
        <w:t>第五章  建设国际旅游消费中心核心区</w:t>
      </w:r>
      <w:bookmarkEnd w:id="304"/>
      <w:bookmarkEnd w:id="305"/>
      <w:bookmarkEnd w:id="306"/>
      <w:bookmarkEnd w:id="307"/>
      <w:bookmarkEnd w:id="308"/>
      <w:bookmarkEnd w:id="309"/>
      <w:bookmarkEnd w:id="310"/>
      <w:bookmarkEnd w:id="311"/>
      <w:bookmarkEnd w:id="312"/>
      <w:bookmarkEnd w:id="313"/>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lang w:eastAsia="zh"/>
        </w:rPr>
      </w:pPr>
      <w:bookmarkStart w:id="315" w:name="OLE_LINK1"/>
      <w:bookmarkStart w:id="316" w:name="_Toc1037879204"/>
      <w:bookmarkStart w:id="317" w:name="_Toc1791806950"/>
      <w:bookmarkStart w:id="318" w:name="_Toc415517115"/>
      <w:bookmarkStart w:id="319" w:name="_Toc21329"/>
      <w:bookmarkStart w:id="320" w:name="_Toc64115573"/>
      <w:bookmarkStart w:id="321" w:name="_Toc1126078892"/>
      <w:bookmarkStart w:id="322" w:name="_Toc1707856074"/>
      <w:bookmarkStart w:id="323" w:name="_Toc200982552"/>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lang w:eastAsia="zh"/>
        </w:rPr>
      </w:pPr>
    </w:p>
    <w:p>
      <w:pPr>
        <w:pStyle w:val="31"/>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lang w:eastAsia="zh"/>
        </w:rPr>
      </w:pPr>
      <w:r>
        <w:rPr>
          <w:rFonts w:hint="eastAsia"/>
          <w:color w:val="auto"/>
          <w:sz w:val="32"/>
          <w:szCs w:val="32"/>
          <w:highlight w:val="none"/>
          <w:lang w:eastAsia="zh"/>
        </w:rPr>
        <w:t>把建设国际旅游消费中心核心区作为高标准建设海南自由贸易港的关键支撑，对标国际一流标准，强化改革创新驱动，规范旅游市场管理和服务，全面提升旅游消费能级和核心竞争力，努力打造世界级旅游目的地。</w:t>
      </w:r>
      <w:bookmarkEnd w:id="315"/>
    </w:p>
    <w:p>
      <w:pPr>
        <w:pStyle w:val="4"/>
        <w:pageBreakBefore w:val="0"/>
        <w:widowControl w:val="0"/>
        <w:shd w:val="clear"/>
        <w:kinsoku/>
        <w:wordWrap/>
        <w:overflowPunct/>
        <w:topLinePunct w:val="0"/>
        <w:autoSpaceDE/>
        <w:autoSpaceDN/>
        <w:bidi w:val="0"/>
        <w:adjustRightInd w:val="0"/>
        <w:snapToGrid w:val="0"/>
        <w:spacing w:line="576" w:lineRule="exact"/>
        <w:ind w:left="0" w:leftChars="0" w:firstLine="0" w:firstLineChars="0"/>
        <w:textAlignment w:val="auto"/>
        <w:rPr>
          <w:rFonts w:hint="eastAsia"/>
          <w:color w:val="auto"/>
          <w:sz w:val="32"/>
          <w:szCs w:val="32"/>
          <w:highlight w:val="none"/>
          <w:lang w:eastAsia="zh"/>
        </w:rPr>
      </w:pPr>
      <w:bookmarkStart w:id="324" w:name="_Toc1698468389"/>
      <w:bookmarkStart w:id="325" w:name="_Toc213447249"/>
      <w:bookmarkStart w:id="326" w:name="_Toc10248"/>
      <w:bookmarkStart w:id="327" w:name="_Toc978160326"/>
      <w:bookmarkStart w:id="328" w:name="_Toc183393145"/>
      <w:bookmarkStart w:id="329" w:name="_Toc1492713102"/>
      <w:bookmarkStart w:id="330" w:name="_Toc2052253486"/>
      <w:bookmarkStart w:id="331" w:name="_Toc127982946"/>
      <w:bookmarkStart w:id="332" w:name="_Toc1791583734"/>
      <w:bookmarkStart w:id="333" w:name="_Toc1299764082"/>
    </w:p>
    <w:p>
      <w:pPr>
        <w:pStyle w:val="4"/>
        <w:pageBreakBefore w:val="0"/>
        <w:widowControl w:val="0"/>
        <w:shd w:val="clear"/>
        <w:kinsoku/>
        <w:wordWrap/>
        <w:overflowPunct/>
        <w:topLinePunct w:val="0"/>
        <w:autoSpaceDE/>
        <w:autoSpaceDN/>
        <w:bidi w:val="0"/>
        <w:adjustRightInd w:val="0"/>
        <w:snapToGrid w:val="0"/>
        <w:spacing w:line="576"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lang w:eastAsia="zh"/>
        </w:rPr>
        <w:t>第一节</w:t>
      </w:r>
      <w:r>
        <w:rPr>
          <w:rFonts w:hint="eastAsia" w:ascii="黑体" w:hAnsi="黑体" w:eastAsia="黑体" w:cs="黑体"/>
          <w:b w:val="0"/>
          <w:bCs/>
          <w:color w:val="auto"/>
          <w:sz w:val="32"/>
          <w:szCs w:val="32"/>
          <w:highlight w:val="none"/>
        </w:rPr>
        <w:t xml:space="preserve">  </w:t>
      </w:r>
      <w:r>
        <w:rPr>
          <w:rFonts w:hint="eastAsia" w:ascii="黑体" w:hAnsi="黑体" w:eastAsia="黑体" w:cs="黑体"/>
          <w:b w:val="0"/>
          <w:bCs/>
          <w:color w:val="auto"/>
          <w:sz w:val="32"/>
          <w:szCs w:val="32"/>
          <w:highlight w:val="none"/>
          <w:lang w:eastAsia="zh"/>
        </w:rPr>
        <w:t>丰富高品质旅游产品供给</w:t>
      </w:r>
      <w:bookmarkEnd w:id="324"/>
      <w:bookmarkEnd w:id="325"/>
      <w:bookmarkEnd w:id="326"/>
      <w:bookmarkEnd w:id="327"/>
      <w:bookmarkEnd w:id="328"/>
      <w:bookmarkEnd w:id="329"/>
      <w:bookmarkEnd w:id="330"/>
      <w:bookmarkEnd w:id="331"/>
      <w:bookmarkEnd w:id="332"/>
      <w:bookmarkEnd w:id="333"/>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b/>
          <w:bCs/>
          <w:color w:val="auto"/>
          <w:sz w:val="32"/>
          <w:szCs w:val="32"/>
          <w:highlight w:val="none"/>
        </w:rPr>
      </w:pPr>
    </w:p>
    <w:p>
      <w:pPr>
        <w:pStyle w:val="31"/>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rPr>
        <w:t>提升旅游产品设计和开发水平。</w:t>
      </w:r>
      <w:r>
        <w:rPr>
          <w:color w:val="auto"/>
          <w:sz w:val="32"/>
          <w:szCs w:val="32"/>
          <w:highlight w:val="none"/>
        </w:rPr>
        <w:t>打造高端化国际邮轮产品</w:t>
      </w:r>
      <w:r>
        <w:rPr>
          <w:rFonts w:hint="eastAsia"/>
          <w:color w:val="auto"/>
          <w:sz w:val="32"/>
          <w:szCs w:val="32"/>
          <w:highlight w:val="none"/>
        </w:rPr>
        <w:t>，</w:t>
      </w:r>
      <w:r>
        <w:rPr>
          <w:color w:val="auto"/>
          <w:sz w:val="32"/>
          <w:szCs w:val="32"/>
          <w:highlight w:val="none"/>
        </w:rPr>
        <w:t>发展多元化游艇旅游产品</w:t>
      </w:r>
      <w:r>
        <w:rPr>
          <w:rFonts w:hint="eastAsia"/>
          <w:color w:val="auto"/>
          <w:sz w:val="32"/>
          <w:szCs w:val="32"/>
          <w:highlight w:val="none"/>
        </w:rPr>
        <w:t>，</w:t>
      </w:r>
      <w:r>
        <w:rPr>
          <w:color w:val="auto"/>
          <w:sz w:val="32"/>
          <w:szCs w:val="32"/>
          <w:highlight w:val="none"/>
        </w:rPr>
        <w:t>研发精品化深海旅游产品</w:t>
      </w:r>
      <w:r>
        <w:rPr>
          <w:rFonts w:hint="eastAsia"/>
          <w:color w:val="auto"/>
          <w:sz w:val="32"/>
          <w:szCs w:val="32"/>
          <w:highlight w:val="none"/>
        </w:rPr>
        <w:t>，</w:t>
      </w:r>
      <w:r>
        <w:rPr>
          <w:color w:val="auto"/>
          <w:sz w:val="32"/>
          <w:szCs w:val="32"/>
          <w:highlight w:val="none"/>
        </w:rPr>
        <w:t>培育高质量海洋文娱产品。加强文化资源的保护传承与创新性发展，</w:t>
      </w:r>
      <w:r>
        <w:rPr>
          <w:rFonts w:hint="eastAsia"/>
          <w:color w:val="auto"/>
          <w:sz w:val="32"/>
          <w:szCs w:val="32"/>
          <w:highlight w:val="none"/>
        </w:rPr>
        <w:t>精心打造</w:t>
      </w:r>
      <w:r>
        <w:rPr>
          <w:rFonts w:hint="eastAsia" w:ascii="仿宋_GB2312" w:hAnsi="仿宋_GB2312" w:eastAsia="仿宋_GB2312" w:cs="仿宋_GB2312"/>
          <w:color w:val="auto"/>
          <w:sz w:val="32"/>
          <w:szCs w:val="32"/>
          <w:highlight w:val="none"/>
        </w:rPr>
        <w:t>“</w:t>
      </w:r>
      <w:r>
        <w:rPr>
          <w:color w:val="auto"/>
          <w:sz w:val="32"/>
          <w:szCs w:val="32"/>
          <w:highlight w:val="none"/>
        </w:rPr>
        <w:t>千古人文</w:t>
      </w:r>
      <w:r>
        <w:rPr>
          <w:rFonts w:hint="eastAsia" w:ascii="仿宋_GB2312" w:hAnsi="仿宋_GB2312" w:eastAsia="仿宋_GB2312" w:cs="仿宋_GB2312"/>
          <w:color w:val="auto"/>
          <w:sz w:val="32"/>
          <w:szCs w:val="32"/>
          <w:highlight w:val="none"/>
        </w:rPr>
        <w:t>”</w:t>
      </w:r>
      <w:r>
        <w:rPr>
          <w:color w:val="auto"/>
          <w:sz w:val="32"/>
          <w:szCs w:val="32"/>
          <w:highlight w:val="none"/>
        </w:rPr>
        <w:t>历史文化考古游</w:t>
      </w:r>
      <w:r>
        <w:rPr>
          <w:rFonts w:hint="eastAsia"/>
          <w:color w:val="auto"/>
          <w:sz w:val="32"/>
          <w:szCs w:val="32"/>
          <w:highlight w:val="none"/>
        </w:rPr>
        <w:t>、</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烽火记忆</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革命文化研学游、</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黎风苗韵</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非遗民俗体验游、</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璀璨三亚</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时尚文化魅力游</w:t>
      </w:r>
      <w:r>
        <w:rPr>
          <w:rFonts w:hint="eastAsia"/>
          <w:color w:val="auto"/>
          <w:sz w:val="32"/>
          <w:szCs w:val="32"/>
          <w:highlight w:val="none"/>
          <w:lang w:eastAsia="zh-CN"/>
        </w:rPr>
        <w:t>，</w:t>
      </w:r>
      <w:r>
        <w:rPr>
          <w:rFonts w:hint="eastAsia"/>
          <w:color w:val="auto"/>
          <w:sz w:val="32"/>
          <w:szCs w:val="32"/>
          <w:highlight w:val="none"/>
          <w:lang w:eastAsia="zh"/>
        </w:rPr>
        <w:t>推进三亚建设国家文化和旅游消费试点城市</w:t>
      </w:r>
      <w:r>
        <w:rPr>
          <w:rFonts w:hint="eastAsia"/>
          <w:color w:val="auto"/>
          <w:sz w:val="32"/>
          <w:szCs w:val="32"/>
          <w:highlight w:val="none"/>
        </w:rPr>
        <w:t>。建设国家体育南方训练基地，</w:t>
      </w:r>
      <w:r>
        <w:rPr>
          <w:rFonts w:hint="eastAsia"/>
          <w:color w:val="auto"/>
          <w:sz w:val="32"/>
          <w:szCs w:val="32"/>
          <w:highlight w:val="none"/>
          <w:lang w:eastAsia="zh-CN"/>
        </w:rPr>
        <w:t>争取更多</w:t>
      </w:r>
      <w:r>
        <w:rPr>
          <w:rFonts w:hint="eastAsia"/>
          <w:color w:val="auto"/>
          <w:sz w:val="32"/>
          <w:szCs w:val="32"/>
          <w:highlight w:val="none"/>
        </w:rPr>
        <w:t>国家级冬训基地落户三亚，</w:t>
      </w:r>
      <w:r>
        <w:rPr>
          <w:rFonts w:hint="eastAsia"/>
          <w:color w:val="auto"/>
          <w:sz w:val="32"/>
          <w:szCs w:val="32"/>
          <w:highlight w:val="none"/>
          <w:lang w:eastAsia="zh-CN"/>
        </w:rPr>
        <w:t>开发</w:t>
      </w:r>
      <w:r>
        <w:rPr>
          <w:rFonts w:hint="eastAsia"/>
          <w:color w:val="auto"/>
          <w:sz w:val="32"/>
          <w:szCs w:val="32"/>
          <w:highlight w:val="none"/>
        </w:rPr>
        <w:t>热带滨海体育旅游产品，打造</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热带滨海运动天堂</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赛事名城</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w:t>
      </w:r>
      <w:r>
        <w:rPr>
          <w:rFonts w:hint="eastAsia"/>
          <w:color w:val="auto"/>
          <w:sz w:val="32"/>
          <w:szCs w:val="32"/>
          <w:highlight w:val="none"/>
          <w:lang w:val="en-US" w:eastAsia="zh-CN"/>
        </w:rPr>
        <w:t>建设气候康养监测服务体系，</w:t>
      </w:r>
      <w:r>
        <w:rPr>
          <w:rFonts w:hint="eastAsia"/>
          <w:color w:val="auto"/>
          <w:sz w:val="32"/>
          <w:szCs w:val="32"/>
          <w:highlight w:val="none"/>
        </w:rPr>
        <w:t>构</w:t>
      </w:r>
      <w:r>
        <w:rPr>
          <w:color w:val="auto"/>
          <w:sz w:val="32"/>
          <w:szCs w:val="32"/>
          <w:highlight w:val="none"/>
        </w:rPr>
        <w:t>建全域特色康养板块</w:t>
      </w:r>
      <w:r>
        <w:rPr>
          <w:rFonts w:hint="eastAsia"/>
          <w:color w:val="auto"/>
          <w:sz w:val="32"/>
          <w:szCs w:val="32"/>
          <w:highlight w:val="none"/>
        </w:rPr>
        <w:t>，</w:t>
      </w:r>
      <w:r>
        <w:rPr>
          <w:color w:val="auto"/>
          <w:sz w:val="32"/>
          <w:szCs w:val="32"/>
          <w:highlight w:val="none"/>
        </w:rPr>
        <w:t>开发中医药康养</w:t>
      </w:r>
      <w:r>
        <w:rPr>
          <w:rFonts w:hint="eastAsia"/>
          <w:color w:val="auto"/>
          <w:sz w:val="32"/>
          <w:szCs w:val="32"/>
          <w:highlight w:val="none"/>
          <w:lang w:eastAsia="zh-CN"/>
        </w:rPr>
        <w:t>、</w:t>
      </w:r>
      <w:r>
        <w:rPr>
          <w:color w:val="auto"/>
          <w:sz w:val="32"/>
          <w:szCs w:val="32"/>
          <w:highlight w:val="none"/>
        </w:rPr>
        <w:t>温泉康养</w:t>
      </w:r>
      <w:r>
        <w:rPr>
          <w:rFonts w:hint="eastAsia"/>
          <w:color w:val="auto"/>
          <w:sz w:val="32"/>
          <w:szCs w:val="32"/>
          <w:highlight w:val="none"/>
        </w:rPr>
        <w:t>、</w:t>
      </w:r>
      <w:r>
        <w:rPr>
          <w:color w:val="auto"/>
          <w:sz w:val="32"/>
          <w:szCs w:val="32"/>
          <w:highlight w:val="none"/>
        </w:rPr>
        <w:t>森林康养</w:t>
      </w:r>
      <w:r>
        <w:rPr>
          <w:rFonts w:hint="eastAsia"/>
          <w:color w:val="auto"/>
          <w:sz w:val="32"/>
          <w:szCs w:val="32"/>
          <w:highlight w:val="none"/>
        </w:rPr>
        <w:t>、</w:t>
      </w:r>
      <w:r>
        <w:rPr>
          <w:color w:val="auto"/>
          <w:sz w:val="32"/>
          <w:szCs w:val="32"/>
          <w:highlight w:val="none"/>
        </w:rPr>
        <w:t>旅居康养</w:t>
      </w:r>
      <w:r>
        <w:rPr>
          <w:rFonts w:hint="eastAsia"/>
          <w:color w:val="auto"/>
          <w:sz w:val="32"/>
          <w:szCs w:val="32"/>
          <w:highlight w:val="none"/>
        </w:rPr>
        <w:t>等</w:t>
      </w:r>
      <w:r>
        <w:rPr>
          <w:color w:val="auto"/>
          <w:sz w:val="32"/>
          <w:szCs w:val="32"/>
          <w:highlight w:val="none"/>
        </w:rPr>
        <w:t>特色康养文旅产品</w:t>
      </w:r>
      <w:r>
        <w:rPr>
          <w:rFonts w:hint="eastAsia"/>
          <w:color w:val="auto"/>
          <w:sz w:val="32"/>
          <w:szCs w:val="32"/>
          <w:highlight w:val="none"/>
        </w:rPr>
        <w:t>。</w:t>
      </w:r>
    </w:p>
    <w:p>
      <w:pPr>
        <w:pStyle w:val="31"/>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b/>
          <w:bCs/>
          <w:color w:val="auto"/>
          <w:sz w:val="32"/>
          <w:szCs w:val="32"/>
          <w:highlight w:val="none"/>
        </w:rPr>
        <w:t>推动旅游景区提质</w:t>
      </w:r>
      <w:r>
        <w:rPr>
          <w:rFonts w:hint="eastAsia"/>
          <w:b/>
          <w:bCs/>
          <w:color w:val="auto"/>
          <w:sz w:val="32"/>
          <w:szCs w:val="32"/>
          <w:highlight w:val="none"/>
          <w:lang w:eastAsia="zh-CN"/>
        </w:rPr>
        <w:t>升级</w:t>
      </w:r>
      <w:r>
        <w:rPr>
          <w:b/>
          <w:bCs/>
          <w:color w:val="auto"/>
          <w:sz w:val="32"/>
          <w:szCs w:val="32"/>
          <w:highlight w:val="none"/>
        </w:rPr>
        <w:t>。</w:t>
      </w:r>
      <w:r>
        <w:rPr>
          <w:color w:val="auto"/>
          <w:sz w:val="32"/>
          <w:szCs w:val="32"/>
          <w:highlight w:val="none"/>
        </w:rPr>
        <w:t>实施国家</w:t>
      </w:r>
      <w:r>
        <w:rPr>
          <w:rFonts w:hint="default" w:ascii="Times New Roman" w:hAnsi="Times New Roman" w:cs="Times New Roman"/>
          <w:color w:val="auto"/>
          <w:sz w:val="32"/>
          <w:szCs w:val="32"/>
          <w:highlight w:val="none"/>
        </w:rPr>
        <w:t>5A</w:t>
      </w:r>
      <w:r>
        <w:rPr>
          <w:color w:val="auto"/>
          <w:sz w:val="32"/>
          <w:szCs w:val="32"/>
          <w:highlight w:val="none"/>
        </w:rPr>
        <w:t>级旅游景区攻坚行动，</w:t>
      </w:r>
      <w:r>
        <w:rPr>
          <w:rFonts w:hint="eastAsia"/>
          <w:color w:val="auto"/>
          <w:sz w:val="32"/>
          <w:szCs w:val="32"/>
          <w:highlight w:val="none"/>
          <w:lang w:eastAsia="zh-CN"/>
        </w:rPr>
        <w:t>推动</w:t>
      </w:r>
      <w:r>
        <w:rPr>
          <w:color w:val="auto"/>
          <w:sz w:val="32"/>
          <w:szCs w:val="32"/>
          <w:highlight w:val="none"/>
        </w:rPr>
        <w:t>三亚西岛海洋文化旅游区等旅游景区创建</w:t>
      </w:r>
      <w:r>
        <w:rPr>
          <w:rFonts w:hint="default" w:ascii="Times New Roman" w:hAnsi="Times New Roman" w:cs="Times New Roman"/>
          <w:color w:val="auto"/>
          <w:sz w:val="32"/>
          <w:szCs w:val="32"/>
          <w:highlight w:val="none"/>
        </w:rPr>
        <w:t>5A</w:t>
      </w:r>
      <w:r>
        <w:rPr>
          <w:color w:val="auto"/>
          <w:sz w:val="32"/>
          <w:szCs w:val="32"/>
          <w:highlight w:val="none"/>
        </w:rPr>
        <w:t>级旅游景区，实施</w:t>
      </w:r>
      <w:r>
        <w:rPr>
          <w:rFonts w:hint="default" w:ascii="Times New Roman" w:hAnsi="Times New Roman" w:cs="Times New Roman"/>
          <w:color w:val="auto"/>
          <w:sz w:val="32"/>
          <w:szCs w:val="32"/>
          <w:highlight w:val="none"/>
        </w:rPr>
        <w:t>4A</w:t>
      </w:r>
      <w:r>
        <w:rPr>
          <w:color w:val="auto"/>
          <w:sz w:val="32"/>
          <w:szCs w:val="32"/>
          <w:highlight w:val="none"/>
        </w:rPr>
        <w:t>级旅游景区壮大行动，推动三亚凤凰岭海誓山盟景区、亚龙湾国际玫瑰谷景区、千古情景区、临春岭公园与名花公园等创建国家</w:t>
      </w:r>
      <w:r>
        <w:rPr>
          <w:rFonts w:hint="default" w:ascii="Times New Roman" w:hAnsi="Times New Roman" w:cs="Times New Roman"/>
          <w:color w:val="auto"/>
          <w:sz w:val="32"/>
          <w:szCs w:val="32"/>
          <w:highlight w:val="none"/>
        </w:rPr>
        <w:t>4A</w:t>
      </w:r>
      <w:r>
        <w:rPr>
          <w:color w:val="auto"/>
          <w:sz w:val="32"/>
          <w:szCs w:val="32"/>
          <w:highlight w:val="none"/>
        </w:rPr>
        <w:t>级旅游景区。到</w:t>
      </w:r>
      <w:r>
        <w:rPr>
          <w:rFonts w:hint="default" w:ascii="Times New Roman" w:hAnsi="Times New Roman" w:cs="Times New Roman"/>
          <w:color w:val="auto"/>
          <w:sz w:val="32"/>
          <w:szCs w:val="32"/>
          <w:highlight w:val="none"/>
        </w:rPr>
        <w:t>2030</w:t>
      </w:r>
      <w:r>
        <w:rPr>
          <w:color w:val="auto"/>
          <w:sz w:val="32"/>
          <w:szCs w:val="32"/>
          <w:highlight w:val="none"/>
        </w:rPr>
        <w:t>年力争全市</w:t>
      </w:r>
      <w:r>
        <w:rPr>
          <w:rFonts w:hint="default" w:ascii="Times New Roman" w:hAnsi="Times New Roman" w:cs="Times New Roman"/>
          <w:color w:val="auto"/>
          <w:sz w:val="32"/>
          <w:szCs w:val="32"/>
          <w:highlight w:val="none"/>
          <w:lang w:val="en-US" w:eastAsia="zh-CN"/>
        </w:rPr>
        <w:t>3</w:t>
      </w:r>
      <w:r>
        <w:rPr>
          <w:rFonts w:hint="default" w:ascii="Times New Roman" w:hAnsi="Times New Roman" w:cs="Times New Roman"/>
          <w:color w:val="auto"/>
          <w:sz w:val="32"/>
          <w:szCs w:val="32"/>
          <w:highlight w:val="none"/>
        </w:rPr>
        <w:t>A</w:t>
      </w:r>
      <w:r>
        <w:rPr>
          <w:color w:val="auto"/>
          <w:sz w:val="32"/>
          <w:szCs w:val="32"/>
          <w:highlight w:val="none"/>
        </w:rPr>
        <w:t>级</w:t>
      </w:r>
      <w:r>
        <w:rPr>
          <w:rFonts w:hint="eastAsia"/>
          <w:color w:val="auto"/>
          <w:sz w:val="32"/>
          <w:szCs w:val="32"/>
          <w:highlight w:val="none"/>
          <w:lang w:eastAsia="zh-CN"/>
        </w:rPr>
        <w:t>以上</w:t>
      </w:r>
      <w:r>
        <w:rPr>
          <w:color w:val="auto"/>
          <w:sz w:val="32"/>
          <w:szCs w:val="32"/>
          <w:highlight w:val="none"/>
        </w:rPr>
        <w:t>旅游景区数量突破</w:t>
      </w:r>
      <w:r>
        <w:rPr>
          <w:rFonts w:hint="default" w:ascii="Times New Roman" w:hAnsi="Times New Roman" w:cs="Times New Roman"/>
          <w:color w:val="auto"/>
          <w:sz w:val="32"/>
          <w:szCs w:val="32"/>
          <w:highlight w:val="none"/>
        </w:rPr>
        <w:t>20</w:t>
      </w:r>
      <w:r>
        <w:rPr>
          <w:color w:val="auto"/>
          <w:sz w:val="32"/>
          <w:szCs w:val="32"/>
          <w:highlight w:val="none"/>
        </w:rPr>
        <w:t>家，形成全域协同、层级完备的旅游景区目的地体系。</w:t>
      </w:r>
    </w:p>
    <w:p>
      <w:pPr>
        <w:pStyle w:val="31"/>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rPr>
        <w:t>提升度假区品质。</w:t>
      </w:r>
      <w:r>
        <w:rPr>
          <w:rFonts w:hint="eastAsia"/>
          <w:color w:val="auto"/>
          <w:sz w:val="32"/>
          <w:szCs w:val="32"/>
          <w:highlight w:val="none"/>
        </w:rPr>
        <w:t>培育休闲度假产品，凸显热带、海岛、民俗等特色元素，打造高标识度旅游度假区品牌。</w:t>
      </w:r>
      <w:r>
        <w:rPr>
          <w:color w:val="auto"/>
          <w:sz w:val="32"/>
          <w:szCs w:val="32"/>
          <w:highlight w:val="none"/>
        </w:rPr>
        <w:t>全面提升海棠湾</w:t>
      </w:r>
      <w:r>
        <w:rPr>
          <w:rFonts w:hint="eastAsia"/>
          <w:color w:val="auto"/>
          <w:sz w:val="32"/>
          <w:szCs w:val="32"/>
          <w:highlight w:val="none"/>
          <w:lang w:eastAsia="zh-CN"/>
        </w:rPr>
        <w:t>、</w:t>
      </w:r>
      <w:r>
        <w:rPr>
          <w:color w:val="auto"/>
          <w:sz w:val="32"/>
          <w:szCs w:val="32"/>
          <w:highlight w:val="none"/>
        </w:rPr>
        <w:t>亚龙湾</w:t>
      </w:r>
      <w:r>
        <w:rPr>
          <w:rFonts w:hint="eastAsia"/>
          <w:color w:val="auto"/>
          <w:sz w:val="32"/>
          <w:szCs w:val="32"/>
          <w:highlight w:val="none"/>
          <w:lang w:eastAsia="zh-CN"/>
        </w:rPr>
        <w:t>和三亚湾等</w:t>
      </w:r>
      <w:r>
        <w:rPr>
          <w:color w:val="auto"/>
          <w:sz w:val="32"/>
          <w:szCs w:val="32"/>
          <w:highlight w:val="none"/>
        </w:rPr>
        <w:t>片区旅游品质</w:t>
      </w:r>
      <w:r>
        <w:rPr>
          <w:rFonts w:hint="eastAsia"/>
          <w:color w:val="auto"/>
          <w:sz w:val="32"/>
          <w:szCs w:val="32"/>
          <w:highlight w:val="none"/>
        </w:rPr>
        <w:t>，推动酒店焕新与高端品牌引入</w:t>
      </w:r>
      <w:r>
        <w:rPr>
          <w:rFonts w:hint="eastAsia"/>
          <w:color w:val="auto"/>
          <w:sz w:val="32"/>
          <w:szCs w:val="32"/>
          <w:highlight w:val="none"/>
          <w:lang w:eastAsia="zh-CN"/>
        </w:rPr>
        <w:t>，</w:t>
      </w:r>
      <w:r>
        <w:rPr>
          <w:color w:val="auto"/>
          <w:sz w:val="32"/>
          <w:szCs w:val="32"/>
          <w:highlight w:val="none"/>
        </w:rPr>
        <w:t>规划布局大型综合性消费商圈</w:t>
      </w:r>
      <w:r>
        <w:rPr>
          <w:rFonts w:hint="eastAsia"/>
          <w:color w:val="auto"/>
          <w:sz w:val="32"/>
          <w:szCs w:val="32"/>
          <w:highlight w:val="none"/>
          <w:lang w:eastAsia="zh-CN"/>
        </w:rPr>
        <w:t>，</w:t>
      </w:r>
      <w:r>
        <w:rPr>
          <w:color w:val="auto"/>
          <w:sz w:val="32"/>
          <w:szCs w:val="32"/>
          <w:highlight w:val="none"/>
        </w:rPr>
        <w:t>打造一批旅游休闲街区。</w:t>
      </w:r>
      <w:r>
        <w:rPr>
          <w:rFonts w:hint="eastAsia"/>
          <w:color w:val="auto"/>
          <w:sz w:val="32"/>
          <w:szCs w:val="32"/>
          <w:highlight w:val="none"/>
          <w:lang w:eastAsia="zh-CN"/>
        </w:rPr>
        <w:t>积极开展</w:t>
      </w:r>
      <w:r>
        <w:rPr>
          <w:rFonts w:hint="eastAsia"/>
          <w:color w:val="auto"/>
          <w:sz w:val="32"/>
          <w:szCs w:val="32"/>
          <w:highlight w:val="none"/>
        </w:rPr>
        <w:t>崖州湾</w:t>
      </w:r>
      <w:r>
        <w:rPr>
          <w:rFonts w:hint="eastAsia"/>
          <w:color w:val="auto"/>
          <w:sz w:val="32"/>
          <w:szCs w:val="32"/>
          <w:highlight w:val="none"/>
          <w:lang w:eastAsia="zh-CN"/>
        </w:rPr>
        <w:t>、</w:t>
      </w:r>
      <w:r>
        <w:rPr>
          <w:rFonts w:hint="eastAsia"/>
          <w:color w:val="auto"/>
          <w:sz w:val="32"/>
          <w:szCs w:val="32"/>
          <w:highlight w:val="none"/>
        </w:rPr>
        <w:t>红塘湾</w:t>
      </w:r>
      <w:r>
        <w:rPr>
          <w:rFonts w:hint="eastAsia"/>
          <w:color w:val="auto"/>
          <w:sz w:val="32"/>
          <w:szCs w:val="32"/>
          <w:highlight w:val="none"/>
          <w:lang w:eastAsia="zh-CN"/>
        </w:rPr>
        <w:t>等海湾</w:t>
      </w:r>
      <w:r>
        <w:rPr>
          <w:rFonts w:hint="eastAsia"/>
          <w:color w:val="auto"/>
          <w:sz w:val="32"/>
          <w:szCs w:val="32"/>
          <w:highlight w:val="none"/>
        </w:rPr>
        <w:t>建设，</w:t>
      </w:r>
      <w:r>
        <w:rPr>
          <w:color w:val="auto"/>
          <w:sz w:val="32"/>
          <w:szCs w:val="32"/>
          <w:highlight w:val="none"/>
        </w:rPr>
        <w:t>持续推进滨海区域提档升级，打造与国际标准接轨的主客共享滨海度假区</w:t>
      </w:r>
      <w:r>
        <w:rPr>
          <w:rFonts w:hint="eastAsia"/>
          <w:color w:val="auto"/>
          <w:sz w:val="32"/>
          <w:szCs w:val="32"/>
          <w:highlight w:val="none"/>
        </w:rPr>
        <w:t>，推动三亚由旅游城市向度假城市转型升级</w:t>
      </w:r>
      <w:r>
        <w:rPr>
          <w:color w:val="auto"/>
          <w:sz w:val="32"/>
          <w:szCs w:val="32"/>
          <w:highlight w:val="none"/>
        </w:rPr>
        <w:t>。</w:t>
      </w:r>
    </w:p>
    <w:bookmarkEnd w:id="316"/>
    <w:bookmarkEnd w:id="317"/>
    <w:bookmarkEnd w:id="318"/>
    <w:bookmarkEnd w:id="319"/>
    <w:bookmarkEnd w:id="320"/>
    <w:bookmarkEnd w:id="321"/>
    <w:bookmarkEnd w:id="322"/>
    <w:bookmarkEnd w:id="323"/>
    <w:p>
      <w:pPr>
        <w:pStyle w:val="4"/>
        <w:pageBreakBefore w:val="0"/>
        <w:widowControl w:val="0"/>
        <w:shd w:val="clear"/>
        <w:kinsoku/>
        <w:wordWrap/>
        <w:overflowPunct/>
        <w:topLinePunct w:val="0"/>
        <w:autoSpaceDE/>
        <w:autoSpaceDN/>
        <w:bidi w:val="0"/>
        <w:adjustRightInd w:val="0"/>
        <w:snapToGrid w:val="0"/>
        <w:spacing w:line="576" w:lineRule="exact"/>
        <w:ind w:left="0" w:leftChars="0" w:firstLine="0" w:firstLineChars="0"/>
        <w:textAlignment w:val="auto"/>
        <w:rPr>
          <w:rFonts w:hint="eastAsia"/>
          <w:color w:val="auto"/>
          <w:sz w:val="32"/>
          <w:szCs w:val="32"/>
          <w:highlight w:val="none"/>
          <w:lang w:eastAsia="zh"/>
        </w:rPr>
      </w:pPr>
      <w:bookmarkStart w:id="334" w:name="_Toc2130999934"/>
      <w:bookmarkStart w:id="335" w:name="_Toc213447250"/>
      <w:bookmarkStart w:id="336" w:name="_Toc814191414"/>
      <w:bookmarkStart w:id="337" w:name="_Toc1382735249"/>
      <w:bookmarkStart w:id="338" w:name="_Toc27788"/>
      <w:bookmarkStart w:id="339" w:name="_Toc1046228453"/>
      <w:bookmarkStart w:id="340" w:name="_Toc1608567406"/>
      <w:bookmarkStart w:id="341" w:name="_Toc2033954648"/>
      <w:bookmarkStart w:id="342" w:name="_Toc592329115"/>
      <w:bookmarkStart w:id="343" w:name="_Toc1848921338"/>
    </w:p>
    <w:p>
      <w:pPr>
        <w:pStyle w:val="4"/>
        <w:pageBreakBefore w:val="0"/>
        <w:widowControl w:val="0"/>
        <w:shd w:val="clear"/>
        <w:kinsoku/>
        <w:wordWrap/>
        <w:overflowPunct/>
        <w:topLinePunct w:val="0"/>
        <w:autoSpaceDE/>
        <w:autoSpaceDN/>
        <w:bidi w:val="0"/>
        <w:adjustRightInd w:val="0"/>
        <w:snapToGrid w:val="0"/>
        <w:spacing w:line="576" w:lineRule="exact"/>
        <w:ind w:left="0" w:leftChars="0" w:firstLine="0" w:firstLineChars="0"/>
        <w:jc w:val="center"/>
        <w:textAlignment w:val="auto"/>
        <w:rPr>
          <w:rFonts w:hint="eastAsia" w:ascii="黑体" w:hAnsi="黑体" w:eastAsia="黑体" w:cs="黑体"/>
          <w:b w:val="0"/>
          <w:bCs/>
          <w:color w:val="auto"/>
          <w:sz w:val="32"/>
          <w:szCs w:val="32"/>
          <w:highlight w:val="none"/>
          <w:lang w:eastAsia="zh"/>
        </w:rPr>
      </w:pPr>
      <w:r>
        <w:rPr>
          <w:rFonts w:hint="eastAsia" w:ascii="黑体" w:hAnsi="黑体" w:eastAsia="黑体" w:cs="黑体"/>
          <w:b w:val="0"/>
          <w:bCs/>
          <w:color w:val="auto"/>
          <w:sz w:val="32"/>
          <w:szCs w:val="32"/>
          <w:highlight w:val="none"/>
          <w:lang w:eastAsia="zh"/>
        </w:rPr>
        <w:t>第二节</w:t>
      </w:r>
      <w:r>
        <w:rPr>
          <w:rFonts w:hint="eastAsia" w:ascii="黑体" w:hAnsi="黑体" w:eastAsia="黑体" w:cs="黑体"/>
          <w:b w:val="0"/>
          <w:bCs/>
          <w:color w:val="auto"/>
          <w:sz w:val="32"/>
          <w:szCs w:val="32"/>
          <w:highlight w:val="none"/>
        </w:rPr>
        <w:t xml:space="preserve"> </w:t>
      </w:r>
      <w:r>
        <w:rPr>
          <w:rFonts w:hint="eastAsia" w:ascii="黑体" w:hAnsi="黑体" w:eastAsia="黑体" w:cs="黑体"/>
          <w:b w:val="0"/>
          <w:bCs/>
          <w:color w:val="auto"/>
          <w:sz w:val="32"/>
          <w:szCs w:val="32"/>
          <w:highlight w:val="none"/>
          <w:lang w:eastAsia="zh"/>
        </w:rPr>
        <w:t xml:space="preserve"> 推进文旅深度融合</w:t>
      </w:r>
      <w:bookmarkEnd w:id="334"/>
      <w:bookmarkEnd w:id="335"/>
      <w:bookmarkEnd w:id="336"/>
      <w:bookmarkEnd w:id="337"/>
      <w:bookmarkEnd w:id="338"/>
      <w:bookmarkEnd w:id="339"/>
      <w:bookmarkEnd w:id="340"/>
      <w:bookmarkEnd w:id="341"/>
      <w:bookmarkEnd w:id="342"/>
      <w:bookmarkEnd w:id="343"/>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lang w:eastAsia="zh"/>
        </w:rPr>
      </w:pPr>
    </w:p>
    <w:p>
      <w:pPr>
        <w:pStyle w:val="31"/>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lang w:eastAsia="zh"/>
        </w:rPr>
        <w:t>推动</w:t>
      </w:r>
      <w:r>
        <w:rPr>
          <w:rFonts w:hint="eastAsia"/>
          <w:b/>
          <w:bCs/>
          <w:color w:val="auto"/>
          <w:sz w:val="32"/>
          <w:szCs w:val="32"/>
          <w:highlight w:val="none"/>
        </w:rPr>
        <w:t>旅文体</w:t>
      </w:r>
      <w:r>
        <w:rPr>
          <w:rFonts w:hint="eastAsia"/>
          <w:b/>
          <w:bCs/>
          <w:color w:val="auto"/>
          <w:sz w:val="32"/>
          <w:szCs w:val="32"/>
          <w:highlight w:val="none"/>
          <w:lang w:eastAsia="zh"/>
        </w:rPr>
        <w:t>深度融合相互赋能。</w:t>
      </w:r>
      <w:r>
        <w:rPr>
          <w:rFonts w:hint="eastAsia"/>
          <w:color w:val="auto"/>
          <w:sz w:val="32"/>
          <w:szCs w:val="32"/>
          <w:highlight w:val="none"/>
        </w:rPr>
        <w:t>大力引入国内外知名演艺</w:t>
      </w:r>
      <w:r>
        <w:rPr>
          <w:rFonts w:hint="default" w:ascii="Times New Roman" w:hAnsi="Times New Roman" w:cs="Times New Roman"/>
          <w:color w:val="auto"/>
          <w:sz w:val="32"/>
          <w:szCs w:val="32"/>
          <w:highlight w:val="none"/>
        </w:rPr>
        <w:t>IP</w:t>
      </w:r>
      <w:r>
        <w:rPr>
          <w:rFonts w:hint="eastAsia"/>
          <w:color w:val="auto"/>
          <w:sz w:val="32"/>
          <w:szCs w:val="32"/>
          <w:highlight w:val="none"/>
        </w:rPr>
        <w:t>和文化艺术团体，吸引全球顶流艺人</w:t>
      </w:r>
      <w:r>
        <w:rPr>
          <w:rFonts w:hint="eastAsia"/>
          <w:color w:val="auto"/>
          <w:sz w:val="32"/>
          <w:szCs w:val="32"/>
          <w:highlight w:val="none"/>
          <w:lang w:eastAsia="zh-CN"/>
        </w:rPr>
        <w:t>三亚</w:t>
      </w:r>
      <w:r>
        <w:rPr>
          <w:rFonts w:hint="eastAsia"/>
          <w:color w:val="auto"/>
          <w:sz w:val="32"/>
          <w:szCs w:val="32"/>
          <w:highlight w:val="none"/>
        </w:rPr>
        <w:t>巡演、国际名团驻场演出、</w:t>
      </w:r>
      <w:r>
        <w:rPr>
          <w:rFonts w:hint="default" w:ascii="Times New Roman" w:hAnsi="Times New Roman" w:cs="Times New Roman"/>
          <w:color w:val="auto"/>
          <w:sz w:val="32"/>
          <w:szCs w:val="32"/>
          <w:highlight w:val="none"/>
        </w:rPr>
        <w:t>A</w:t>
      </w:r>
      <w:r>
        <w:rPr>
          <w:rFonts w:hint="eastAsia"/>
          <w:color w:val="auto"/>
          <w:sz w:val="32"/>
          <w:szCs w:val="32"/>
          <w:highlight w:val="none"/>
        </w:rPr>
        <w:t>类音乐节及艺术盛典落地。创新升级演艺项目，培育</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颠覆性创意、沉浸式体验、年轻化消费</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文旅新业态。强化文旅</w:t>
      </w:r>
      <w:r>
        <w:rPr>
          <w:rFonts w:hint="default" w:ascii="Times New Roman" w:hAnsi="Times New Roman" w:cs="Times New Roman"/>
          <w:color w:val="auto"/>
          <w:sz w:val="32"/>
          <w:szCs w:val="32"/>
          <w:highlight w:val="none"/>
        </w:rPr>
        <w:t>IP</w:t>
      </w:r>
      <w:r>
        <w:rPr>
          <w:rFonts w:hint="eastAsia"/>
          <w:color w:val="auto"/>
          <w:sz w:val="32"/>
          <w:szCs w:val="32"/>
          <w:highlight w:val="none"/>
        </w:rPr>
        <w:t>与国际赛事赋能，</w:t>
      </w:r>
      <w:r>
        <w:rPr>
          <w:color w:val="auto"/>
          <w:sz w:val="32"/>
          <w:szCs w:val="32"/>
          <w:highlight w:val="none"/>
        </w:rPr>
        <w:t>积极引进和举办国际性体育赛事，建设一批体育旅游基地</w:t>
      </w:r>
      <w:r>
        <w:rPr>
          <w:rFonts w:hint="eastAsia"/>
          <w:color w:val="auto"/>
          <w:sz w:val="32"/>
          <w:szCs w:val="32"/>
          <w:highlight w:val="none"/>
          <w:lang w:eastAsia="zh-CN"/>
        </w:rPr>
        <w:t>，</w:t>
      </w:r>
      <w:r>
        <w:rPr>
          <w:rFonts w:hint="eastAsia"/>
          <w:color w:val="auto"/>
          <w:sz w:val="32"/>
          <w:szCs w:val="32"/>
          <w:highlight w:val="none"/>
        </w:rPr>
        <w:t>办好第六届亚洲沙滩运动会等国际性活动。发挥国家对外文化贸易基地和</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双中心</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平台优势，构建</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展览交易</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rPr>
        <w:t>沉浸体验</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rPr>
        <w:t>产业孵化</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三位一体的文物艺术品旅游生态体系。深度开发三亚文化中心、美术馆、图书馆、</w:t>
      </w:r>
      <w:r>
        <w:rPr>
          <w:rFonts w:hint="eastAsia"/>
          <w:color w:val="auto"/>
          <w:sz w:val="32"/>
          <w:szCs w:val="32"/>
          <w:highlight w:val="none"/>
          <w:lang w:eastAsia="zh-CN"/>
        </w:rPr>
        <w:t>歌</w:t>
      </w:r>
      <w:r>
        <w:rPr>
          <w:rFonts w:hint="eastAsia"/>
          <w:color w:val="auto"/>
          <w:sz w:val="32"/>
          <w:szCs w:val="32"/>
          <w:highlight w:val="none"/>
        </w:rPr>
        <w:t>剧院、南繁博物馆等文化空间旅游功能，打造具备文化内涵、视觉美感、互动体验等要素的网红打卡地。</w:t>
      </w:r>
    </w:p>
    <w:p>
      <w:pPr>
        <w:pStyle w:val="31"/>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lang w:eastAsia="zh"/>
        </w:rPr>
        <w:t>做足</w:t>
      </w:r>
      <w:r>
        <w:rPr>
          <w:rFonts w:hint="eastAsia" w:ascii="仿宋_GB2312" w:hAnsi="仿宋_GB2312" w:eastAsia="仿宋_GB2312" w:cs="仿宋_GB2312"/>
          <w:b/>
          <w:bCs/>
          <w:color w:val="auto"/>
          <w:sz w:val="32"/>
          <w:szCs w:val="32"/>
          <w:highlight w:val="none"/>
          <w:lang w:eastAsia="zh"/>
        </w:rPr>
        <w:t>“</w:t>
      </w:r>
      <w:r>
        <w:rPr>
          <w:rFonts w:hint="eastAsia"/>
          <w:b/>
          <w:bCs/>
          <w:color w:val="auto"/>
          <w:sz w:val="32"/>
          <w:szCs w:val="32"/>
          <w:highlight w:val="none"/>
          <w:lang w:eastAsia="zh"/>
        </w:rPr>
        <w:t>旅游</w:t>
      </w:r>
      <w:r>
        <w:rPr>
          <w:rFonts w:hint="eastAsia" w:ascii="仿宋_GB2312" w:hAnsi="仿宋_GB2312" w:eastAsia="仿宋_GB2312" w:cs="仿宋_GB2312"/>
          <w:b/>
          <w:bCs/>
          <w:color w:val="auto"/>
          <w:sz w:val="32"/>
          <w:szCs w:val="32"/>
          <w:highlight w:val="none"/>
          <w:lang w:eastAsia="zh"/>
        </w:rPr>
        <w:t>+”</w:t>
      </w:r>
      <w:r>
        <w:rPr>
          <w:rFonts w:hint="eastAsia"/>
          <w:b/>
          <w:bCs/>
          <w:color w:val="auto"/>
          <w:sz w:val="32"/>
          <w:szCs w:val="32"/>
          <w:highlight w:val="none"/>
          <w:lang w:eastAsia="zh"/>
        </w:rPr>
        <w:t>文章。</w:t>
      </w:r>
      <w:r>
        <w:rPr>
          <w:rFonts w:hint="eastAsia"/>
          <w:color w:val="auto"/>
          <w:sz w:val="32"/>
          <w:szCs w:val="32"/>
          <w:highlight w:val="none"/>
          <w:lang w:eastAsia="zh"/>
        </w:rPr>
        <w:t>培育</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旅游</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百业</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消费场景，推动旅游消费</w:t>
      </w:r>
      <w:r>
        <w:rPr>
          <w:rFonts w:hint="eastAsia"/>
          <w:color w:val="auto"/>
          <w:sz w:val="32"/>
          <w:szCs w:val="32"/>
          <w:highlight w:val="none"/>
          <w:lang w:eastAsia="zh-CN"/>
        </w:rPr>
        <w:t>多元化、个性化升级</w:t>
      </w:r>
      <w:r>
        <w:rPr>
          <w:rFonts w:hint="eastAsia"/>
          <w:color w:val="auto"/>
          <w:sz w:val="32"/>
          <w:szCs w:val="32"/>
          <w:highlight w:val="none"/>
          <w:lang w:eastAsia="zh"/>
        </w:rPr>
        <w:t>。擦亮</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旅游</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免税购物</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金字招牌，持续提升免税购物体验与影响力，推动消费由观光型向度假购物型转变。延展</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旅游</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浪漫经济</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链条，构建全链条婚庆产业生态与多元化产品矩阵。培育</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旅游</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会展经济</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，培育高端会展</w:t>
      </w:r>
      <w:r>
        <w:rPr>
          <w:rFonts w:hint="default" w:ascii="Times New Roman" w:hAnsi="Times New Roman" w:cs="Times New Roman"/>
          <w:color w:val="auto"/>
          <w:sz w:val="32"/>
          <w:szCs w:val="32"/>
          <w:highlight w:val="none"/>
          <w:lang w:eastAsia="zh"/>
        </w:rPr>
        <w:t>IP</w:t>
      </w:r>
      <w:r>
        <w:rPr>
          <w:rFonts w:hint="eastAsia"/>
          <w:color w:val="auto"/>
          <w:sz w:val="32"/>
          <w:szCs w:val="32"/>
          <w:highlight w:val="none"/>
          <w:lang w:eastAsia="zh"/>
        </w:rPr>
        <w:t>，形成</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以展促旅、以旅兴展</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良性循环。加快</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旅游</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科技创新</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发展，融合空天、深海、南繁等前沿科技资源，发展科普研学与智慧文旅体验。推动</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旅游</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康养</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融合，</w:t>
      </w:r>
      <w:r>
        <w:rPr>
          <w:color w:val="auto"/>
          <w:sz w:val="32"/>
          <w:szCs w:val="32"/>
          <w:highlight w:val="none"/>
          <w:lang w:eastAsia="zh"/>
        </w:rPr>
        <w:t>创新中医药主题旅游及文化体验场景</w:t>
      </w:r>
      <w:r>
        <w:rPr>
          <w:rFonts w:hint="eastAsia"/>
          <w:color w:val="auto"/>
          <w:sz w:val="32"/>
          <w:szCs w:val="32"/>
          <w:highlight w:val="none"/>
          <w:lang w:eastAsia="zh"/>
        </w:rPr>
        <w:t>，</w:t>
      </w:r>
      <w:r>
        <w:rPr>
          <w:rFonts w:hint="eastAsia"/>
          <w:color w:val="auto"/>
          <w:sz w:val="32"/>
          <w:szCs w:val="32"/>
          <w:highlight w:val="none"/>
          <w:lang w:eastAsia="zh-CN"/>
        </w:rPr>
        <w:t>推动</w:t>
      </w:r>
      <w:r>
        <w:rPr>
          <w:color w:val="auto"/>
          <w:sz w:val="32"/>
          <w:szCs w:val="32"/>
          <w:highlight w:val="none"/>
          <w:lang w:eastAsia="zh"/>
        </w:rPr>
        <w:t>银发经济</w:t>
      </w:r>
      <w:r>
        <w:rPr>
          <w:rFonts w:hint="eastAsia"/>
          <w:color w:val="auto"/>
          <w:sz w:val="32"/>
          <w:szCs w:val="32"/>
          <w:highlight w:val="none"/>
          <w:lang w:eastAsia="zh-CN"/>
        </w:rPr>
        <w:t>、疗愈经济繁荣发展</w:t>
      </w:r>
      <w:r>
        <w:rPr>
          <w:color w:val="auto"/>
          <w:sz w:val="32"/>
          <w:szCs w:val="32"/>
          <w:highlight w:val="none"/>
          <w:lang w:eastAsia="zh"/>
        </w:rPr>
        <w:t>。</w:t>
      </w:r>
      <w:r>
        <w:rPr>
          <w:rFonts w:hint="eastAsia"/>
          <w:color w:val="auto"/>
          <w:sz w:val="32"/>
          <w:szCs w:val="32"/>
          <w:highlight w:val="none"/>
          <w:lang w:eastAsia="zh"/>
        </w:rPr>
        <w:t>深化“旅游+民宿”融合，聚焦打造主题鲜明、特色突出的民宿集群。繁荣</w:t>
      </w:r>
      <w:r>
        <w:rPr>
          <w:rFonts w:hint="eastAsia"/>
          <w:color w:val="auto"/>
          <w:sz w:val="32"/>
          <w:szCs w:val="32"/>
          <w:highlight w:val="none"/>
          <w:lang w:eastAsia="zh-CN"/>
        </w:rPr>
        <w:t>“</w:t>
      </w:r>
      <w:r>
        <w:rPr>
          <w:rFonts w:hint="eastAsia"/>
          <w:color w:val="auto"/>
          <w:sz w:val="32"/>
          <w:szCs w:val="32"/>
          <w:highlight w:val="none"/>
          <w:lang w:eastAsia="zh"/>
        </w:rPr>
        <w:t>旅游+夜间经济</w:t>
      </w:r>
      <w:r>
        <w:rPr>
          <w:rFonts w:hint="eastAsia"/>
          <w:color w:val="auto"/>
          <w:sz w:val="32"/>
          <w:szCs w:val="32"/>
          <w:highlight w:val="none"/>
          <w:lang w:eastAsia="zh-CN"/>
        </w:rPr>
        <w:t>”</w:t>
      </w:r>
      <w:r>
        <w:rPr>
          <w:rFonts w:hint="eastAsia"/>
          <w:color w:val="auto"/>
          <w:sz w:val="32"/>
          <w:szCs w:val="32"/>
          <w:highlight w:val="none"/>
          <w:lang w:eastAsia="zh"/>
        </w:rPr>
        <w:t>，营造沉浸式场景，打造更多夜间消费集聚区。优化</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旅游</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乡村经济</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格局，实施文化产业赋能乡村振兴工程。推出</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旅游</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研学</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线路和基地，</w:t>
      </w:r>
      <w:r>
        <w:rPr>
          <w:rFonts w:hint="eastAsia"/>
          <w:color w:val="auto"/>
          <w:sz w:val="32"/>
          <w:szCs w:val="32"/>
          <w:highlight w:val="none"/>
          <w:lang w:eastAsia="zh-CN"/>
        </w:rPr>
        <w:t>围绕低空科普、历史考古、革命文化等</w:t>
      </w:r>
      <w:r>
        <w:rPr>
          <w:rFonts w:hint="eastAsia"/>
          <w:color w:val="auto"/>
          <w:sz w:val="32"/>
          <w:szCs w:val="32"/>
          <w:highlight w:val="none"/>
        </w:rPr>
        <w:t>建设各具特色的研学旅游基地</w:t>
      </w:r>
      <w:r>
        <w:rPr>
          <w:rFonts w:hint="eastAsia"/>
          <w:color w:val="auto"/>
          <w:sz w:val="32"/>
          <w:szCs w:val="32"/>
          <w:highlight w:val="none"/>
          <w:lang w:eastAsia="zh"/>
        </w:rPr>
        <w:t>。探索</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旅游</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工业</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创新，引导龙头企业建设工业旅游示范场景与高品质观光工厂。</w:t>
      </w:r>
    </w:p>
    <w:p>
      <w:pPr>
        <w:pStyle w:val="31"/>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lang w:eastAsia="zh"/>
        </w:rPr>
        <w:t>扩大旅游交流合作。</w:t>
      </w:r>
      <w:r>
        <w:rPr>
          <w:rFonts w:hint="eastAsia"/>
          <w:color w:val="auto"/>
          <w:sz w:val="32"/>
          <w:szCs w:val="32"/>
          <w:highlight w:val="none"/>
          <w:lang w:eastAsia="zh"/>
        </w:rPr>
        <w:t>打造亚太游艇之都、</w:t>
      </w:r>
      <w:r>
        <w:rPr>
          <w:rFonts w:hint="eastAsia"/>
          <w:color w:val="auto"/>
          <w:sz w:val="32"/>
          <w:szCs w:val="32"/>
          <w:highlight w:val="none"/>
        </w:rPr>
        <w:t>演艺美食之都</w:t>
      </w:r>
      <w:r>
        <w:rPr>
          <w:rFonts w:hint="eastAsia"/>
          <w:color w:val="auto"/>
          <w:sz w:val="32"/>
          <w:szCs w:val="32"/>
          <w:highlight w:val="none"/>
          <w:lang w:eastAsia="zh-CN"/>
        </w:rPr>
        <w:t>、</w:t>
      </w:r>
      <w:r>
        <w:rPr>
          <w:rFonts w:hint="eastAsia"/>
          <w:color w:val="auto"/>
          <w:sz w:val="32"/>
          <w:szCs w:val="32"/>
          <w:highlight w:val="none"/>
        </w:rPr>
        <w:t>浪漫时尚之城、科创文旅高地</w:t>
      </w:r>
      <w:r>
        <w:rPr>
          <w:rFonts w:hint="eastAsia"/>
          <w:color w:val="auto"/>
          <w:sz w:val="32"/>
          <w:szCs w:val="32"/>
          <w:highlight w:val="none"/>
          <w:lang w:eastAsia="zh"/>
        </w:rPr>
        <w:t>等特色旅游品牌。</w:t>
      </w:r>
      <w:r>
        <w:rPr>
          <w:rFonts w:hint="default"/>
          <w:color w:val="auto"/>
          <w:sz w:val="32"/>
          <w:szCs w:val="32"/>
          <w:highlight w:val="none"/>
          <w:lang w:eastAsia="zh"/>
        </w:rPr>
        <w:t>拓展入境游市场，持续推动开通和加密直达境外重点客源市场的航线航班</w:t>
      </w:r>
      <w:r>
        <w:rPr>
          <w:rFonts w:hint="eastAsia"/>
          <w:color w:val="auto"/>
          <w:sz w:val="32"/>
          <w:szCs w:val="32"/>
          <w:highlight w:val="none"/>
          <w:lang w:eastAsia="zh-CN"/>
        </w:rPr>
        <w:t>。</w:t>
      </w:r>
      <w:r>
        <w:rPr>
          <w:rFonts w:hint="default"/>
          <w:color w:val="auto"/>
          <w:sz w:val="32"/>
          <w:szCs w:val="32"/>
          <w:highlight w:val="none"/>
          <w:lang w:eastAsia="zh"/>
        </w:rPr>
        <w:t>实施全球化精准招商，吸引国际知名文旅企业和高端品牌落户。打造立体营销矩阵</w:t>
      </w:r>
      <w:r>
        <w:rPr>
          <w:rFonts w:hint="eastAsia"/>
          <w:color w:val="auto"/>
          <w:sz w:val="32"/>
          <w:szCs w:val="32"/>
          <w:highlight w:val="none"/>
          <w:lang w:eastAsia="zh-CN"/>
        </w:rPr>
        <w:t>，构建全球化旅游推广网络，在核心客源地设立推广平台，</w:t>
      </w:r>
      <w:r>
        <w:rPr>
          <w:rFonts w:hint="default"/>
          <w:color w:val="auto"/>
          <w:sz w:val="32"/>
          <w:szCs w:val="32"/>
          <w:highlight w:val="none"/>
          <w:lang w:eastAsia="zh"/>
        </w:rPr>
        <w:t>实施客源地精准营销，深耕港澳台、俄语地区、东南亚等重点市场，培育拓展欧美市场。</w:t>
      </w:r>
      <w:r>
        <w:rPr>
          <w:rFonts w:hint="eastAsia"/>
          <w:color w:val="auto"/>
          <w:sz w:val="32"/>
          <w:szCs w:val="32"/>
          <w:highlight w:val="none"/>
        </w:rPr>
        <w:t>强化新媒体和国际社交媒体营销，开辟数字化出海新通道，推动三亚文旅品牌走向世界。</w:t>
      </w:r>
    </w:p>
    <w:p>
      <w:pPr>
        <w:pStyle w:val="4"/>
        <w:pageBreakBefore w:val="0"/>
        <w:widowControl w:val="0"/>
        <w:shd w:val="clear"/>
        <w:kinsoku/>
        <w:wordWrap/>
        <w:overflowPunct/>
        <w:topLinePunct w:val="0"/>
        <w:autoSpaceDE/>
        <w:autoSpaceDN/>
        <w:bidi w:val="0"/>
        <w:adjustRightInd w:val="0"/>
        <w:snapToGrid w:val="0"/>
        <w:spacing w:line="576" w:lineRule="exact"/>
        <w:ind w:left="0" w:leftChars="0" w:firstLine="0" w:firstLineChars="0"/>
        <w:textAlignment w:val="auto"/>
        <w:rPr>
          <w:rFonts w:hint="eastAsia"/>
          <w:color w:val="auto"/>
          <w:sz w:val="32"/>
          <w:szCs w:val="32"/>
          <w:highlight w:val="none"/>
          <w:lang w:eastAsia="zh"/>
        </w:rPr>
      </w:pPr>
      <w:bookmarkStart w:id="344" w:name="_Toc213447251"/>
      <w:bookmarkStart w:id="345" w:name="_Toc1040644195"/>
      <w:bookmarkStart w:id="346" w:name="_Toc27846"/>
      <w:bookmarkStart w:id="347" w:name="_Toc35542498"/>
      <w:bookmarkStart w:id="348" w:name="_Toc1579674991"/>
      <w:bookmarkStart w:id="349" w:name="_Toc309056483"/>
      <w:bookmarkStart w:id="350" w:name="_Toc168048534"/>
      <w:bookmarkStart w:id="351" w:name="_Toc1635235691"/>
      <w:bookmarkStart w:id="352" w:name="_Toc657706040"/>
      <w:bookmarkStart w:id="353" w:name="_Toc586131378"/>
    </w:p>
    <w:p>
      <w:pPr>
        <w:pStyle w:val="4"/>
        <w:pageBreakBefore w:val="0"/>
        <w:widowControl w:val="0"/>
        <w:shd w:val="clear"/>
        <w:kinsoku/>
        <w:wordWrap/>
        <w:overflowPunct/>
        <w:topLinePunct w:val="0"/>
        <w:autoSpaceDE/>
        <w:autoSpaceDN/>
        <w:bidi w:val="0"/>
        <w:adjustRightInd w:val="0"/>
        <w:snapToGrid w:val="0"/>
        <w:spacing w:line="576" w:lineRule="exact"/>
        <w:ind w:left="0" w:leftChars="0" w:firstLine="0" w:firstLineChars="0"/>
        <w:jc w:val="center"/>
        <w:textAlignment w:val="auto"/>
        <w:rPr>
          <w:rFonts w:hint="eastAsia" w:ascii="黑体" w:hAnsi="黑体" w:eastAsia="黑体" w:cs="黑体"/>
          <w:b w:val="0"/>
          <w:bCs/>
          <w:color w:val="auto"/>
          <w:sz w:val="32"/>
          <w:szCs w:val="32"/>
          <w:highlight w:val="none"/>
          <w:lang w:eastAsia="zh"/>
        </w:rPr>
      </w:pPr>
      <w:r>
        <w:rPr>
          <w:rFonts w:hint="eastAsia" w:ascii="黑体" w:hAnsi="黑体" w:eastAsia="黑体" w:cs="黑体"/>
          <w:b w:val="0"/>
          <w:bCs/>
          <w:color w:val="auto"/>
          <w:sz w:val="32"/>
          <w:szCs w:val="32"/>
          <w:highlight w:val="none"/>
          <w:lang w:eastAsia="zh"/>
        </w:rPr>
        <w:t xml:space="preserve">第三节 </w:t>
      </w:r>
      <w:r>
        <w:rPr>
          <w:rFonts w:hint="eastAsia" w:ascii="黑体" w:hAnsi="黑体" w:eastAsia="黑体" w:cs="黑体"/>
          <w:b w:val="0"/>
          <w:bCs/>
          <w:color w:val="auto"/>
          <w:sz w:val="32"/>
          <w:szCs w:val="32"/>
          <w:highlight w:val="none"/>
        </w:rPr>
        <w:t xml:space="preserve"> </w:t>
      </w:r>
      <w:r>
        <w:rPr>
          <w:rFonts w:hint="eastAsia" w:ascii="黑体" w:hAnsi="黑体" w:eastAsia="黑体" w:cs="黑体"/>
          <w:b w:val="0"/>
          <w:bCs/>
          <w:color w:val="auto"/>
          <w:sz w:val="32"/>
          <w:szCs w:val="32"/>
          <w:highlight w:val="none"/>
          <w:lang w:eastAsia="zh"/>
        </w:rPr>
        <w:t>提高旅游服务质量</w:t>
      </w:r>
      <w:bookmarkEnd w:id="344"/>
      <w:bookmarkEnd w:id="345"/>
      <w:bookmarkEnd w:id="346"/>
      <w:bookmarkEnd w:id="347"/>
      <w:bookmarkEnd w:id="348"/>
      <w:bookmarkEnd w:id="349"/>
      <w:bookmarkEnd w:id="350"/>
      <w:bookmarkEnd w:id="351"/>
      <w:bookmarkEnd w:id="352"/>
      <w:bookmarkEnd w:id="353"/>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lang w:val="en-US" w:eastAsia="zh-CN"/>
        </w:rPr>
      </w:pPr>
    </w:p>
    <w:p>
      <w:pPr>
        <w:pStyle w:val="31"/>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lang w:val="en-US" w:eastAsia="zh-CN"/>
        </w:rPr>
        <w:t>完善旅游公共服务。</w:t>
      </w:r>
      <w:r>
        <w:rPr>
          <w:rFonts w:hint="eastAsia"/>
          <w:color w:val="auto"/>
          <w:sz w:val="32"/>
          <w:szCs w:val="32"/>
          <w:highlight w:val="none"/>
          <w:lang w:val="en-US" w:eastAsia="zh-CN"/>
        </w:rPr>
        <w:t>丰富</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吃住行游购娱</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全要素供给，提升旅游综合服务水平，为游客营造安心、舒心、放心的文旅消费环境。加大与权威餐饮评级机构合作，构建世界美食集聚、中华美食荟萃、三亚美食林立的餐饮格局。塑造世界知名、主题多元丰富的度假酒店集群，提高住宿行业服务品质和文化品位。完善旅游集散中心、咨询服务中心、生态停车场、自驾车营地等旅游基础设施建设。提升西岛、蜈支洲岛等岛屿型景区交通便利化水平，保障居民、游客出行需求。强化旅游交通服务，重点推进特色旅游通道建设，构建起</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快进慢游</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的全域旅游交通服务网络。提高文旅服务数智化水平，推进智慧景区、智慧酒店、智慧交通、智慧厕所建设。持续推进旅游服务行业标准化、专业化、</w:t>
      </w:r>
      <w:r>
        <w:rPr>
          <w:rFonts w:hint="eastAsia"/>
          <w:color w:val="auto"/>
          <w:sz w:val="32"/>
          <w:szCs w:val="32"/>
          <w:highlight w:val="none"/>
        </w:rPr>
        <w:t>人性化</w:t>
      </w:r>
      <w:r>
        <w:rPr>
          <w:rFonts w:hint="eastAsia"/>
          <w:color w:val="auto"/>
          <w:sz w:val="32"/>
          <w:szCs w:val="32"/>
          <w:highlight w:val="none"/>
          <w:lang w:val="en-US" w:eastAsia="zh-CN"/>
        </w:rPr>
        <w:t>建设，强化诚信经营、文明服务，增强全社会旅游服务意识，</w:t>
      </w:r>
      <w:r>
        <w:rPr>
          <w:rFonts w:hint="eastAsia"/>
          <w:color w:val="auto"/>
          <w:sz w:val="32"/>
          <w:szCs w:val="32"/>
          <w:highlight w:val="none"/>
        </w:rPr>
        <w:t>打造</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暖客之城</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lang w:val="en-US" w:eastAsia="zh-CN"/>
        </w:rPr>
        <w:t>。</w:t>
      </w:r>
    </w:p>
    <w:p>
      <w:pPr>
        <w:pStyle w:val="31"/>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rPr>
        <w:t>加强安全管理和市场监管</w:t>
      </w:r>
      <w:r>
        <w:rPr>
          <w:rFonts w:hint="eastAsia"/>
          <w:b/>
          <w:bCs/>
          <w:color w:val="auto"/>
          <w:sz w:val="32"/>
          <w:szCs w:val="32"/>
          <w:highlight w:val="none"/>
          <w:lang w:eastAsia="zh"/>
        </w:rPr>
        <w:t>。</w:t>
      </w:r>
      <w:r>
        <w:rPr>
          <w:rFonts w:hint="eastAsia"/>
          <w:color w:val="auto"/>
          <w:sz w:val="32"/>
          <w:szCs w:val="32"/>
          <w:highlight w:val="none"/>
        </w:rPr>
        <w:t>加强涉旅场所安全隐患排查整治，完善应急预案和快速响应机制，夯实旅游市场综合监管责任，营造安全有序的旅游市场环境。</w:t>
      </w:r>
      <w:r>
        <w:rPr>
          <w:rFonts w:hint="eastAsia"/>
          <w:color w:val="auto"/>
          <w:sz w:val="32"/>
          <w:szCs w:val="32"/>
          <w:highlight w:val="none"/>
          <w:lang w:eastAsia="zh-CN"/>
        </w:rPr>
        <w:t>提升</w:t>
      </w:r>
      <w:r>
        <w:rPr>
          <w:rFonts w:hint="default"/>
          <w:color w:val="auto"/>
          <w:sz w:val="32"/>
          <w:szCs w:val="32"/>
          <w:highlight w:val="none"/>
        </w:rPr>
        <w:t>景区、酒店等涉水安全管理</w:t>
      </w:r>
      <w:r>
        <w:rPr>
          <w:rFonts w:hint="eastAsia"/>
          <w:color w:val="auto"/>
          <w:sz w:val="32"/>
          <w:szCs w:val="32"/>
          <w:highlight w:val="none"/>
          <w:lang w:eastAsia="zh-CN"/>
        </w:rPr>
        <w:t>水平</w:t>
      </w:r>
      <w:r>
        <w:rPr>
          <w:rFonts w:hint="default"/>
          <w:color w:val="auto"/>
          <w:sz w:val="32"/>
          <w:szCs w:val="32"/>
          <w:highlight w:val="none"/>
        </w:rPr>
        <w:t>，严格规范水上项目运营标准</w:t>
      </w:r>
      <w:r>
        <w:rPr>
          <w:rFonts w:hint="eastAsia"/>
          <w:color w:val="auto"/>
          <w:sz w:val="32"/>
          <w:szCs w:val="32"/>
          <w:highlight w:val="none"/>
        </w:rPr>
        <w:t>。完善旅游投诉快速处理和多渠道纠纷解决机制</w:t>
      </w:r>
      <w:r>
        <w:rPr>
          <w:rFonts w:hint="eastAsia"/>
          <w:color w:val="auto"/>
          <w:sz w:val="32"/>
          <w:szCs w:val="32"/>
          <w:highlight w:val="none"/>
          <w:lang w:eastAsia="zh-CN"/>
        </w:rPr>
        <w:t>，</w:t>
      </w:r>
      <w:r>
        <w:rPr>
          <w:rFonts w:hint="eastAsia"/>
          <w:color w:val="auto"/>
          <w:sz w:val="32"/>
          <w:szCs w:val="32"/>
          <w:highlight w:val="none"/>
        </w:rPr>
        <w:t>深入开展旅游市场专项整治。推动旅游标准与国际接轨，加强旅游数据资源共享与智能分析，提升精准监管、风险预警和智能调度能力。推进</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信用</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旅游</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体系建设，继续拓展</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三亚放心游</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一户一码</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000000"/>
          <w:sz w:val="32"/>
          <w:szCs w:val="32"/>
          <w:u w:val="none" w:color="auto"/>
          <w:lang w:eastAsia="zh-CN"/>
        </w:rPr>
        <w:t>“一船一码”</w:t>
      </w:r>
      <w:r>
        <w:rPr>
          <w:rFonts w:hint="eastAsia"/>
          <w:color w:val="auto"/>
          <w:sz w:val="32"/>
          <w:szCs w:val="32"/>
          <w:highlight w:val="none"/>
        </w:rPr>
        <w:t>等</w:t>
      </w:r>
      <w:r>
        <w:rPr>
          <w:rFonts w:hint="eastAsia"/>
          <w:color w:val="auto"/>
          <w:sz w:val="32"/>
          <w:szCs w:val="32"/>
          <w:highlight w:val="none"/>
          <w:lang w:eastAsia="zh-CN"/>
        </w:rPr>
        <w:t>监管模式</w:t>
      </w:r>
      <w:r>
        <w:rPr>
          <w:rFonts w:hint="eastAsia"/>
          <w:color w:val="auto"/>
          <w:sz w:val="32"/>
          <w:szCs w:val="32"/>
          <w:highlight w:val="none"/>
        </w:rPr>
        <w:t>应用范围。推行从业人员</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一人一码</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评价激励</w:t>
      </w:r>
      <w:r>
        <w:rPr>
          <w:rFonts w:hint="eastAsia"/>
          <w:color w:val="auto"/>
          <w:sz w:val="32"/>
          <w:szCs w:val="32"/>
          <w:highlight w:val="none"/>
          <w:lang w:eastAsia="zh-CN"/>
        </w:rPr>
        <w:t>机制</w:t>
      </w:r>
      <w:r>
        <w:rPr>
          <w:rFonts w:hint="eastAsia"/>
          <w:color w:val="auto"/>
          <w:sz w:val="32"/>
          <w:szCs w:val="32"/>
          <w:highlight w:val="none"/>
        </w:rPr>
        <w:t>，打造放心、安心、高品质</w:t>
      </w:r>
      <w:r>
        <w:rPr>
          <w:rFonts w:hint="eastAsia"/>
          <w:color w:val="auto"/>
          <w:sz w:val="32"/>
          <w:szCs w:val="32"/>
          <w:highlight w:val="none"/>
          <w:lang w:eastAsia="zh-CN"/>
        </w:rPr>
        <w:t>的</w:t>
      </w:r>
      <w:r>
        <w:rPr>
          <w:rFonts w:hint="eastAsia"/>
          <w:color w:val="auto"/>
          <w:sz w:val="32"/>
          <w:szCs w:val="32"/>
          <w:highlight w:val="none"/>
        </w:rPr>
        <w:t>旅游消费环境，持续擦亮</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三亚放心游，放心游三亚</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金字招牌。</w:t>
      </w:r>
    </w:p>
    <w:p>
      <w:pPr>
        <w:pStyle w:val="31"/>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default"/>
          <w:color w:val="auto"/>
          <w:sz w:val="32"/>
          <w:szCs w:val="32"/>
          <w:highlight w:val="none"/>
          <w:lang w:val="en"/>
        </w:rPr>
      </w:pPr>
      <w:r>
        <w:rPr>
          <w:rFonts w:hint="eastAsia"/>
          <w:b/>
          <w:bCs/>
          <w:color w:val="auto"/>
          <w:sz w:val="32"/>
          <w:szCs w:val="32"/>
          <w:highlight w:val="none"/>
        </w:rPr>
        <w:t>提升入境游便利化国际化水平。</w:t>
      </w:r>
      <w:r>
        <w:rPr>
          <w:rFonts w:hint="eastAsia"/>
          <w:color w:val="auto"/>
          <w:sz w:val="32"/>
          <w:szCs w:val="32"/>
          <w:highlight w:val="none"/>
        </w:rPr>
        <w:t>完善多语种服务体系</w:t>
      </w:r>
      <w:r>
        <w:rPr>
          <w:rFonts w:hint="eastAsia"/>
          <w:color w:val="auto"/>
          <w:sz w:val="32"/>
          <w:szCs w:val="32"/>
          <w:highlight w:val="none"/>
          <w:lang w:eastAsia="zh-CN"/>
        </w:rPr>
        <w:t>，</w:t>
      </w:r>
      <w:r>
        <w:rPr>
          <w:rFonts w:hint="eastAsia"/>
          <w:color w:val="auto"/>
          <w:sz w:val="32"/>
          <w:szCs w:val="32"/>
          <w:highlight w:val="none"/>
        </w:rPr>
        <w:t>实现</w:t>
      </w:r>
      <w:r>
        <w:rPr>
          <w:rFonts w:hint="default" w:ascii="Times New Roman" w:hAnsi="Times New Roman" w:cs="Times New Roman"/>
          <w:color w:val="auto"/>
          <w:sz w:val="32"/>
          <w:szCs w:val="32"/>
          <w:highlight w:val="none"/>
        </w:rPr>
        <w:t>A</w:t>
      </w:r>
      <w:r>
        <w:rPr>
          <w:rFonts w:hint="eastAsia"/>
          <w:color w:val="auto"/>
          <w:sz w:val="32"/>
          <w:szCs w:val="32"/>
          <w:highlight w:val="none"/>
        </w:rPr>
        <w:t>级旅游景区、星级酒店、旅游风景道、集散中心等重点区域</w:t>
      </w:r>
      <w:r>
        <w:rPr>
          <w:rFonts w:hint="eastAsia"/>
          <w:color w:val="auto"/>
          <w:sz w:val="32"/>
          <w:szCs w:val="32"/>
          <w:highlight w:val="none"/>
          <w:lang w:eastAsia="zh-CN"/>
        </w:rPr>
        <w:t>外语</w:t>
      </w:r>
      <w:r>
        <w:rPr>
          <w:rFonts w:hint="eastAsia"/>
          <w:color w:val="auto"/>
          <w:sz w:val="32"/>
          <w:szCs w:val="32"/>
          <w:highlight w:val="none"/>
        </w:rPr>
        <w:t>标识标牌全覆盖，构建清晰连贯的导览网络。</w:t>
      </w:r>
      <w:r>
        <w:rPr>
          <w:color w:val="auto"/>
          <w:sz w:val="32"/>
          <w:szCs w:val="32"/>
          <w:highlight w:val="none"/>
        </w:rPr>
        <w:t>推动重点旅游区域与国际主流导航系统数据互联，配备智能化外语解说系统。提升凤凰</w:t>
      </w:r>
      <w:r>
        <w:rPr>
          <w:rFonts w:hint="eastAsia"/>
          <w:color w:val="auto"/>
          <w:sz w:val="32"/>
          <w:szCs w:val="32"/>
          <w:highlight w:val="none"/>
          <w:lang w:eastAsia="zh-CN"/>
        </w:rPr>
        <w:t>国际</w:t>
      </w:r>
      <w:r>
        <w:rPr>
          <w:color w:val="auto"/>
          <w:sz w:val="32"/>
          <w:szCs w:val="32"/>
          <w:highlight w:val="none"/>
        </w:rPr>
        <w:t>机场</w:t>
      </w:r>
      <w:r>
        <w:rPr>
          <w:rFonts w:hint="eastAsia" w:ascii="仿宋_GB2312" w:hAnsi="仿宋_GB2312" w:eastAsia="仿宋_GB2312" w:cs="仿宋_GB2312"/>
          <w:color w:val="auto"/>
          <w:sz w:val="32"/>
          <w:szCs w:val="32"/>
          <w:highlight w:val="none"/>
        </w:rPr>
        <w:t>“</w:t>
      </w:r>
      <w:r>
        <w:rPr>
          <w:color w:val="auto"/>
          <w:sz w:val="32"/>
          <w:szCs w:val="32"/>
          <w:highlight w:val="none"/>
        </w:rPr>
        <w:t>口岸型</w:t>
      </w:r>
      <w:r>
        <w:rPr>
          <w:rFonts w:hint="eastAsia" w:ascii="仿宋_GB2312" w:hAnsi="仿宋_GB2312" w:eastAsia="仿宋_GB2312" w:cs="仿宋_GB2312"/>
          <w:color w:val="auto"/>
          <w:sz w:val="32"/>
          <w:szCs w:val="32"/>
          <w:highlight w:val="none"/>
        </w:rPr>
        <w:t>”</w:t>
      </w:r>
      <w:r>
        <w:rPr>
          <w:color w:val="auto"/>
          <w:sz w:val="32"/>
          <w:szCs w:val="32"/>
          <w:highlight w:val="none"/>
        </w:rPr>
        <w:t>一站式综合服务中心服务功能，采取</w:t>
      </w:r>
      <w:r>
        <w:rPr>
          <w:rFonts w:hint="eastAsia" w:ascii="仿宋_GB2312" w:hAnsi="仿宋_GB2312" w:eastAsia="仿宋_GB2312" w:cs="仿宋_GB2312"/>
          <w:color w:val="auto"/>
          <w:sz w:val="32"/>
          <w:szCs w:val="32"/>
          <w:highlight w:val="none"/>
        </w:rPr>
        <w:t>“</w:t>
      </w:r>
      <w:r>
        <w:rPr>
          <w:color w:val="auto"/>
          <w:sz w:val="32"/>
          <w:szCs w:val="32"/>
          <w:highlight w:val="none"/>
        </w:rPr>
        <w:t>先期机检</w:t>
      </w:r>
      <w:r>
        <w:rPr>
          <w:rFonts w:hint="eastAsia" w:ascii="仿宋_GB2312" w:hAnsi="仿宋_GB2312" w:eastAsia="仿宋_GB2312" w:cs="仿宋_GB2312"/>
          <w:color w:val="auto"/>
          <w:sz w:val="32"/>
          <w:szCs w:val="32"/>
          <w:highlight w:val="none"/>
        </w:rPr>
        <w:t>+</w:t>
      </w:r>
      <w:r>
        <w:rPr>
          <w:color w:val="auto"/>
          <w:sz w:val="32"/>
          <w:szCs w:val="32"/>
          <w:highlight w:val="none"/>
        </w:rPr>
        <w:t>智能审图</w:t>
      </w:r>
      <w:r>
        <w:rPr>
          <w:rFonts w:hint="eastAsia" w:ascii="仿宋_GB2312" w:hAnsi="仿宋_GB2312" w:eastAsia="仿宋_GB2312" w:cs="仿宋_GB2312"/>
          <w:color w:val="auto"/>
          <w:sz w:val="32"/>
          <w:szCs w:val="32"/>
          <w:highlight w:val="none"/>
        </w:rPr>
        <w:t>”</w:t>
      </w:r>
      <w:r>
        <w:rPr>
          <w:rFonts w:hint="eastAsia" w:ascii="仿宋_GB2312" w:hAnsi="仿宋_GB2312" w:cs="仿宋_GB2312"/>
          <w:color w:val="auto"/>
          <w:sz w:val="32"/>
          <w:szCs w:val="32"/>
          <w:highlight w:val="none"/>
          <w:lang w:eastAsia="zh-CN"/>
        </w:rPr>
        <w:t>措施</w:t>
      </w:r>
      <w:r>
        <w:rPr>
          <w:color w:val="auto"/>
          <w:sz w:val="32"/>
          <w:szCs w:val="32"/>
          <w:highlight w:val="none"/>
        </w:rPr>
        <w:t>，实现入境旅客无感通关。</w:t>
      </w:r>
      <w:r>
        <w:rPr>
          <w:rFonts w:hint="eastAsia"/>
          <w:color w:val="auto"/>
          <w:sz w:val="32"/>
          <w:szCs w:val="32"/>
          <w:highlight w:val="none"/>
          <w:lang w:eastAsia="zh-CN"/>
        </w:rPr>
        <w:t>持续提升境外来华人员支付便利化</w:t>
      </w:r>
      <w:r>
        <w:rPr>
          <w:rFonts w:hint="eastAsia"/>
          <w:color w:val="auto"/>
          <w:sz w:val="32"/>
          <w:szCs w:val="32"/>
          <w:highlight w:val="none"/>
          <w:lang w:val="en-US" w:eastAsia="zh-CN"/>
        </w:rPr>
        <w:t>水平，</w:t>
      </w:r>
      <w:r>
        <w:rPr>
          <w:rFonts w:hint="eastAsia"/>
          <w:color w:val="auto"/>
          <w:sz w:val="32"/>
          <w:szCs w:val="32"/>
          <w:highlight w:val="none"/>
          <w:lang w:eastAsia="zh-CN"/>
        </w:rPr>
        <w:t>优化通信、上网、交通等业务咨询和办理功能。</w:t>
      </w:r>
    </w:p>
    <w:p>
      <w:pPr>
        <w:pStyle w:val="31"/>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eastAsia"/>
          <w:color w:val="auto"/>
          <w:sz w:val="32"/>
          <w:szCs w:val="32"/>
          <w:highlight w:val="none"/>
        </w:rPr>
      </w:pPr>
      <w:r>
        <w:rPr>
          <w:rFonts w:hint="eastAsia"/>
          <w:b/>
          <w:bCs/>
          <w:color w:val="auto"/>
          <w:sz w:val="32"/>
          <w:szCs w:val="32"/>
          <w:highlight w:val="none"/>
        </w:rPr>
        <w:t>加强旅游服务品牌建设。</w:t>
      </w:r>
      <w:r>
        <w:rPr>
          <w:rFonts w:hint="eastAsia"/>
          <w:color w:val="auto"/>
          <w:sz w:val="32"/>
          <w:szCs w:val="32"/>
          <w:highlight w:val="none"/>
        </w:rPr>
        <w:t>创新制定旅游服务三亚标准，打造</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微笑三亚</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服务品牌，全面提升旅游服务标准化、专业化、人性化水平。开展</w:t>
      </w:r>
      <w:r>
        <w:rPr>
          <w:rFonts w:hint="eastAsia"/>
          <w:color w:val="auto"/>
          <w:sz w:val="32"/>
          <w:szCs w:val="32"/>
          <w:highlight w:val="none"/>
          <w:lang w:eastAsia="zh-CN"/>
        </w:rPr>
        <w:t>旅游从业</w:t>
      </w:r>
      <w:r>
        <w:rPr>
          <w:rFonts w:hint="eastAsia"/>
          <w:color w:val="auto"/>
          <w:sz w:val="32"/>
          <w:szCs w:val="32"/>
          <w:highlight w:val="none"/>
        </w:rPr>
        <w:t>人员双语沟通、应急协助等专项培训，将服务标准嵌入智慧旅游平台，提供</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一键响应</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品牌服务。创新开展</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旺工淡学</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旅游业人才培养。充分发挥涉旅行业协会自治自律作用，推动品牌服务覆盖</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吃住行游购娱</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全链条。</w:t>
      </w:r>
    </w:p>
    <w:tbl>
      <w:tblPr>
        <w:tblStyle w:val="46"/>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892" w:type="dxa"/>
          </w:tcPr>
          <w:p>
            <w:pPr>
              <w:keepNext w:val="0"/>
              <w:keepLines w:val="0"/>
              <w:pageBreakBefore w:val="0"/>
              <w:widowControl w:val="0"/>
              <w:shd w:val="clear"/>
              <w:kinsoku/>
              <w:wordWrap/>
              <w:overflowPunct/>
              <w:topLinePunct w:val="0"/>
              <w:autoSpaceDE/>
              <w:autoSpaceDN/>
              <w:bidi w:val="0"/>
              <w:adjustRightInd/>
              <w:snapToGrid w:val="0"/>
              <w:spacing w:before="157" w:beforeLines="50" w:after="157" w:afterLines="50" w:line="440" w:lineRule="exact"/>
              <w:jc w:val="center"/>
              <w:textAlignment w:val="auto"/>
              <w:rPr>
                <w:rFonts w:hint="eastAsia" w:ascii="Times New Roman" w:hAnsi="Times New Roman" w:eastAsia="黑体"/>
                <w:color w:val="auto"/>
                <w:kern w:val="0"/>
                <w:sz w:val="28"/>
                <w:szCs w:val="28"/>
                <w:highlight w:val="none"/>
                <w:lang w:eastAsia="zh-CN"/>
              </w:rPr>
            </w:pPr>
            <w:r>
              <w:rPr>
                <w:rFonts w:hint="eastAsia" w:ascii="Times New Roman" w:hAnsi="Times New Roman" w:eastAsia="黑体" w:cs="黑体"/>
                <w:color w:val="auto"/>
                <w:kern w:val="0"/>
                <w:sz w:val="28"/>
                <w:szCs w:val="28"/>
                <w:highlight w:val="none"/>
              </w:rPr>
              <w:t>专栏</w:t>
            </w:r>
            <w:r>
              <w:rPr>
                <w:rFonts w:hint="default" w:ascii="Times New Roman" w:hAnsi="Times New Roman" w:eastAsia="黑体" w:cs="Times New Roman"/>
                <w:bCs/>
                <w:color w:val="auto"/>
                <w:sz w:val="28"/>
                <w:szCs w:val="28"/>
                <w:highlight w:val="none"/>
                <w:lang w:val="en-US" w:eastAsia="zh-CN"/>
              </w:rPr>
              <w:t>4</w:t>
            </w:r>
            <w:r>
              <w:rPr>
                <w:rFonts w:hint="eastAsia" w:ascii="Times New Roman" w:hAnsi="Times New Roman" w:eastAsia="黑体"/>
                <w:bCs/>
                <w:color w:val="auto"/>
                <w:kern w:val="0"/>
                <w:sz w:val="28"/>
                <w:szCs w:val="28"/>
                <w:highlight w:val="none"/>
                <w:lang w:val="en-US" w:eastAsia="zh-CN"/>
              </w:rPr>
              <w:t xml:space="preserve">  </w:t>
            </w:r>
            <w:r>
              <w:rPr>
                <w:rFonts w:hint="eastAsia" w:ascii="Times New Roman" w:hAnsi="Times New Roman" w:eastAsia="黑体"/>
                <w:bCs/>
                <w:color w:val="auto"/>
                <w:kern w:val="0"/>
                <w:sz w:val="28"/>
                <w:szCs w:val="28"/>
                <w:highlight w:val="none"/>
              </w:rPr>
              <w:t>旅游</w:t>
            </w:r>
            <w:r>
              <w:rPr>
                <w:rFonts w:hint="eastAsia" w:ascii="Times New Roman" w:hAnsi="Times New Roman" w:eastAsia="黑体"/>
                <w:bCs/>
                <w:color w:val="auto"/>
                <w:kern w:val="0"/>
                <w:sz w:val="28"/>
                <w:szCs w:val="28"/>
                <w:highlight w:val="none"/>
                <w:lang w:eastAsia="zh-CN"/>
              </w:rPr>
              <w:t>消费</w:t>
            </w:r>
            <w:r>
              <w:rPr>
                <w:rFonts w:hint="eastAsia" w:ascii="Times New Roman" w:hAnsi="Times New Roman" w:eastAsia="黑体" w:cs="黑体"/>
                <w:color w:val="auto"/>
                <w:kern w:val="0"/>
                <w:sz w:val="28"/>
                <w:szCs w:val="28"/>
                <w:highlight w:val="none"/>
              </w:rPr>
              <w:t>重大工程</w:t>
            </w:r>
            <w:r>
              <w:rPr>
                <w:rFonts w:hint="eastAsia" w:ascii="Times New Roman" w:hAnsi="Times New Roman" w:eastAsia="黑体" w:cs="黑体"/>
                <w:color w:val="auto"/>
                <w:kern w:val="0"/>
                <w:sz w:val="28"/>
                <w:szCs w:val="28"/>
                <w:highlight w:val="none"/>
                <w:lang w:eastAsia="zh-CN"/>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892" w:type="dxa"/>
            <w:vAlign w:val="center"/>
          </w:tcPr>
          <w:p>
            <w:pPr>
              <w:pStyle w:val="33"/>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440" w:lineRule="exact"/>
              <w:ind w:firstLine="562"/>
              <w:textAlignment w:val="auto"/>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1</w:t>
            </w:r>
            <w:r>
              <w:rPr>
                <w:rFonts w:hint="eastAsia" w:ascii="楷体_GB2312" w:hAnsi="楷体_GB2312" w:eastAsia="楷体_GB2312" w:cs="楷体_GB2312"/>
                <w:b/>
                <w:bCs/>
                <w:color w:val="auto"/>
                <w:highlight w:val="none"/>
                <w:lang w:val="en-US" w:eastAsia="zh-CN"/>
              </w:rPr>
              <w:t>.</w:t>
            </w:r>
            <w:r>
              <w:rPr>
                <w:b/>
                <w:bCs/>
                <w:color w:val="auto"/>
                <w:highlight w:val="none"/>
              </w:rPr>
              <w:t>海洋旅游突破工程。</w:t>
            </w:r>
            <w:r>
              <w:rPr>
                <w:color w:val="auto"/>
                <w:highlight w:val="none"/>
              </w:rPr>
              <w:t>大力发展海洋旅游，高质量发展国际化邮轮游艇旅游，规范化发展冲浪潜水旅游，积极培育深海观光、海洋牧场休闲度假、海上娱乐综合平台等业态，打造高端海洋旅游品牌，建设热带滨海旅游目的地。</w:t>
            </w:r>
          </w:p>
          <w:p>
            <w:pPr>
              <w:pStyle w:val="33"/>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440" w:lineRule="exact"/>
              <w:ind w:firstLine="562"/>
              <w:textAlignment w:val="auto"/>
              <w:rPr>
                <w:color w:val="auto"/>
                <w:highlight w:val="none"/>
              </w:rPr>
            </w:pPr>
            <w:r>
              <w:rPr>
                <w:rFonts w:hint="default" w:ascii="Times New Roman" w:hAnsi="Times New Roman" w:cs="Times New Roman"/>
                <w:b/>
                <w:bCs/>
                <w:color w:val="auto"/>
                <w:highlight w:val="none"/>
              </w:rPr>
              <w:t>2</w:t>
            </w:r>
            <w:r>
              <w:rPr>
                <w:rFonts w:hint="eastAsia" w:ascii="楷体_GB2312" w:hAnsi="楷体_GB2312" w:eastAsia="楷体_GB2312" w:cs="楷体_GB2312"/>
                <w:b/>
                <w:bCs/>
                <w:color w:val="auto"/>
                <w:highlight w:val="none"/>
                <w:lang w:val="en-US" w:eastAsia="zh-CN"/>
              </w:rPr>
              <w:t>.</w:t>
            </w:r>
            <w:r>
              <w:rPr>
                <w:b/>
                <w:bCs/>
                <w:color w:val="auto"/>
                <w:highlight w:val="none"/>
              </w:rPr>
              <w:t>国际高端旅游消费场景集聚区打造工程。</w:t>
            </w:r>
            <w:r>
              <w:rPr>
                <w:color w:val="auto"/>
                <w:highlight w:val="none"/>
              </w:rPr>
              <w:t>加快完善国际化配套设施，构建一流服务体系，打造优质、特色的国际化旅游消费体验区。整合各大湾区的海域资源、海岛资源，开发多元化海洋娱乐项目及消费业态，积极发展海洋运动、低空运动等体育旅游新业态，塑造各大湾区的全球辨识度。</w:t>
            </w:r>
            <w:r>
              <w:rPr>
                <w:rFonts w:hint="eastAsia"/>
                <w:color w:val="auto"/>
                <w:highlight w:val="none"/>
                <w:lang w:eastAsia="zh-CN"/>
              </w:rPr>
              <w:t>大力</w:t>
            </w:r>
            <w:r>
              <w:rPr>
                <w:rFonts w:hint="eastAsia"/>
                <w:color w:val="auto"/>
                <w:highlight w:val="none"/>
              </w:rPr>
              <w:t>繁荣夜间经济，优化夜间经济空间与业态布局，打造</w:t>
            </w:r>
            <w:r>
              <w:rPr>
                <w:rFonts w:hint="eastAsia"/>
                <w:color w:val="auto"/>
                <w:highlight w:val="none"/>
                <w:lang w:eastAsia="zh-CN"/>
              </w:rPr>
              <w:t>具有地域特色的夜间消费商圈</w:t>
            </w:r>
            <w:r>
              <w:rPr>
                <w:rFonts w:hint="eastAsia"/>
                <w:color w:val="auto"/>
                <w:highlight w:val="none"/>
              </w:rPr>
              <w:t>。</w:t>
            </w:r>
          </w:p>
          <w:p>
            <w:pPr>
              <w:pStyle w:val="33"/>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440" w:lineRule="exact"/>
              <w:ind w:firstLine="562"/>
              <w:textAlignment w:val="auto"/>
              <w:rPr>
                <w:color w:val="auto"/>
                <w:highlight w:val="none"/>
              </w:rPr>
            </w:pPr>
            <w:r>
              <w:rPr>
                <w:rFonts w:hint="default" w:ascii="Times New Roman" w:hAnsi="Times New Roman" w:cs="Times New Roman"/>
                <w:b/>
                <w:bCs/>
                <w:color w:val="auto"/>
                <w:highlight w:val="none"/>
              </w:rPr>
              <w:t>3</w:t>
            </w:r>
            <w:r>
              <w:rPr>
                <w:rFonts w:hint="eastAsia" w:ascii="楷体_GB2312" w:hAnsi="楷体_GB2312" w:eastAsia="楷体_GB2312" w:cs="楷体_GB2312"/>
                <w:b/>
                <w:bCs/>
                <w:color w:val="auto"/>
                <w:highlight w:val="none"/>
                <w:lang w:val="en-US" w:eastAsia="zh-CN"/>
              </w:rPr>
              <w:t>.</w:t>
            </w:r>
            <w:r>
              <w:rPr>
                <w:b/>
                <w:bCs/>
                <w:color w:val="auto"/>
                <w:highlight w:val="none"/>
              </w:rPr>
              <w:t>旅游</w:t>
            </w:r>
            <w:r>
              <w:rPr>
                <w:rFonts w:hint="eastAsia" w:ascii="仿宋_GB2312" w:hAnsi="仿宋_GB2312" w:eastAsia="仿宋_GB2312" w:cs="仿宋_GB2312"/>
                <w:b/>
                <w:bCs/>
                <w:color w:val="auto"/>
                <w:highlight w:val="none"/>
                <w:lang w:val="en-US" w:eastAsia="zh-CN"/>
              </w:rPr>
              <w:t>+</w:t>
            </w:r>
            <w:r>
              <w:rPr>
                <w:b/>
                <w:bCs/>
                <w:color w:val="auto"/>
                <w:highlight w:val="none"/>
              </w:rPr>
              <w:t>大型国际演艺融合发展创新工程。</w:t>
            </w:r>
            <w:r>
              <w:rPr>
                <w:color w:val="auto"/>
                <w:highlight w:val="none"/>
              </w:rPr>
              <w:t>推动经营性演出审批机制改革创新，实现极简化、便利化演出审批备案和过程监管机制，优化国际国内头部演出商落户政策，创新发展票根经济、情绪经济。</w:t>
            </w:r>
          </w:p>
          <w:p>
            <w:pPr>
              <w:pStyle w:val="33"/>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440" w:lineRule="exact"/>
              <w:ind w:firstLine="562"/>
              <w:textAlignment w:val="auto"/>
              <w:rPr>
                <w:b/>
                <w:color w:val="auto"/>
                <w:szCs w:val="32"/>
                <w:highlight w:val="none"/>
              </w:rPr>
            </w:pPr>
            <w:r>
              <w:rPr>
                <w:rFonts w:hint="default" w:ascii="Times New Roman" w:hAnsi="Times New Roman" w:cs="Times New Roman"/>
                <w:b/>
                <w:bCs/>
                <w:color w:val="auto"/>
                <w:highlight w:val="none"/>
              </w:rPr>
              <w:t>4</w:t>
            </w:r>
            <w:r>
              <w:rPr>
                <w:rFonts w:hint="eastAsia" w:ascii="楷体_GB2312" w:hAnsi="楷体_GB2312" w:eastAsia="楷体_GB2312" w:cs="楷体_GB2312"/>
                <w:b/>
                <w:bCs/>
                <w:color w:val="auto"/>
                <w:highlight w:val="none"/>
                <w:lang w:val="en-US" w:eastAsia="zh-CN"/>
              </w:rPr>
              <w:t>.</w:t>
            </w:r>
            <w:r>
              <w:rPr>
                <w:rFonts w:hint="eastAsia" w:ascii="仿宋_GB2312" w:hAnsi="仿宋_GB2312" w:eastAsia="仿宋_GB2312" w:cs="仿宋_GB2312"/>
                <w:b/>
                <w:bCs/>
                <w:color w:val="auto"/>
                <w:highlight w:val="none"/>
              </w:rPr>
              <w:t>“</w:t>
            </w:r>
            <w:r>
              <w:rPr>
                <w:b/>
                <w:bCs/>
                <w:color w:val="auto"/>
                <w:highlight w:val="none"/>
              </w:rPr>
              <w:t>旅游</w:t>
            </w:r>
            <w:r>
              <w:rPr>
                <w:rFonts w:hint="eastAsia" w:ascii="仿宋_GB2312" w:hAnsi="仿宋_GB2312" w:eastAsia="仿宋_GB2312" w:cs="仿宋_GB2312"/>
                <w:b/>
                <w:bCs/>
                <w:color w:val="auto"/>
                <w:highlight w:val="none"/>
                <w:lang w:val="en-US" w:eastAsia="zh-CN"/>
              </w:rPr>
              <w:t>+</w:t>
            </w:r>
            <w:r>
              <w:rPr>
                <w:rFonts w:hint="default" w:ascii="Times New Roman" w:hAnsi="Times New Roman" w:cs="Times New Roman"/>
                <w:b/>
                <w:bCs/>
                <w:color w:val="auto"/>
                <w:highlight w:val="none"/>
              </w:rPr>
              <w:t>X</w:t>
            </w:r>
            <w:r>
              <w:rPr>
                <w:rFonts w:hint="eastAsia" w:ascii="仿宋_GB2312" w:hAnsi="仿宋_GB2312" w:eastAsia="仿宋_GB2312" w:cs="仿宋_GB2312"/>
                <w:b/>
                <w:bCs/>
                <w:color w:val="auto"/>
                <w:highlight w:val="none"/>
              </w:rPr>
              <w:t>”</w:t>
            </w:r>
            <w:r>
              <w:rPr>
                <w:b/>
                <w:bCs/>
                <w:color w:val="auto"/>
                <w:highlight w:val="none"/>
              </w:rPr>
              <w:t>产品培育工程。</w:t>
            </w:r>
            <w:r>
              <w:rPr>
                <w:color w:val="auto"/>
                <w:highlight w:val="none"/>
              </w:rPr>
              <w:t>加快</w:t>
            </w:r>
            <w:r>
              <w:rPr>
                <w:rFonts w:hint="eastAsia"/>
                <w:color w:val="auto"/>
                <w:highlight w:val="none"/>
                <w:lang w:eastAsia="zh-CN"/>
              </w:rPr>
              <w:t>建设</w:t>
            </w:r>
            <w:r>
              <w:rPr>
                <w:color w:val="auto"/>
                <w:highlight w:val="none"/>
              </w:rPr>
              <w:t>环岛旅游公路驿站、</w:t>
            </w:r>
            <w:r>
              <w:rPr>
                <w:rFonts w:hint="eastAsia" w:ascii="仿宋_GB2312" w:hAnsi="仿宋_GB2312" w:eastAsia="仿宋_GB2312" w:cs="仿宋_GB2312"/>
                <w:color w:val="auto"/>
                <w:highlight w:val="none"/>
              </w:rPr>
              <w:t>“</w:t>
            </w:r>
            <w:r>
              <w:rPr>
                <w:color w:val="auto"/>
                <w:highlight w:val="none"/>
              </w:rPr>
              <w:t>崖城明月</w:t>
            </w:r>
            <w:r>
              <w:rPr>
                <w:rFonts w:hint="eastAsia" w:ascii="仿宋_GB2312" w:hAnsi="仿宋_GB2312" w:eastAsia="仿宋_GB2312" w:cs="仿宋_GB2312"/>
                <w:color w:val="auto"/>
                <w:highlight w:val="none"/>
              </w:rPr>
              <w:t>”</w:t>
            </w:r>
            <w:r>
              <w:rPr>
                <w:color w:val="auto"/>
                <w:highlight w:val="none"/>
              </w:rPr>
              <w:t>、海博等文化旅游项目，三亚国际免税城三期（三亚太古里）、三亚海棠故事</w:t>
            </w:r>
            <w:r>
              <w:rPr>
                <w:rFonts w:hint="eastAsia"/>
                <w:color w:val="auto"/>
                <w:highlight w:val="none"/>
                <w:lang w:eastAsia="zh"/>
              </w:rPr>
              <w:t>、</w:t>
            </w:r>
            <w:r>
              <w:rPr>
                <w:color w:val="auto"/>
                <w:highlight w:val="none"/>
              </w:rPr>
              <w:t>三亚</w:t>
            </w:r>
            <w:r>
              <w:rPr>
                <w:rFonts w:hint="default" w:ascii="Times New Roman" w:hAnsi="Times New Roman" w:cs="Times New Roman"/>
                <w:color w:val="auto"/>
                <w:highlight w:val="none"/>
              </w:rPr>
              <w:t>HelloKitty</w:t>
            </w:r>
            <w:r>
              <w:rPr>
                <w:color w:val="auto"/>
                <w:highlight w:val="none"/>
              </w:rPr>
              <w:t>度假酒店</w:t>
            </w:r>
            <w:r>
              <w:rPr>
                <w:rFonts w:hint="eastAsia"/>
                <w:color w:val="auto"/>
                <w:highlight w:val="none"/>
                <w:lang w:eastAsia="zh-CN"/>
              </w:rPr>
              <w:t>、</w:t>
            </w:r>
            <w:r>
              <w:rPr>
                <w:rFonts w:hint="eastAsia"/>
                <w:color w:val="auto"/>
                <w:highlight w:val="none"/>
              </w:rPr>
              <w:t>三亚蔚蓝动力运动休闲度假区</w:t>
            </w:r>
            <w:r>
              <w:rPr>
                <w:color w:val="auto"/>
                <w:highlight w:val="none"/>
              </w:rPr>
              <w:t>等商业旅游项目。</w:t>
            </w:r>
          </w:p>
        </w:tc>
      </w:tr>
    </w:tbl>
    <w:p>
      <w:pPr>
        <w:pStyle w:val="4"/>
        <w:pageBreakBefore w:val="0"/>
        <w:widowControl w:val="0"/>
        <w:shd w:val="clear"/>
        <w:kinsoku/>
        <w:wordWrap/>
        <w:overflowPunct/>
        <w:topLinePunct w:val="0"/>
        <w:autoSpaceDE/>
        <w:autoSpaceDN/>
        <w:bidi w:val="0"/>
        <w:adjustRightInd w:val="0"/>
        <w:snapToGrid w:val="0"/>
        <w:textAlignment w:val="auto"/>
        <w:rPr>
          <w:rFonts w:hint="eastAsia"/>
          <w:color w:val="auto"/>
          <w:highlight w:val="none"/>
        </w:rPr>
      </w:pPr>
      <w:bookmarkStart w:id="354" w:name="_Toc10169"/>
      <w:bookmarkStart w:id="355" w:name="_Toc170391882"/>
      <w:bookmarkStart w:id="356" w:name="_Toc948102127"/>
      <w:bookmarkStart w:id="357" w:name="_Toc1774195882"/>
      <w:bookmarkStart w:id="358" w:name="_Toc1305547647"/>
      <w:bookmarkStart w:id="359" w:name="_Toc1679028172"/>
      <w:bookmarkStart w:id="360" w:name="_Toc1860842531"/>
      <w:bookmarkStart w:id="361" w:name="_Toc1468764911"/>
      <w:bookmarkStart w:id="362" w:name="_Toc524514341"/>
      <w:bookmarkStart w:id="363" w:name="_Toc213447252"/>
    </w:p>
    <w:p>
      <w:pPr>
        <w:pStyle w:val="4"/>
        <w:pageBreakBefore w:val="0"/>
        <w:widowControl w:val="0"/>
        <w:shd w:val="clear"/>
        <w:kinsoku/>
        <w:wordWrap/>
        <w:overflowPunct/>
        <w:topLinePunct w:val="0"/>
        <w:autoSpaceDE/>
        <w:autoSpaceDN/>
        <w:bidi w:val="0"/>
        <w:adjustRightInd w:val="0"/>
        <w:snapToGrid w:val="0"/>
        <w:spacing w:line="576" w:lineRule="exact"/>
        <w:ind w:left="0" w:leftChars="0" w:firstLine="0" w:firstLineChars="0"/>
        <w:jc w:val="center"/>
        <w:textAlignment w:val="auto"/>
        <w:rPr>
          <w:rFonts w:hint="eastAsia" w:ascii="黑体" w:hAnsi="黑体" w:eastAsia="黑体" w:cs="黑体"/>
          <w:b w:val="0"/>
          <w:bCs/>
          <w:color w:val="auto"/>
          <w:sz w:val="32"/>
          <w:szCs w:val="32"/>
          <w:highlight w:val="none"/>
          <w:lang w:eastAsia="zh"/>
        </w:rPr>
      </w:pPr>
      <w:r>
        <w:rPr>
          <w:rFonts w:hint="eastAsia" w:ascii="黑体" w:hAnsi="黑体" w:eastAsia="黑体" w:cs="黑体"/>
          <w:b w:val="0"/>
          <w:bCs/>
          <w:color w:val="auto"/>
          <w:sz w:val="32"/>
          <w:szCs w:val="32"/>
          <w:highlight w:val="none"/>
        </w:rPr>
        <w:t>第四节  挖掘消费投资潜力</w:t>
      </w:r>
      <w:r>
        <w:rPr>
          <w:rFonts w:hint="eastAsia" w:ascii="黑体" w:hAnsi="黑体" w:eastAsia="黑体" w:cs="黑体"/>
          <w:b w:val="0"/>
          <w:bCs/>
          <w:color w:val="auto"/>
          <w:sz w:val="32"/>
          <w:szCs w:val="32"/>
          <w:highlight w:val="none"/>
          <w:lang w:eastAsia="zh"/>
        </w:rPr>
        <w:t>服务扩大内需战略</w:t>
      </w:r>
      <w:bookmarkEnd w:id="354"/>
      <w:bookmarkEnd w:id="355"/>
      <w:bookmarkEnd w:id="356"/>
      <w:bookmarkEnd w:id="357"/>
      <w:bookmarkEnd w:id="358"/>
      <w:bookmarkEnd w:id="359"/>
      <w:bookmarkEnd w:id="360"/>
      <w:bookmarkEnd w:id="361"/>
      <w:bookmarkEnd w:id="362"/>
      <w:bookmarkEnd w:id="363"/>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lang w:eastAsia="zh"/>
        </w:rPr>
      </w:pPr>
    </w:p>
    <w:p>
      <w:pPr>
        <w:pStyle w:val="31"/>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lang w:eastAsia="zh"/>
        </w:rPr>
      </w:pPr>
      <w:r>
        <w:rPr>
          <w:rFonts w:hint="eastAsia"/>
          <w:b/>
          <w:bCs/>
          <w:color w:val="auto"/>
          <w:sz w:val="32"/>
          <w:szCs w:val="32"/>
          <w:highlight w:val="none"/>
          <w:lang w:eastAsia="zh"/>
        </w:rPr>
        <w:t>持续做好</w:t>
      </w:r>
      <w:r>
        <w:rPr>
          <w:rFonts w:hint="eastAsia"/>
          <w:b/>
          <w:bCs/>
          <w:color w:val="auto"/>
          <w:sz w:val="32"/>
          <w:szCs w:val="32"/>
          <w:highlight w:val="none"/>
          <w:lang w:eastAsia="zh-CN"/>
        </w:rPr>
        <w:t>免税</w:t>
      </w:r>
      <w:r>
        <w:rPr>
          <w:rFonts w:hint="eastAsia"/>
          <w:b/>
          <w:bCs/>
          <w:color w:val="auto"/>
          <w:sz w:val="32"/>
          <w:szCs w:val="32"/>
          <w:highlight w:val="none"/>
          <w:lang w:eastAsia="zh"/>
        </w:rPr>
        <w:t>购物、医疗、教育</w:t>
      </w:r>
      <w:r>
        <w:rPr>
          <w:rFonts w:hint="eastAsia" w:ascii="仿宋_GB2312" w:hAnsi="仿宋_GB2312" w:eastAsia="仿宋_GB2312" w:cs="仿宋_GB2312"/>
          <w:b/>
          <w:bCs/>
          <w:color w:val="auto"/>
          <w:sz w:val="32"/>
          <w:szCs w:val="32"/>
          <w:highlight w:val="none"/>
          <w:lang w:eastAsia="zh"/>
        </w:rPr>
        <w:t>“</w:t>
      </w:r>
      <w:r>
        <w:rPr>
          <w:rFonts w:hint="eastAsia"/>
          <w:b/>
          <w:bCs/>
          <w:color w:val="auto"/>
          <w:sz w:val="32"/>
          <w:szCs w:val="32"/>
          <w:highlight w:val="none"/>
          <w:lang w:eastAsia="zh"/>
        </w:rPr>
        <w:t>三篇消费文章</w:t>
      </w:r>
      <w:r>
        <w:rPr>
          <w:rFonts w:hint="eastAsia" w:ascii="仿宋_GB2312" w:hAnsi="仿宋_GB2312" w:eastAsia="仿宋_GB2312" w:cs="仿宋_GB2312"/>
          <w:b/>
          <w:bCs/>
          <w:color w:val="auto"/>
          <w:sz w:val="32"/>
          <w:szCs w:val="32"/>
          <w:highlight w:val="none"/>
          <w:lang w:eastAsia="zh"/>
        </w:rPr>
        <w:t>”</w:t>
      </w:r>
      <w:r>
        <w:rPr>
          <w:rFonts w:hint="eastAsia"/>
          <w:b/>
          <w:bCs/>
          <w:color w:val="auto"/>
          <w:sz w:val="32"/>
          <w:szCs w:val="32"/>
          <w:highlight w:val="none"/>
          <w:lang w:eastAsia="zh"/>
        </w:rPr>
        <w:t>。</w:t>
      </w:r>
      <w:r>
        <w:rPr>
          <w:rFonts w:hint="eastAsia"/>
          <w:color w:val="auto"/>
          <w:sz w:val="32"/>
          <w:szCs w:val="32"/>
          <w:highlight w:val="none"/>
          <w:lang w:eastAsia="zh"/>
        </w:rPr>
        <w:t>持续发挥免税新政策利好作用，</w:t>
      </w:r>
      <w:r>
        <w:rPr>
          <w:rFonts w:hint="eastAsia"/>
          <w:color w:val="auto"/>
          <w:sz w:val="32"/>
          <w:szCs w:val="32"/>
          <w:highlight w:val="none"/>
          <w:lang w:eastAsia="zh-CN"/>
        </w:rPr>
        <w:t>积极争取</w:t>
      </w:r>
      <w:r>
        <w:rPr>
          <w:rFonts w:hint="eastAsia"/>
          <w:color w:val="auto"/>
          <w:sz w:val="32"/>
          <w:szCs w:val="32"/>
          <w:highlight w:val="none"/>
          <w:lang w:eastAsia="zh"/>
        </w:rPr>
        <w:t>增设和扩大离岛免税店，</w:t>
      </w:r>
      <w:r>
        <w:rPr>
          <w:rFonts w:hint="eastAsia"/>
          <w:color w:val="auto"/>
          <w:sz w:val="32"/>
          <w:szCs w:val="32"/>
          <w:highlight w:val="none"/>
          <w:lang w:eastAsia="zh-CN"/>
        </w:rPr>
        <w:t>合理布局岛内居民免税店，探索</w:t>
      </w:r>
      <w:r>
        <w:rPr>
          <w:rFonts w:hint="eastAsia"/>
          <w:color w:val="auto"/>
          <w:sz w:val="32"/>
          <w:szCs w:val="32"/>
          <w:highlight w:val="none"/>
          <w:lang w:eastAsia="zh"/>
        </w:rPr>
        <w:t>增加</w:t>
      </w:r>
      <w:r>
        <w:rPr>
          <w:rFonts w:hint="eastAsia"/>
          <w:color w:val="auto"/>
          <w:sz w:val="32"/>
          <w:szCs w:val="32"/>
          <w:highlight w:val="none"/>
          <w:lang w:eastAsia="zh-CN"/>
        </w:rPr>
        <w:t>更多</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即购即提</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担保即提</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商品品类和数量</w:t>
      </w:r>
      <w:r>
        <w:rPr>
          <w:rFonts w:hint="eastAsia"/>
          <w:color w:val="auto"/>
          <w:sz w:val="32"/>
          <w:szCs w:val="32"/>
          <w:highlight w:val="none"/>
          <w:lang w:eastAsia="zh-CN"/>
        </w:rPr>
        <w:t>，</w:t>
      </w:r>
      <w:r>
        <w:rPr>
          <w:rFonts w:hint="eastAsia"/>
          <w:color w:val="auto"/>
          <w:sz w:val="32"/>
          <w:szCs w:val="32"/>
          <w:highlight w:val="none"/>
          <w:lang w:eastAsia="zh"/>
        </w:rPr>
        <w:t>构建“离岛免税+岛内居民日消品免税+跨境电商”多层次供给格局。联动机票、酒店、景点、会展、演艺协同发力，加快</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免税</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业态深度融合</w:t>
      </w:r>
      <w:r>
        <w:rPr>
          <w:rFonts w:hint="eastAsia"/>
          <w:color w:val="auto"/>
          <w:sz w:val="32"/>
          <w:szCs w:val="32"/>
          <w:highlight w:val="none"/>
          <w:lang w:eastAsia="zh-CN"/>
        </w:rPr>
        <w:t>，</w:t>
      </w:r>
      <w:r>
        <w:rPr>
          <w:rFonts w:hint="eastAsia"/>
          <w:color w:val="auto"/>
          <w:sz w:val="32"/>
          <w:szCs w:val="32"/>
          <w:highlight w:val="none"/>
        </w:rPr>
        <w:t>培育发展免税零售等现代商贸业</w:t>
      </w:r>
      <w:r>
        <w:rPr>
          <w:rFonts w:hint="eastAsia"/>
          <w:color w:val="auto"/>
          <w:sz w:val="32"/>
          <w:szCs w:val="32"/>
          <w:highlight w:val="none"/>
          <w:lang w:eastAsia="zh"/>
        </w:rPr>
        <w:t>。推动免税购物从品类齐全向品牌首发、限量定制升级</w:t>
      </w:r>
      <w:r>
        <w:rPr>
          <w:rFonts w:hint="eastAsia"/>
          <w:color w:val="auto"/>
          <w:sz w:val="32"/>
          <w:szCs w:val="32"/>
          <w:highlight w:val="none"/>
          <w:lang w:eastAsia="zh-CN"/>
        </w:rPr>
        <w:t>，</w:t>
      </w:r>
      <w:r>
        <w:rPr>
          <w:rFonts w:hint="eastAsia"/>
          <w:color w:val="auto"/>
          <w:sz w:val="32"/>
          <w:szCs w:val="32"/>
          <w:highlight w:val="none"/>
          <w:lang w:eastAsia="zh"/>
        </w:rPr>
        <w:t>鼓励和支持国内品牌</w:t>
      </w:r>
      <w:r>
        <w:rPr>
          <w:rFonts w:hint="eastAsia"/>
          <w:color w:val="auto"/>
          <w:sz w:val="32"/>
          <w:szCs w:val="32"/>
          <w:highlight w:val="none"/>
          <w:lang w:eastAsia="zh-CN"/>
        </w:rPr>
        <w:t>，</w:t>
      </w:r>
      <w:r>
        <w:rPr>
          <w:rFonts w:hint="eastAsia"/>
          <w:color w:val="auto"/>
          <w:sz w:val="32"/>
          <w:szCs w:val="32"/>
          <w:highlight w:val="none"/>
          <w:lang w:eastAsia="zh"/>
        </w:rPr>
        <w:t>尤其是海南本地特色品牌入驻免税店。推动高端医疗消费，引进国际知名医疗机构与专业人才，培育健康管理、康复医学等优势专科。扩大教育服务消费，持续招引境外优质教育资源，搭建教育开放合作平台，支持境外理工农医类高水平大学、职业院校在三亚办学。</w:t>
      </w:r>
    </w:p>
    <w:p>
      <w:pPr>
        <w:pStyle w:val="31"/>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lang w:eastAsia="zh"/>
        </w:rPr>
        <w:t>大力提振消费。</w:t>
      </w:r>
      <w:r>
        <w:rPr>
          <w:rFonts w:hint="eastAsia"/>
          <w:color w:val="auto"/>
          <w:sz w:val="32"/>
          <w:szCs w:val="32"/>
          <w:highlight w:val="none"/>
          <w:lang w:eastAsia="zh"/>
        </w:rPr>
        <w:t>用好国内国外两大市场，培育壮大新型消费、数字消费、体验消费</w:t>
      </w:r>
      <w:r>
        <w:rPr>
          <w:rFonts w:hint="eastAsia"/>
          <w:color w:val="auto"/>
          <w:sz w:val="32"/>
          <w:szCs w:val="32"/>
          <w:highlight w:val="none"/>
          <w:lang w:eastAsia="zh-CN"/>
        </w:rPr>
        <w:t>、</w:t>
      </w:r>
      <w:r>
        <w:rPr>
          <w:rFonts w:hint="eastAsia"/>
          <w:color w:val="auto"/>
          <w:sz w:val="32"/>
          <w:szCs w:val="32"/>
          <w:highlight w:val="none"/>
          <w:lang w:eastAsia="zh"/>
        </w:rPr>
        <w:t>改善性消费，倡导绿色消费与公共消费。</w:t>
      </w:r>
      <w:r>
        <w:rPr>
          <w:rFonts w:hint="eastAsia"/>
          <w:color w:val="auto"/>
          <w:sz w:val="32"/>
          <w:szCs w:val="32"/>
          <w:highlight w:val="none"/>
          <w:lang w:eastAsia="zh-CN"/>
        </w:rPr>
        <w:t>拓展网络零售新业态，</w:t>
      </w:r>
      <w:r>
        <w:rPr>
          <w:rFonts w:hint="eastAsia"/>
          <w:color w:val="auto"/>
          <w:sz w:val="32"/>
          <w:szCs w:val="32"/>
          <w:highlight w:val="none"/>
          <w:lang w:eastAsia="zh"/>
        </w:rPr>
        <w:t>深入实施提振消费专项行动。以放宽准入、业态融合为重点扩大服务消费，强化品牌引领、标准升级、新技术应用，推动商品消费扩容升级，打造一批带动面广、显示度高的消费新场景</w:t>
      </w:r>
      <w:bookmarkStart w:id="1003" w:name="_GoBack"/>
      <w:bookmarkEnd w:id="1003"/>
      <w:r>
        <w:rPr>
          <w:rFonts w:hint="eastAsia"/>
          <w:color w:val="auto"/>
          <w:sz w:val="32"/>
          <w:szCs w:val="32"/>
          <w:highlight w:val="none"/>
          <w:lang w:eastAsia="zh"/>
        </w:rPr>
        <w:t>。加快建设太古里、超级万象城等一批文旅综合体，大力发展夜间经济、</w:t>
      </w:r>
      <w:r>
        <w:rPr>
          <w:rFonts w:hint="eastAsia"/>
          <w:color w:val="auto"/>
          <w:sz w:val="32"/>
          <w:szCs w:val="32"/>
          <w:highlight w:val="none"/>
          <w:lang w:eastAsia="zh-CN"/>
        </w:rPr>
        <w:t>谷子经济、</w:t>
      </w:r>
      <w:r>
        <w:rPr>
          <w:rFonts w:hint="eastAsia"/>
          <w:color w:val="auto"/>
          <w:sz w:val="32"/>
          <w:szCs w:val="32"/>
          <w:highlight w:val="none"/>
          <w:lang w:eastAsia="zh"/>
        </w:rPr>
        <w:t>即时</w:t>
      </w:r>
      <w:r>
        <w:rPr>
          <w:rFonts w:hint="eastAsia"/>
          <w:color w:val="auto"/>
          <w:sz w:val="32"/>
          <w:szCs w:val="32"/>
          <w:highlight w:val="none"/>
          <w:lang w:eastAsia="zh-CN"/>
        </w:rPr>
        <w:t>经济</w:t>
      </w:r>
      <w:r>
        <w:rPr>
          <w:rFonts w:hint="eastAsia"/>
          <w:color w:val="auto"/>
          <w:sz w:val="32"/>
          <w:szCs w:val="32"/>
          <w:highlight w:val="none"/>
          <w:lang w:eastAsia="zh"/>
        </w:rPr>
        <w:t>，引进首发、首秀、首展、首店、首品等</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首发经济</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，拓展节庆、赛事、展会、国货</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潮品</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CN"/>
        </w:rPr>
        <w:t>、高端奢侈品</w:t>
      </w:r>
      <w:r>
        <w:rPr>
          <w:rFonts w:hint="eastAsia"/>
          <w:color w:val="auto"/>
          <w:sz w:val="32"/>
          <w:szCs w:val="32"/>
          <w:highlight w:val="none"/>
          <w:lang w:eastAsia="zh"/>
        </w:rPr>
        <w:t>等消费新场景，开展时尚消费品牌创新行动。</w:t>
      </w:r>
      <w:r>
        <w:rPr>
          <w:rFonts w:hint="eastAsia"/>
          <w:color w:val="auto"/>
          <w:sz w:val="32"/>
          <w:szCs w:val="32"/>
          <w:highlight w:val="none"/>
          <w:lang w:eastAsia="zh-CN"/>
        </w:rPr>
        <w:t>构建多层次</w:t>
      </w:r>
      <w:r>
        <w:rPr>
          <w:rFonts w:hint="eastAsia"/>
          <w:color w:val="auto"/>
          <w:sz w:val="32"/>
          <w:szCs w:val="32"/>
          <w:highlight w:val="none"/>
          <w:lang w:eastAsia="zh"/>
        </w:rPr>
        <w:t>商圈</w:t>
      </w:r>
      <w:r>
        <w:rPr>
          <w:rFonts w:hint="eastAsia"/>
          <w:color w:val="auto"/>
          <w:sz w:val="32"/>
          <w:szCs w:val="32"/>
          <w:highlight w:val="none"/>
          <w:lang w:eastAsia="zh-CN"/>
        </w:rPr>
        <w:t>体系</w:t>
      </w:r>
      <w:r>
        <w:rPr>
          <w:rFonts w:hint="eastAsia"/>
          <w:color w:val="auto"/>
          <w:sz w:val="32"/>
          <w:szCs w:val="32"/>
          <w:highlight w:val="none"/>
          <w:lang w:eastAsia="zh"/>
        </w:rPr>
        <w:t>，</w:t>
      </w:r>
      <w:r>
        <w:rPr>
          <w:rFonts w:hint="eastAsia"/>
          <w:color w:val="auto"/>
          <w:sz w:val="32"/>
          <w:szCs w:val="32"/>
          <w:highlight w:val="none"/>
          <w:lang w:val="en-US" w:eastAsia="zh"/>
        </w:rPr>
        <w:t>发展特色商业街区</w:t>
      </w:r>
      <w:r>
        <w:rPr>
          <w:rFonts w:hint="eastAsia"/>
          <w:color w:val="auto"/>
          <w:sz w:val="32"/>
          <w:szCs w:val="32"/>
          <w:highlight w:val="none"/>
          <w:lang w:val="en-US" w:eastAsia="zh-CN"/>
        </w:rPr>
        <w:t>，</w:t>
      </w:r>
      <w:r>
        <w:rPr>
          <w:rFonts w:hint="eastAsia"/>
          <w:color w:val="auto"/>
          <w:sz w:val="32"/>
          <w:szCs w:val="32"/>
          <w:highlight w:val="none"/>
          <w:lang w:eastAsia="zh"/>
        </w:rPr>
        <w:t>推动解放路、胜利路等商圈业态升级</w:t>
      </w:r>
      <w:r>
        <w:rPr>
          <w:rFonts w:hint="eastAsia"/>
          <w:color w:val="auto"/>
          <w:sz w:val="32"/>
          <w:szCs w:val="32"/>
          <w:highlight w:val="none"/>
          <w:lang w:eastAsia="zh-CN"/>
        </w:rPr>
        <w:t>。</w:t>
      </w:r>
      <w:r>
        <w:rPr>
          <w:rFonts w:hint="eastAsia"/>
          <w:color w:val="auto"/>
          <w:sz w:val="32"/>
          <w:szCs w:val="32"/>
          <w:highlight w:val="none"/>
          <w:lang w:eastAsia="zh"/>
        </w:rPr>
        <w:t>健全市、区、村三级商业体系，释放乡村消费潜力。落实休息休假制度，扩大节假日消费。强化消费者权益保护，健全消费争议多元化解机制。</w:t>
      </w:r>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lang w:eastAsia="zh"/>
        </w:rPr>
      </w:pPr>
      <w:r>
        <w:rPr>
          <w:rFonts w:hint="eastAsia"/>
          <w:b/>
          <w:bCs/>
          <w:color w:val="auto"/>
          <w:sz w:val="32"/>
          <w:szCs w:val="32"/>
          <w:highlight w:val="none"/>
          <w:lang w:eastAsia="zh"/>
        </w:rPr>
        <w:t>扩大有效投资。</w:t>
      </w:r>
      <w:r>
        <w:rPr>
          <w:rFonts w:hint="eastAsia"/>
          <w:color w:val="auto"/>
          <w:sz w:val="32"/>
          <w:szCs w:val="32"/>
          <w:highlight w:val="none"/>
          <w:lang w:eastAsia="zh-CN"/>
        </w:rPr>
        <w:t>坚持</w:t>
      </w:r>
      <w:r>
        <w:rPr>
          <w:rFonts w:hint="eastAsia" w:ascii="Times New Roman" w:hAnsi="Times New Roman" w:eastAsia="仿宋_GB2312" w:cs="Times New Roman"/>
          <w:i w:val="0"/>
          <w:caps w:val="0"/>
          <w:color w:val="auto"/>
          <w:spacing w:val="0"/>
          <w:kern w:val="0"/>
          <w:sz w:val="32"/>
          <w:szCs w:val="32"/>
          <w:highlight w:val="none"/>
          <w:u w:val="none" w:color="auto"/>
          <w:shd w:val="clear" w:color="auto" w:fill="auto"/>
          <w:lang w:val="en-US" w:eastAsia="zh-CN" w:bidi="ar"/>
        </w:rPr>
        <w:t>投资于物和投资于人</w:t>
      </w:r>
      <w:r>
        <w:rPr>
          <w:rFonts w:hint="eastAsia" w:ascii="Times New Roman" w:hAnsi="Times New Roman" w:cs="Times New Roman"/>
          <w:i w:val="0"/>
          <w:caps w:val="0"/>
          <w:color w:val="auto"/>
          <w:spacing w:val="0"/>
          <w:kern w:val="0"/>
          <w:sz w:val="32"/>
          <w:szCs w:val="32"/>
          <w:highlight w:val="none"/>
          <w:u w:val="none" w:color="auto"/>
          <w:shd w:val="clear" w:color="auto" w:fill="auto"/>
          <w:lang w:val="en-US" w:eastAsia="zh-CN" w:bidi="ar"/>
        </w:rPr>
        <w:t>相结合，</w:t>
      </w:r>
      <w:r>
        <w:rPr>
          <w:rFonts w:hint="eastAsia"/>
          <w:color w:val="auto"/>
          <w:sz w:val="32"/>
          <w:szCs w:val="32"/>
          <w:highlight w:val="none"/>
          <w:lang w:eastAsia="zh"/>
        </w:rPr>
        <w:t>深化投融资体制改革，优化政府投资结构和方向，提高民生类政府投资比重，加大重点领域补短板力度，推进国家重大战略项目与重点领域安全能力建设。适应人口结构变化和流动趋势，完善基础设施和公共服务设施布局，加强人力资源开发和人的全面发展投资。</w:t>
      </w:r>
      <w:r>
        <w:rPr>
          <w:rFonts w:hint="eastAsia"/>
          <w:color w:val="auto"/>
          <w:sz w:val="32"/>
          <w:szCs w:val="32"/>
          <w:highlight w:val="none"/>
          <w:lang w:eastAsia="zh-CN"/>
        </w:rPr>
        <w:t>用足</w:t>
      </w:r>
      <w:r>
        <w:rPr>
          <w:rFonts w:hint="eastAsia"/>
          <w:color w:val="auto"/>
          <w:sz w:val="32"/>
          <w:szCs w:val="32"/>
          <w:highlight w:val="none"/>
          <w:lang w:eastAsia="zh"/>
        </w:rPr>
        <w:t>用好中央预算内投资、超长期特别国债</w:t>
      </w:r>
      <w:r>
        <w:rPr>
          <w:rFonts w:hint="eastAsia"/>
          <w:color w:val="auto"/>
          <w:sz w:val="32"/>
          <w:szCs w:val="32"/>
          <w:highlight w:val="none"/>
          <w:lang w:eastAsia="zh-CN"/>
        </w:rPr>
        <w:t>、地方政府专项债券</w:t>
      </w:r>
      <w:r>
        <w:rPr>
          <w:rFonts w:hint="eastAsia"/>
          <w:color w:val="auto"/>
          <w:sz w:val="32"/>
          <w:szCs w:val="32"/>
          <w:highlight w:val="none"/>
          <w:lang w:eastAsia="zh"/>
        </w:rPr>
        <w:t>等政策性资金，加大旅游</w:t>
      </w:r>
      <w:r>
        <w:rPr>
          <w:rFonts w:hint="eastAsia"/>
          <w:color w:val="auto"/>
          <w:sz w:val="32"/>
          <w:szCs w:val="32"/>
          <w:highlight w:val="none"/>
          <w:lang w:eastAsia="zh-CN"/>
        </w:rPr>
        <w:t>、</w:t>
      </w:r>
      <w:r>
        <w:rPr>
          <w:rFonts w:hint="eastAsia"/>
          <w:color w:val="auto"/>
          <w:sz w:val="32"/>
          <w:szCs w:val="32"/>
          <w:highlight w:val="none"/>
          <w:lang w:eastAsia="zh"/>
        </w:rPr>
        <w:t>消费等关联领域有效投资。引导设立股权投资、创业投资</w:t>
      </w:r>
      <w:r>
        <w:rPr>
          <w:rFonts w:hint="eastAsia"/>
          <w:color w:val="auto"/>
          <w:sz w:val="32"/>
          <w:szCs w:val="32"/>
          <w:highlight w:val="none"/>
          <w:lang w:eastAsia="zh-CN"/>
        </w:rPr>
        <w:t>，聚合投入种业、深海等优势产业。</w:t>
      </w:r>
      <w:r>
        <w:rPr>
          <w:rFonts w:hint="eastAsia"/>
          <w:color w:val="auto"/>
          <w:sz w:val="32"/>
          <w:szCs w:val="32"/>
          <w:highlight w:val="none"/>
          <w:lang w:eastAsia="zh"/>
        </w:rPr>
        <w:t>聚焦早、小、长期、硬科技领域，提升基金运作水平，形成消费与投资良性循环。常态化向民间资本推介优质项目，规范政府与社会资本合作。发挥政府投资对社会投资的撬动作用，激发民间投资活力、提高民间投资比重，增强市场主导的有效投资增长动力。实施投融资能力提升专项行动，健全项目盯引、储备、开工、在建、竣工</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五张清单</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工作机制，完善</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投融建运管退</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一体化推进体系，提高项目全生命周期服务能力。强化招商引资，围绕产业规划和区域布局，构建</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链长</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链主</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链创</w:t>
      </w:r>
      <w:r>
        <w:rPr>
          <w:rFonts w:hint="eastAsia" w:ascii="仿宋_GB2312" w:hAnsi="仿宋_GB2312" w:eastAsia="仿宋_GB2312" w:cs="仿宋_GB2312"/>
          <w:color w:val="auto"/>
          <w:sz w:val="32"/>
          <w:szCs w:val="32"/>
          <w:highlight w:val="none"/>
          <w:lang w:eastAsia="zh"/>
        </w:rPr>
        <w:t>”</w:t>
      </w:r>
      <w:r>
        <w:rPr>
          <w:rFonts w:hint="eastAsia"/>
          <w:color w:val="auto"/>
          <w:sz w:val="32"/>
          <w:szCs w:val="32"/>
          <w:highlight w:val="none"/>
          <w:lang w:eastAsia="zh"/>
        </w:rPr>
        <w:t>，开展以商招商、以院所招商、以基金招商和以应用场景招商，提升招商引资质效。</w:t>
      </w:r>
    </w:p>
    <w:p>
      <w:pPr>
        <w:pStyle w:val="31"/>
        <w:pageBreakBefore w:val="0"/>
        <w:widowControl w:val="0"/>
        <w:shd w:val="clear"/>
        <w:kinsoku/>
        <w:wordWrap/>
        <w:overflowPunct/>
        <w:topLinePunct w:val="0"/>
        <w:autoSpaceDE/>
        <w:autoSpaceDN/>
        <w:bidi w:val="0"/>
        <w:adjustRightInd w:val="0"/>
        <w:snapToGrid w:val="0"/>
        <w:spacing w:line="576" w:lineRule="exact"/>
        <w:textAlignment w:val="auto"/>
        <w:rPr>
          <w:rFonts w:hint="eastAsia"/>
          <w:color w:val="auto"/>
          <w:sz w:val="32"/>
          <w:szCs w:val="32"/>
          <w:highlight w:val="none"/>
          <w:lang w:eastAsia="zh"/>
        </w:rPr>
      </w:pPr>
    </w:p>
    <w:bookmarkEnd w:id="314"/>
    <w:p>
      <w:pPr>
        <w:pStyle w:val="31"/>
        <w:rPr>
          <w:rFonts w:hint="eastAsia"/>
          <w:color w:val="auto"/>
          <w:sz w:val="32"/>
          <w:szCs w:val="32"/>
          <w:highlight w:val="none"/>
          <w:lang w:eastAsia="zh"/>
        </w:rPr>
      </w:pPr>
      <w:bookmarkStart w:id="364" w:name="_Toc1716289950"/>
      <w:bookmarkStart w:id="365" w:name="_Toc5417"/>
      <w:bookmarkStart w:id="366" w:name="_Toc213447253"/>
      <w:bookmarkStart w:id="367" w:name="_Toc2052139532"/>
      <w:bookmarkStart w:id="368" w:name="_Toc1491023685"/>
      <w:bookmarkStart w:id="369" w:name="_Toc436386968"/>
      <w:bookmarkStart w:id="370" w:name="_Toc2031140189"/>
      <w:bookmarkStart w:id="371" w:name="_Toc846585059"/>
      <w:bookmarkStart w:id="372" w:name="_Toc1986163474"/>
      <w:bookmarkStart w:id="373" w:name="_Toc392733630"/>
      <w:bookmarkStart w:id="374" w:name="_Hlk213138815"/>
      <w:bookmarkStart w:id="375" w:name="_Toc1657033833"/>
      <w:bookmarkStart w:id="376" w:name="_Toc1319986123"/>
      <w:bookmarkStart w:id="377" w:name="_Toc564838929"/>
      <w:bookmarkStart w:id="378" w:name="_Toc173249835"/>
      <w:bookmarkStart w:id="379" w:name="_Toc13265"/>
      <w:bookmarkStart w:id="380" w:name="_Toc211979434"/>
      <w:bookmarkStart w:id="381" w:name="_Toc874982019"/>
    </w:p>
    <w:p>
      <w:pPr>
        <w:pStyle w:val="31"/>
        <w:rPr>
          <w:rFonts w:hint="eastAsia"/>
          <w:color w:val="auto"/>
          <w:sz w:val="32"/>
          <w:szCs w:val="32"/>
          <w:highlight w:val="none"/>
          <w:lang w:eastAsia="zh"/>
        </w:rPr>
      </w:pPr>
    </w:p>
    <w:p>
      <w:pPr>
        <w:pStyle w:val="31"/>
        <w:rPr>
          <w:rFonts w:hint="eastAsia"/>
          <w:color w:val="auto"/>
          <w:sz w:val="32"/>
          <w:szCs w:val="32"/>
          <w:highlight w:val="none"/>
          <w:lang w:eastAsia="zh"/>
        </w:rPr>
      </w:pPr>
    </w:p>
    <w:p>
      <w:pPr>
        <w:pStyle w:val="31"/>
        <w:rPr>
          <w:rFonts w:hint="eastAsia"/>
          <w:color w:val="auto"/>
          <w:sz w:val="32"/>
          <w:szCs w:val="32"/>
          <w:highlight w:val="none"/>
          <w:lang w:eastAsia="zh"/>
        </w:rPr>
      </w:pPr>
    </w:p>
    <w:p>
      <w:pPr>
        <w:pStyle w:val="31"/>
        <w:rPr>
          <w:rFonts w:hint="eastAsia"/>
          <w:color w:val="auto"/>
          <w:sz w:val="32"/>
          <w:szCs w:val="32"/>
          <w:highlight w:val="none"/>
          <w:lang w:eastAsia="zh"/>
        </w:rPr>
      </w:pPr>
    </w:p>
    <w:p>
      <w:pPr>
        <w:pStyle w:val="31"/>
        <w:rPr>
          <w:rFonts w:hint="eastAsia"/>
          <w:color w:val="auto"/>
          <w:sz w:val="32"/>
          <w:szCs w:val="32"/>
          <w:highlight w:val="none"/>
          <w:lang w:eastAsia="zh"/>
        </w:rPr>
      </w:pPr>
    </w:p>
    <w:p>
      <w:pPr>
        <w:pStyle w:val="31"/>
        <w:adjustRightInd w:val="0"/>
        <w:snapToGrid w:val="0"/>
        <w:spacing w:line="576" w:lineRule="exact"/>
        <w:rPr>
          <w:rFonts w:hint="eastAsia"/>
          <w:color w:val="auto"/>
          <w:sz w:val="32"/>
          <w:szCs w:val="32"/>
          <w:highlight w:val="none"/>
          <w:lang w:eastAsia="zh"/>
        </w:rPr>
      </w:pPr>
    </w:p>
    <w:p>
      <w:pPr>
        <w:pStyle w:val="3"/>
        <w:pageBreakBefore w:val="0"/>
        <w:widowControl w:val="0"/>
        <w:shd w:val="clear"/>
        <w:kinsoku/>
        <w:wordWrap/>
        <w:overflowPunct/>
        <w:topLinePunct w:val="0"/>
        <w:autoSpaceDE/>
        <w:autoSpaceDN/>
        <w:bidi w:val="0"/>
        <w:adjustRightInd w:val="0"/>
        <w:snapToGrid w:val="0"/>
        <w:spacing w:line="576" w:lineRule="exact"/>
        <w:jc w:val="both"/>
        <w:textAlignment w:val="auto"/>
        <w:rPr>
          <w:rFonts w:hint="eastAsia"/>
          <w:color w:val="auto"/>
          <w:sz w:val="32"/>
          <w:szCs w:val="32"/>
          <w:highlight w:val="none"/>
        </w:rPr>
      </w:pPr>
    </w:p>
    <w:p>
      <w:pPr>
        <w:pStyle w:val="3"/>
        <w:pageBreakBefore w:val="0"/>
        <w:widowControl w:val="0"/>
        <w:shd w:val="clear"/>
        <w:kinsoku/>
        <w:wordWrap/>
        <w:overflowPunct/>
        <w:topLinePunct w:val="0"/>
        <w:autoSpaceDE/>
        <w:autoSpaceDN/>
        <w:bidi w:val="0"/>
        <w:adjustRightInd w:val="0"/>
        <w:snapToGrid w:val="0"/>
        <w:spacing w:line="576" w:lineRule="exact"/>
        <w:jc w:val="both"/>
        <w:textAlignment w:val="auto"/>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sz w:val="40"/>
          <w:szCs w:val="40"/>
          <w:highlight w:val="none"/>
        </w:rPr>
        <w:t>第六章  打造全国种业深海科技产业创新示范区</w:t>
      </w:r>
      <w:bookmarkEnd w:id="364"/>
      <w:bookmarkEnd w:id="365"/>
      <w:bookmarkEnd w:id="366"/>
      <w:bookmarkEnd w:id="367"/>
      <w:bookmarkEnd w:id="368"/>
      <w:bookmarkEnd w:id="369"/>
      <w:bookmarkEnd w:id="370"/>
      <w:bookmarkEnd w:id="371"/>
      <w:bookmarkEnd w:id="372"/>
      <w:bookmarkEnd w:id="373"/>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ascii="方正小标宋简体" w:hAnsi="方正小标宋简体" w:eastAsia="方正小标宋简体" w:cs="方正小标宋简体"/>
          <w:color w:val="auto"/>
          <w:sz w:val="40"/>
          <w:szCs w:val="40"/>
          <w:highlight w:val="none"/>
        </w:rPr>
      </w:pPr>
      <w:bookmarkStart w:id="382" w:name="_Toc1503439400"/>
      <w:bookmarkStart w:id="383" w:name="_Toc418465836"/>
      <w:bookmarkStart w:id="384" w:name="_Toc2038971421"/>
      <w:bookmarkStart w:id="385" w:name="_Toc950813973"/>
      <w:bookmarkStart w:id="386" w:name="_Toc3189"/>
      <w:bookmarkStart w:id="387" w:name="_Toc658956608"/>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ascii="方正小标宋简体" w:hAnsi="方正小标宋简体" w:eastAsia="方正小标宋简体" w:cs="方正小标宋简体"/>
          <w:color w:val="auto"/>
          <w:sz w:val="40"/>
          <w:szCs w:val="40"/>
          <w:highlight w:val="none"/>
        </w:rPr>
      </w:pPr>
    </w:p>
    <w:p>
      <w:pPr>
        <w:pStyle w:val="31"/>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color w:val="auto"/>
          <w:sz w:val="32"/>
          <w:szCs w:val="32"/>
          <w:highlight w:val="none"/>
        </w:rPr>
        <w:t>深入实施创新驱动发展战略，勇担国家重大战略使命责任，集聚优质创新资源，突破性发展种业、深海科技创新和产业创新，加速做大做强做优种业深海产业，统筹教育强市、科技强市、人才强市建设，打造全国种业深海科技产业创新示范区。</w:t>
      </w:r>
    </w:p>
    <w:p>
      <w:pPr>
        <w:pStyle w:val="4"/>
        <w:pageBreakBefore w:val="0"/>
        <w:widowControl w:val="0"/>
        <w:shd w:val="clear"/>
        <w:kinsoku/>
        <w:wordWrap/>
        <w:overflowPunct/>
        <w:topLinePunct w:val="0"/>
        <w:autoSpaceDE/>
        <w:autoSpaceDN/>
        <w:bidi w:val="0"/>
        <w:adjustRightInd w:val="0"/>
        <w:snapToGrid w:val="0"/>
        <w:spacing w:line="576" w:lineRule="exact"/>
        <w:ind w:left="0" w:leftChars="0" w:firstLine="0" w:firstLineChars="0"/>
        <w:textAlignment w:val="auto"/>
        <w:rPr>
          <w:rFonts w:hint="eastAsia"/>
          <w:color w:val="auto"/>
          <w:sz w:val="32"/>
          <w:szCs w:val="32"/>
          <w:highlight w:val="none"/>
        </w:rPr>
      </w:pPr>
      <w:bookmarkStart w:id="388" w:name="_Toc1487883762"/>
      <w:bookmarkStart w:id="389" w:name="_Toc15984"/>
      <w:bookmarkStart w:id="390" w:name="_Toc2032706388"/>
      <w:bookmarkStart w:id="391" w:name="_Toc213447254"/>
      <w:bookmarkStart w:id="392" w:name="_Toc1296073691"/>
      <w:bookmarkStart w:id="393" w:name="_Toc848183103"/>
      <w:bookmarkStart w:id="394" w:name="_Toc271066480"/>
      <w:bookmarkStart w:id="395" w:name="_Toc1811486450"/>
      <w:bookmarkStart w:id="396" w:name="_Toc1127941477"/>
      <w:bookmarkStart w:id="397" w:name="_Toc1512333976"/>
    </w:p>
    <w:p>
      <w:pPr>
        <w:pStyle w:val="4"/>
        <w:pageBreakBefore w:val="0"/>
        <w:widowControl w:val="0"/>
        <w:shd w:val="clear"/>
        <w:kinsoku/>
        <w:wordWrap/>
        <w:overflowPunct/>
        <w:topLinePunct w:val="0"/>
        <w:autoSpaceDE/>
        <w:autoSpaceDN/>
        <w:bidi w:val="0"/>
        <w:adjustRightInd w:val="0"/>
        <w:snapToGrid w:val="0"/>
        <w:spacing w:line="576"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第一节  深入实施种业振兴战略</w:t>
      </w:r>
      <w:bookmarkEnd w:id="388"/>
      <w:bookmarkEnd w:id="389"/>
      <w:bookmarkEnd w:id="390"/>
      <w:bookmarkEnd w:id="391"/>
      <w:bookmarkEnd w:id="392"/>
      <w:bookmarkEnd w:id="393"/>
      <w:bookmarkEnd w:id="394"/>
      <w:bookmarkEnd w:id="395"/>
      <w:bookmarkEnd w:id="396"/>
      <w:bookmarkEnd w:id="397"/>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r>
        <w:rPr>
          <w:rFonts w:hint="eastAsia"/>
          <w:b/>
          <w:bCs/>
          <w:color w:val="auto"/>
          <w:sz w:val="32"/>
          <w:szCs w:val="32"/>
          <w:highlight w:val="none"/>
        </w:rPr>
        <w:t>打造种业科技创新策源地。</w:t>
      </w:r>
      <w:r>
        <w:rPr>
          <w:rFonts w:hint="eastAsia"/>
          <w:color w:val="auto"/>
          <w:sz w:val="32"/>
          <w:szCs w:val="32"/>
          <w:highlight w:val="none"/>
        </w:rPr>
        <w:t>坚持</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向种图强</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lang w:eastAsia="zh-CN"/>
        </w:rPr>
        <w:t>，</w:t>
      </w:r>
      <w:r>
        <w:rPr>
          <w:rFonts w:hint="eastAsia"/>
          <w:color w:val="auto"/>
          <w:sz w:val="32"/>
          <w:szCs w:val="32"/>
          <w:highlight w:val="none"/>
        </w:rPr>
        <w:t>加快推进</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南繁硅谷</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建设，提升种业创新质量和速度。</w:t>
      </w:r>
      <w:r>
        <w:rPr>
          <w:color w:val="auto"/>
          <w:sz w:val="32"/>
          <w:szCs w:val="32"/>
          <w:highlight w:val="none"/>
        </w:rPr>
        <w:t>全力保障崖州湾实验室高质量建设运行，加快国家热带农业科学中心综合实验室、国家植物品种测试三亚中心等重大平台项目建成投用，</w:t>
      </w:r>
      <w:r>
        <w:rPr>
          <w:rFonts w:hint="eastAsia" w:cs="宋体"/>
          <w:color w:val="auto"/>
          <w:sz w:val="32"/>
          <w:szCs w:val="32"/>
          <w:highlight w:val="none"/>
        </w:rPr>
        <w:t>推动</w:t>
      </w:r>
      <w:r>
        <w:rPr>
          <w:rFonts w:cs="宋体"/>
          <w:color w:val="auto"/>
          <w:sz w:val="32"/>
          <w:szCs w:val="32"/>
          <w:highlight w:val="none"/>
        </w:rPr>
        <w:t>国家精准设计育种中心、种业创新实验室等平台高质量</w:t>
      </w:r>
      <w:r>
        <w:rPr>
          <w:rFonts w:hint="eastAsia" w:cs="宋体"/>
          <w:color w:val="auto"/>
          <w:sz w:val="32"/>
          <w:szCs w:val="32"/>
          <w:highlight w:val="none"/>
          <w:lang w:val="en-US" w:eastAsia="zh-CN"/>
        </w:rPr>
        <w:t>运行</w:t>
      </w:r>
      <w:r>
        <w:rPr>
          <w:color w:val="auto"/>
          <w:sz w:val="32"/>
          <w:szCs w:val="32"/>
          <w:highlight w:val="none"/>
        </w:rPr>
        <w:t>。</w:t>
      </w:r>
      <w:r>
        <w:rPr>
          <w:rFonts w:hint="eastAsia"/>
          <w:color w:val="auto"/>
          <w:sz w:val="32"/>
          <w:szCs w:val="32"/>
          <w:highlight w:val="none"/>
        </w:rPr>
        <w:t>强化高产稳产、多抗广适和优质专用品种选育，构建</w:t>
      </w:r>
      <w:r>
        <w:rPr>
          <w:color w:val="auto"/>
          <w:sz w:val="32"/>
          <w:szCs w:val="32"/>
          <w:highlight w:val="none"/>
        </w:rPr>
        <w:t>“</w:t>
      </w:r>
      <w:r>
        <w:rPr>
          <w:rFonts w:hint="eastAsia"/>
          <w:color w:val="auto"/>
          <w:sz w:val="32"/>
          <w:szCs w:val="32"/>
          <w:highlight w:val="none"/>
        </w:rPr>
        <w:t>主粮保障</w:t>
      </w:r>
      <w:r>
        <w:rPr>
          <w:color w:val="auto"/>
          <w:sz w:val="32"/>
          <w:szCs w:val="32"/>
          <w:highlight w:val="none"/>
        </w:rPr>
        <w:t>—</w:t>
      </w:r>
      <w:r>
        <w:rPr>
          <w:rFonts w:hint="eastAsia"/>
          <w:color w:val="auto"/>
          <w:sz w:val="32"/>
          <w:szCs w:val="32"/>
          <w:highlight w:val="none"/>
        </w:rPr>
        <w:t>特色增效</w:t>
      </w:r>
      <w:r>
        <w:rPr>
          <w:color w:val="auto"/>
          <w:sz w:val="32"/>
          <w:szCs w:val="32"/>
          <w:highlight w:val="none"/>
        </w:rPr>
        <w:t>—</w:t>
      </w:r>
      <w:r>
        <w:rPr>
          <w:rFonts w:hint="eastAsia"/>
          <w:color w:val="auto"/>
          <w:sz w:val="32"/>
          <w:szCs w:val="32"/>
          <w:highlight w:val="none"/>
        </w:rPr>
        <w:t>多元供给</w:t>
      </w:r>
      <w:r>
        <w:rPr>
          <w:color w:val="auto"/>
          <w:sz w:val="32"/>
          <w:szCs w:val="32"/>
          <w:highlight w:val="none"/>
        </w:rPr>
        <w:t>”</w:t>
      </w:r>
      <w:r>
        <w:rPr>
          <w:rFonts w:hint="eastAsia"/>
          <w:color w:val="auto"/>
          <w:sz w:val="32"/>
          <w:szCs w:val="32"/>
          <w:highlight w:val="none"/>
        </w:rPr>
        <w:t>协同发展的品种创新体系。加强南繁科研育种基地建设，</w:t>
      </w:r>
      <w:r>
        <w:rPr>
          <w:color w:val="auto"/>
          <w:sz w:val="32"/>
          <w:szCs w:val="32"/>
          <w:highlight w:val="none"/>
        </w:rPr>
        <w:t>推进科研设施、育种基地、测试网络和长期观测系统的集成运行，提升智慧育种和精准育种能力。</w:t>
      </w:r>
      <w:r>
        <w:rPr>
          <w:rFonts w:hint="eastAsia"/>
          <w:color w:val="auto"/>
          <w:sz w:val="32"/>
          <w:szCs w:val="32"/>
          <w:highlight w:val="none"/>
        </w:rPr>
        <w:t>推动三亚由传统</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育种基地</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向</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种业高地</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转型。</w:t>
      </w:r>
    </w:p>
    <w:p>
      <w:pPr>
        <w:pStyle w:val="31"/>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rPr>
        <w:t>加快构建</w:t>
      </w:r>
      <w:r>
        <w:rPr>
          <w:rFonts w:hint="eastAsia" w:ascii="仿宋_GB2312" w:hAnsi="仿宋_GB2312" w:eastAsia="仿宋_GB2312" w:cs="仿宋_GB2312"/>
          <w:b/>
          <w:bCs/>
          <w:color w:val="auto"/>
          <w:sz w:val="32"/>
          <w:szCs w:val="32"/>
          <w:highlight w:val="none"/>
        </w:rPr>
        <w:t>“</w:t>
      </w:r>
      <w:r>
        <w:rPr>
          <w:rFonts w:hint="eastAsia"/>
          <w:b/>
          <w:bCs/>
          <w:color w:val="auto"/>
          <w:sz w:val="32"/>
          <w:szCs w:val="32"/>
          <w:highlight w:val="none"/>
        </w:rPr>
        <w:t>种源</w:t>
      </w:r>
      <w:r>
        <w:rPr>
          <w:rFonts w:hint="eastAsia" w:ascii="仿宋_GB2312" w:hAnsi="仿宋_GB2312" w:cs="仿宋_GB2312"/>
          <w:b/>
          <w:bCs/>
          <w:color w:val="auto"/>
          <w:sz w:val="32"/>
          <w:szCs w:val="32"/>
          <w:highlight w:val="none"/>
          <w:lang w:eastAsia="zh-CN"/>
        </w:rPr>
        <w:t>—</w:t>
      </w:r>
      <w:r>
        <w:rPr>
          <w:rFonts w:hint="eastAsia"/>
          <w:b/>
          <w:bCs/>
          <w:color w:val="auto"/>
          <w:sz w:val="32"/>
          <w:szCs w:val="32"/>
          <w:highlight w:val="none"/>
        </w:rPr>
        <w:t>种业</w:t>
      </w:r>
      <w:r>
        <w:rPr>
          <w:rFonts w:hint="eastAsia" w:ascii="仿宋_GB2312" w:hAnsi="仿宋_GB2312" w:cs="仿宋_GB2312"/>
          <w:b/>
          <w:bCs/>
          <w:color w:val="auto"/>
          <w:sz w:val="32"/>
          <w:szCs w:val="32"/>
          <w:highlight w:val="none"/>
          <w:lang w:eastAsia="zh-CN"/>
        </w:rPr>
        <w:t>—</w:t>
      </w:r>
      <w:r>
        <w:rPr>
          <w:rFonts w:hint="eastAsia"/>
          <w:b/>
          <w:bCs/>
          <w:color w:val="auto"/>
          <w:sz w:val="32"/>
          <w:szCs w:val="32"/>
          <w:highlight w:val="none"/>
        </w:rPr>
        <w:t>种市</w:t>
      </w:r>
      <w:r>
        <w:rPr>
          <w:rFonts w:hint="eastAsia" w:ascii="仿宋_GB2312" w:hAnsi="仿宋_GB2312" w:eastAsia="仿宋_GB2312" w:cs="仿宋_GB2312"/>
          <w:b/>
          <w:bCs/>
          <w:color w:val="auto"/>
          <w:sz w:val="32"/>
          <w:szCs w:val="32"/>
          <w:highlight w:val="none"/>
        </w:rPr>
        <w:t>”</w:t>
      </w:r>
      <w:r>
        <w:rPr>
          <w:rFonts w:hint="eastAsia"/>
          <w:b/>
          <w:bCs/>
          <w:color w:val="auto"/>
          <w:sz w:val="32"/>
          <w:szCs w:val="32"/>
          <w:highlight w:val="none"/>
        </w:rPr>
        <w:t>协同发展的南繁种业。</w:t>
      </w:r>
      <w:r>
        <w:rPr>
          <w:rFonts w:hint="eastAsia"/>
          <w:color w:val="auto"/>
          <w:sz w:val="32"/>
          <w:szCs w:val="32"/>
          <w:highlight w:val="none"/>
          <w:lang w:val="en-US" w:eastAsia="zh-CN"/>
        </w:rPr>
        <w:t>建立种业“内循环”体系，畅通育种、制种、售种等服务环节，实现“育繁推服”关键环节补链强链。加快推进生物育种与传统育种协同发展，支持基因芯片、新型基因种质资源创制等方向的生物育种产业化项目，强化常规杂交育种等传统育种环节的标准化建设。完善作物、水产苗种和畜禽良种规模化繁育体系，加强良种良苗中试示范基地建设，推动优质品种稳定供给和规模化应用。做强种业CRO服务体系，引进和培育生物技术、高通量检测、精密分析和数智技术等专业化服务主体，构建覆盖育种创新全流程的技术服务网络。延伸布局生物农资、智慧农机和农产品精深加工等关联产业，形成“科研—产业—市场”协同联动的南繁现代种业产业集群。</w:t>
      </w:r>
      <w:r>
        <w:rPr>
          <w:rFonts w:hint="eastAsia"/>
          <w:color w:val="auto"/>
          <w:sz w:val="32"/>
          <w:szCs w:val="32"/>
          <w:highlight w:val="none"/>
        </w:rPr>
        <w:t>到</w:t>
      </w:r>
      <w:r>
        <w:rPr>
          <w:rFonts w:hint="default" w:ascii="Times New Roman" w:hAnsi="Times New Roman" w:cs="Times New Roman"/>
          <w:color w:val="auto"/>
          <w:sz w:val="32"/>
          <w:szCs w:val="32"/>
          <w:highlight w:val="none"/>
        </w:rPr>
        <w:t>2030</w:t>
      </w:r>
      <w:r>
        <w:rPr>
          <w:rFonts w:hint="eastAsia"/>
          <w:color w:val="auto"/>
          <w:sz w:val="32"/>
          <w:szCs w:val="32"/>
          <w:highlight w:val="none"/>
        </w:rPr>
        <w:t>年，力争南繁产业</w:t>
      </w:r>
      <w:r>
        <w:rPr>
          <w:rFonts w:hint="eastAsia"/>
          <w:color w:val="auto"/>
          <w:sz w:val="32"/>
          <w:szCs w:val="32"/>
          <w:highlight w:val="none"/>
          <w:lang w:eastAsia="zh-CN"/>
        </w:rPr>
        <w:t>产值达到</w:t>
      </w:r>
      <w:r>
        <w:rPr>
          <w:rFonts w:hint="eastAsia" w:cs="Times New Roman"/>
          <w:color w:val="auto"/>
          <w:sz w:val="32"/>
          <w:szCs w:val="32"/>
          <w:highlight w:val="none"/>
          <w:lang w:val="en-US" w:eastAsia="zh-CN"/>
        </w:rPr>
        <w:t>150</w:t>
      </w:r>
      <w:r>
        <w:rPr>
          <w:rFonts w:hint="eastAsia"/>
          <w:color w:val="auto"/>
          <w:sz w:val="32"/>
          <w:szCs w:val="32"/>
          <w:highlight w:val="none"/>
        </w:rPr>
        <w:t>亿元。</w:t>
      </w:r>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r>
        <w:rPr>
          <w:rFonts w:hint="eastAsia"/>
          <w:b/>
          <w:bCs/>
          <w:color w:val="auto"/>
          <w:sz w:val="32"/>
          <w:szCs w:val="32"/>
          <w:highlight w:val="none"/>
        </w:rPr>
        <w:t>打造种业开放合作高地。</w:t>
      </w:r>
      <w:r>
        <w:rPr>
          <w:rFonts w:hint="eastAsia"/>
          <w:color w:val="auto"/>
          <w:sz w:val="32"/>
          <w:szCs w:val="32"/>
          <w:highlight w:val="none"/>
        </w:rPr>
        <w:t>构建种业科技成果转化“外循环”模式，</w:t>
      </w:r>
      <w:r>
        <w:rPr>
          <w:rFonts w:hint="eastAsia"/>
          <w:color w:val="auto"/>
          <w:sz w:val="32"/>
          <w:szCs w:val="32"/>
          <w:highlight w:val="none"/>
          <w:lang w:eastAsia="zh-CN"/>
        </w:rPr>
        <w:t>加快建设</w:t>
      </w:r>
      <w:r>
        <w:rPr>
          <w:rFonts w:hint="eastAsia"/>
          <w:color w:val="auto"/>
          <w:sz w:val="32"/>
          <w:szCs w:val="32"/>
          <w:highlight w:val="none"/>
        </w:rPr>
        <w:t>全球动植物种质资源引进中转基地及月亮岛专区，</w:t>
      </w:r>
      <w:r>
        <w:rPr>
          <w:rFonts w:hint="eastAsia"/>
          <w:color w:val="auto"/>
          <w:sz w:val="32"/>
          <w:szCs w:val="32"/>
          <w:highlight w:val="none"/>
          <w:lang w:eastAsia="zh-CN"/>
        </w:rPr>
        <w:t>提升种质资源引进、隔离检疫和成果应用能力</w:t>
      </w:r>
      <w:r>
        <w:rPr>
          <w:rFonts w:hint="eastAsia"/>
          <w:color w:val="auto"/>
          <w:sz w:val="32"/>
          <w:szCs w:val="32"/>
          <w:highlight w:val="none"/>
        </w:rPr>
        <w:t>。</w:t>
      </w:r>
      <w:r>
        <w:rPr>
          <w:rFonts w:hint="default"/>
          <w:color w:val="auto"/>
          <w:sz w:val="32"/>
          <w:szCs w:val="32"/>
          <w:highlight w:val="none"/>
        </w:rPr>
        <w:t>谋划设立热区农业科技创新国际组织，深化在联合研发、品种测试和成果转化等方面的国际合作</w:t>
      </w:r>
      <w:r>
        <w:rPr>
          <w:rFonts w:hint="eastAsia"/>
          <w:color w:val="auto"/>
          <w:sz w:val="32"/>
          <w:szCs w:val="32"/>
          <w:highlight w:val="none"/>
        </w:rPr>
        <w:t>。支持国际种企设立研发中心、组建联合研发机构。探索种子种苗贸易、品种权交易转化及种业跨境电商、离岸贸易等新模式。</w:t>
      </w:r>
      <w:r>
        <w:rPr>
          <w:rFonts w:hint="eastAsia"/>
          <w:color w:val="auto"/>
          <w:sz w:val="32"/>
          <w:szCs w:val="32"/>
          <w:highlight w:val="none"/>
          <w:lang w:eastAsia="zh-CN"/>
        </w:rPr>
        <w:t>高水平</w:t>
      </w:r>
      <w:r>
        <w:rPr>
          <w:rFonts w:hint="eastAsia"/>
          <w:color w:val="auto"/>
          <w:sz w:val="32"/>
          <w:szCs w:val="32"/>
          <w:highlight w:val="none"/>
        </w:rPr>
        <w:t>举办中国种子大会等国际性</w:t>
      </w:r>
      <w:r>
        <w:rPr>
          <w:rFonts w:hint="eastAsia"/>
          <w:color w:val="auto"/>
          <w:sz w:val="32"/>
          <w:szCs w:val="32"/>
          <w:highlight w:val="none"/>
          <w:lang w:eastAsia="zh-CN"/>
        </w:rPr>
        <w:t>活动，</w:t>
      </w:r>
      <w:r>
        <w:rPr>
          <w:rFonts w:hint="eastAsia"/>
          <w:color w:val="auto"/>
          <w:sz w:val="32"/>
          <w:szCs w:val="32"/>
          <w:highlight w:val="none"/>
        </w:rPr>
        <w:t>鼓励建设驻外产业协同创新中心，打造种业开放合作基地。</w:t>
      </w:r>
    </w:p>
    <w:p>
      <w:pPr>
        <w:pStyle w:val="31"/>
        <w:keepNext w:val="0"/>
        <w:keepLines w:val="0"/>
        <w:pageBreakBefore w:val="0"/>
        <w:widowControl w:val="0"/>
        <w:kinsoku/>
        <w:wordWrap/>
        <w:overflowPunct/>
        <w:topLinePunct w:val="0"/>
        <w:autoSpaceDE/>
        <w:autoSpaceDN/>
        <w:bidi w:val="0"/>
        <w:adjustRightInd w:val="0"/>
        <w:snapToGrid w:val="0"/>
        <w:spacing w:after="251" w:afterLines="80" w:line="576" w:lineRule="exact"/>
        <w:textAlignment w:val="auto"/>
        <w:rPr>
          <w:rFonts w:hint="eastAsia"/>
          <w:color w:val="auto"/>
          <w:sz w:val="32"/>
          <w:szCs w:val="32"/>
          <w:highlight w:val="none"/>
        </w:rPr>
      </w:pPr>
      <w:r>
        <w:rPr>
          <w:rFonts w:hint="eastAsia"/>
          <w:b/>
          <w:bCs/>
          <w:color w:val="auto"/>
          <w:sz w:val="32"/>
          <w:szCs w:val="32"/>
          <w:highlight w:val="none"/>
        </w:rPr>
        <w:t>提升南繁监管服务能力。</w:t>
      </w:r>
      <w:r>
        <w:rPr>
          <w:rFonts w:hint="eastAsia"/>
          <w:color w:val="auto"/>
          <w:sz w:val="32"/>
          <w:szCs w:val="32"/>
          <w:highlight w:val="none"/>
        </w:rPr>
        <w:t>提高种业监管治理能力，加强种业市场监管和种业知识产权保护。增强主动应对生物安全风险挑战的能力，完善全球动植物种质资源引进中转生物安全风险防控体系，严格进境植物繁殖材料隔离检疫，常态化开展南繁生物安全风险防控巡查</w:t>
      </w:r>
      <w:r>
        <w:rPr>
          <w:rFonts w:hint="eastAsia"/>
          <w:color w:val="auto"/>
          <w:sz w:val="32"/>
          <w:szCs w:val="32"/>
          <w:highlight w:val="none"/>
          <w:lang w:eastAsia="zh-CN"/>
        </w:rPr>
        <w:t>，</w:t>
      </w:r>
      <w:r>
        <w:rPr>
          <w:rFonts w:hint="eastAsia"/>
          <w:color w:val="auto"/>
          <w:sz w:val="32"/>
          <w:szCs w:val="32"/>
          <w:highlight w:val="none"/>
        </w:rPr>
        <w:t>加强关键节点的信息追溯。围绕种质资源进出场景研究制定种业安全监测预警机制，提升风险识别与应急应对能力，逐步形成种业创新链安全防控闭环。</w:t>
      </w:r>
    </w:p>
    <w:tbl>
      <w:tblPr>
        <w:tblStyle w:val="22"/>
        <w:tblW w:w="8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843" w:type="dxa"/>
          </w:tcPr>
          <w:p>
            <w:pPr>
              <w:keepNext w:val="0"/>
              <w:keepLines w:val="0"/>
              <w:pageBreakBefore w:val="0"/>
              <w:widowControl w:val="0"/>
              <w:shd w:val="clear"/>
              <w:kinsoku/>
              <w:wordWrap/>
              <w:overflowPunct/>
              <w:topLinePunct w:val="0"/>
              <w:autoSpaceDE/>
              <w:autoSpaceDN/>
              <w:bidi w:val="0"/>
              <w:snapToGrid w:val="0"/>
              <w:spacing w:before="157" w:beforeLines="50" w:after="157" w:afterLines="50" w:line="440" w:lineRule="exact"/>
              <w:jc w:val="center"/>
              <w:textAlignment w:val="auto"/>
              <w:rPr>
                <w:rFonts w:hint="eastAsia" w:ascii="Times New Roman" w:hAnsi="Times New Roman" w:eastAsia="黑体"/>
                <w:color w:val="auto"/>
                <w:kern w:val="0"/>
                <w:sz w:val="28"/>
                <w:szCs w:val="28"/>
                <w:highlight w:val="none"/>
                <w:lang w:eastAsia="zh-CN"/>
              </w:rPr>
            </w:pPr>
            <w:r>
              <w:rPr>
                <w:rFonts w:hint="eastAsia" w:ascii="Times New Roman" w:hAnsi="Times New Roman" w:eastAsia="黑体" w:cs="黑体"/>
                <w:color w:val="auto"/>
                <w:kern w:val="0"/>
                <w:sz w:val="28"/>
                <w:szCs w:val="28"/>
                <w:highlight w:val="none"/>
              </w:rPr>
              <w:t>专栏</w:t>
            </w:r>
            <w:r>
              <w:rPr>
                <w:rFonts w:hint="default" w:ascii="Times New Roman" w:hAnsi="Times New Roman" w:eastAsia="黑体" w:cs="Times New Roman"/>
                <w:bCs/>
                <w:color w:val="auto"/>
                <w:sz w:val="28"/>
                <w:szCs w:val="28"/>
                <w:highlight w:val="none"/>
                <w:lang w:val="en-US" w:eastAsia="zh-CN"/>
              </w:rPr>
              <w:t>5</w:t>
            </w:r>
            <w:r>
              <w:rPr>
                <w:rFonts w:hint="eastAsia" w:ascii="Times New Roman" w:hAnsi="Times New Roman" w:eastAsia="黑体"/>
                <w:bCs/>
                <w:color w:val="auto"/>
                <w:kern w:val="0"/>
                <w:sz w:val="28"/>
                <w:szCs w:val="28"/>
                <w:highlight w:val="none"/>
                <w:lang w:val="en-US" w:eastAsia="zh-CN"/>
              </w:rPr>
              <w:t xml:space="preserve">  </w:t>
            </w:r>
            <w:r>
              <w:rPr>
                <w:rFonts w:hint="eastAsia" w:ascii="Times New Roman" w:hAnsi="Times New Roman" w:eastAsia="黑体" w:cs="黑体"/>
                <w:color w:val="auto"/>
                <w:kern w:val="0"/>
                <w:sz w:val="28"/>
                <w:szCs w:val="28"/>
                <w:highlight w:val="none"/>
              </w:rPr>
              <w:t>南繁育种重大工程</w:t>
            </w:r>
            <w:r>
              <w:rPr>
                <w:rFonts w:hint="eastAsia" w:ascii="Times New Roman" w:hAnsi="Times New Roman" w:eastAsia="黑体" w:cs="黑体"/>
                <w:color w:val="auto"/>
                <w:kern w:val="0"/>
                <w:sz w:val="28"/>
                <w:szCs w:val="28"/>
                <w:highlight w:val="none"/>
                <w:lang w:eastAsia="zh-CN"/>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4" w:hRule="atLeast"/>
          <w:jc w:val="center"/>
        </w:trPr>
        <w:tc>
          <w:tcPr>
            <w:tcW w:w="8843" w:type="dxa"/>
            <w:vAlign w:val="center"/>
          </w:tcPr>
          <w:p>
            <w:pPr>
              <w:pStyle w:val="33"/>
              <w:keepNext w:val="0"/>
              <w:keepLines w:val="0"/>
              <w:pageBreakBefore w:val="0"/>
              <w:widowControl w:val="0"/>
              <w:shd w:val="clear"/>
              <w:kinsoku/>
              <w:wordWrap/>
              <w:overflowPunct/>
              <w:topLinePunct w:val="0"/>
              <w:autoSpaceDE/>
              <w:autoSpaceDN/>
              <w:bidi w:val="0"/>
              <w:snapToGrid w:val="0"/>
              <w:spacing w:before="157" w:beforeLines="50" w:after="157" w:afterLines="50" w:line="440" w:lineRule="exact"/>
              <w:ind w:firstLine="562"/>
              <w:textAlignment w:val="auto"/>
              <w:rPr>
                <w:rFonts w:hint="eastAsia"/>
                <w:color w:val="auto"/>
                <w:highlight w:val="none"/>
                <w:u w:val="none"/>
              </w:rPr>
            </w:pPr>
            <w:r>
              <w:rPr>
                <w:rFonts w:hint="default" w:ascii="Times New Roman" w:hAnsi="Times New Roman" w:cs="Times New Roman"/>
                <w:b/>
                <w:bCs/>
                <w:color w:val="auto"/>
                <w:highlight w:val="none"/>
                <w:u w:val="none"/>
              </w:rPr>
              <w:t>1</w:t>
            </w:r>
            <w:r>
              <w:rPr>
                <w:rFonts w:hint="eastAsia" w:ascii="楷体_GB2312" w:hAnsi="楷体_GB2312" w:eastAsia="楷体_GB2312" w:cs="楷体_GB2312"/>
                <w:b/>
                <w:bCs/>
                <w:color w:val="auto"/>
                <w:highlight w:val="none"/>
                <w:u w:val="none"/>
                <w:lang w:eastAsia="zh-CN"/>
              </w:rPr>
              <w:t>.</w:t>
            </w:r>
            <w:r>
              <w:rPr>
                <w:rFonts w:hint="eastAsia"/>
                <w:b/>
                <w:bCs/>
                <w:color w:val="auto"/>
                <w:highlight w:val="none"/>
                <w:u w:val="none"/>
              </w:rPr>
              <w:t>崖州湾实验室项目。</w:t>
            </w:r>
            <w:r>
              <w:rPr>
                <w:rFonts w:hint="eastAsia"/>
                <w:b w:val="0"/>
                <w:bCs w:val="0"/>
                <w:color w:val="auto"/>
                <w:highlight w:val="none"/>
                <w:u w:val="none"/>
              </w:rPr>
              <w:t>锚定国家种业振兴战略需求，持续开展前沿基础研究与核心技术攻关，保障国家种源安全，助力农业高质量发展。</w:t>
            </w:r>
          </w:p>
          <w:p>
            <w:pPr>
              <w:pStyle w:val="33"/>
              <w:keepNext w:val="0"/>
              <w:keepLines w:val="0"/>
              <w:pageBreakBefore w:val="0"/>
              <w:widowControl w:val="0"/>
              <w:shd w:val="clear"/>
              <w:kinsoku/>
              <w:wordWrap/>
              <w:overflowPunct/>
              <w:topLinePunct w:val="0"/>
              <w:autoSpaceDE/>
              <w:autoSpaceDN/>
              <w:bidi w:val="0"/>
              <w:snapToGrid w:val="0"/>
              <w:spacing w:before="157" w:beforeLines="50" w:after="157" w:afterLines="50" w:line="440" w:lineRule="exact"/>
              <w:ind w:firstLine="562"/>
              <w:textAlignment w:val="auto"/>
              <w:rPr>
                <w:color w:val="auto"/>
                <w:highlight w:val="none"/>
              </w:rPr>
            </w:pPr>
            <w:r>
              <w:rPr>
                <w:rFonts w:hint="default" w:ascii="Times New Roman" w:hAnsi="Times New Roman" w:cs="Times New Roman"/>
                <w:b/>
                <w:bCs/>
                <w:color w:val="auto"/>
                <w:highlight w:val="none"/>
              </w:rPr>
              <w:t>2</w:t>
            </w:r>
            <w:r>
              <w:rPr>
                <w:rFonts w:hint="eastAsia" w:ascii="楷体_GB2312" w:hAnsi="楷体_GB2312" w:eastAsia="楷体_GB2312" w:cs="楷体_GB2312"/>
                <w:b/>
                <w:bCs/>
                <w:color w:val="auto"/>
                <w:highlight w:val="none"/>
                <w:lang w:val="en-US" w:eastAsia="zh-CN"/>
              </w:rPr>
              <w:t>.</w:t>
            </w:r>
            <w:r>
              <w:rPr>
                <w:rFonts w:hint="eastAsia" w:ascii="仿宋_GB2312" w:hAnsi="仿宋_GB2312" w:eastAsia="仿宋_GB2312" w:cs="仿宋_GB2312"/>
                <w:b/>
                <w:bCs/>
                <w:color w:val="auto"/>
                <w:highlight w:val="none"/>
                <w:lang w:eastAsia="zh-CN"/>
              </w:rPr>
              <w:t>“</w:t>
            </w:r>
            <w:r>
              <w:rPr>
                <w:rFonts w:hint="eastAsia"/>
                <w:b/>
                <w:bCs/>
                <w:color w:val="auto"/>
                <w:highlight w:val="none"/>
              </w:rPr>
              <w:t>南繁硅谷</w:t>
            </w:r>
            <w:r>
              <w:rPr>
                <w:rFonts w:hint="eastAsia" w:ascii="仿宋_GB2312" w:hAnsi="仿宋_GB2312" w:eastAsia="仿宋_GB2312" w:cs="仿宋_GB2312"/>
                <w:b/>
                <w:bCs/>
                <w:color w:val="auto"/>
                <w:highlight w:val="none"/>
                <w:lang w:eastAsia="zh-CN"/>
              </w:rPr>
              <w:t>”</w:t>
            </w:r>
            <w:r>
              <w:rPr>
                <w:rFonts w:hint="eastAsia"/>
                <w:b/>
                <w:bCs/>
                <w:color w:val="auto"/>
                <w:highlight w:val="none"/>
              </w:rPr>
              <w:t>重大</w:t>
            </w:r>
            <w:r>
              <w:rPr>
                <w:rFonts w:hint="eastAsia"/>
                <w:b/>
                <w:bCs/>
                <w:color w:val="auto"/>
                <w:highlight w:val="none"/>
                <w:lang w:eastAsia="zh-CN"/>
              </w:rPr>
              <w:t>科创平台</w:t>
            </w:r>
            <w:r>
              <w:rPr>
                <w:rFonts w:hint="eastAsia"/>
                <w:b/>
                <w:bCs/>
                <w:color w:val="auto"/>
                <w:highlight w:val="none"/>
              </w:rPr>
              <w:t>。</w:t>
            </w:r>
            <w:r>
              <w:rPr>
                <w:rFonts w:hint="eastAsia"/>
                <w:color w:val="auto"/>
                <w:highlight w:val="none"/>
              </w:rPr>
              <w:t>建设田间基础设施、数智化设备、数智化运营信息系统，打造高标准智慧化种子</w:t>
            </w:r>
            <w:r>
              <w:rPr>
                <w:rFonts w:hint="eastAsia"/>
                <w:color w:val="auto"/>
                <w:highlight w:val="none"/>
                <w:lang w:val="en-US" w:eastAsia="zh-CN"/>
              </w:rPr>
              <w:t>实</w:t>
            </w:r>
            <w:r>
              <w:rPr>
                <w:rFonts w:hint="eastAsia"/>
                <w:color w:val="auto"/>
                <w:highlight w:val="none"/>
              </w:rPr>
              <w:t>验田，优化提升国家南繁科研育种基地建设水平，推动南繁育种智能化、标准化、一体化发展。</w:t>
            </w:r>
          </w:p>
          <w:p>
            <w:pPr>
              <w:pStyle w:val="33"/>
              <w:keepNext w:val="0"/>
              <w:keepLines w:val="0"/>
              <w:pageBreakBefore w:val="0"/>
              <w:widowControl w:val="0"/>
              <w:shd w:val="clear"/>
              <w:kinsoku/>
              <w:wordWrap/>
              <w:overflowPunct/>
              <w:topLinePunct w:val="0"/>
              <w:autoSpaceDE/>
              <w:autoSpaceDN/>
              <w:bidi w:val="0"/>
              <w:snapToGrid w:val="0"/>
              <w:spacing w:before="157" w:beforeLines="50" w:after="157" w:afterLines="50" w:line="440" w:lineRule="exact"/>
              <w:ind w:firstLine="562"/>
              <w:textAlignment w:val="auto"/>
              <w:rPr>
                <w:color w:val="auto"/>
                <w:highlight w:val="none"/>
              </w:rPr>
            </w:pPr>
            <w:r>
              <w:rPr>
                <w:rFonts w:hint="default" w:ascii="Times New Roman" w:hAnsi="Times New Roman" w:cs="Times New Roman"/>
                <w:b/>
                <w:bCs/>
                <w:color w:val="auto"/>
                <w:highlight w:val="none"/>
              </w:rPr>
              <w:t>3</w:t>
            </w:r>
            <w:r>
              <w:rPr>
                <w:rFonts w:hint="eastAsia" w:ascii="楷体_GB2312" w:hAnsi="楷体_GB2312" w:eastAsia="楷体_GB2312" w:cs="楷体_GB2312"/>
                <w:b/>
                <w:bCs/>
                <w:color w:val="auto"/>
                <w:highlight w:val="none"/>
                <w:lang w:val="en-US" w:eastAsia="zh-CN"/>
              </w:rPr>
              <w:t>.</w:t>
            </w:r>
            <w:r>
              <w:rPr>
                <w:rFonts w:hint="eastAsia"/>
                <w:b/>
                <w:bCs/>
                <w:color w:val="auto"/>
                <w:highlight w:val="none"/>
              </w:rPr>
              <w:t>三亚崖州湾科技城国家热带农业科学中心综合实验室项目。</w:t>
            </w:r>
            <w:r>
              <w:rPr>
                <w:rFonts w:hint="eastAsia"/>
                <w:color w:val="auto"/>
                <w:highlight w:val="none"/>
              </w:rPr>
              <w:t>建设科研用房、配套设施及购置仪器设备。支撑热带农业种业研发创新等科研服务。</w:t>
            </w:r>
          </w:p>
        </w:tc>
      </w:tr>
    </w:tbl>
    <w:p>
      <w:pPr>
        <w:pStyle w:val="4"/>
        <w:keepNext w:val="0"/>
        <w:keepLines w:val="0"/>
        <w:pageBreakBefore w:val="0"/>
        <w:widowControl w:val="0"/>
        <w:shd w:val="clear"/>
        <w:kinsoku/>
        <w:wordWrap/>
        <w:overflowPunct/>
        <w:topLinePunct w:val="0"/>
        <w:autoSpaceDE/>
        <w:autoSpaceDN/>
        <w:bidi w:val="0"/>
        <w:adjustRightInd w:val="0"/>
        <w:snapToGrid w:val="0"/>
        <w:ind w:left="0" w:leftChars="0" w:firstLine="0" w:firstLineChars="0"/>
        <w:textAlignment w:val="auto"/>
        <w:rPr>
          <w:rFonts w:hint="eastAsia"/>
          <w:color w:val="auto"/>
          <w:highlight w:val="none"/>
        </w:rPr>
      </w:pPr>
      <w:bookmarkStart w:id="398" w:name="_Toc21494"/>
      <w:bookmarkStart w:id="399" w:name="_Toc888011595"/>
      <w:bookmarkStart w:id="400" w:name="_Toc200982548"/>
      <w:bookmarkStart w:id="401" w:name="_Toc61577386"/>
      <w:bookmarkStart w:id="402" w:name="_Toc156797397"/>
      <w:bookmarkStart w:id="403" w:name="_Toc106722987"/>
      <w:bookmarkStart w:id="404" w:name="_Toc1634385460"/>
      <w:bookmarkStart w:id="405" w:name="_Toc18565"/>
      <w:bookmarkStart w:id="406" w:name="_Toc1662214307"/>
      <w:bookmarkStart w:id="407" w:name="_Toc213447255"/>
      <w:bookmarkStart w:id="408" w:name="_Toc1111799303"/>
      <w:bookmarkStart w:id="409" w:name="_Toc285932673"/>
      <w:bookmarkStart w:id="410" w:name="_Toc211979431"/>
      <w:bookmarkStart w:id="411" w:name="_Toc410764834"/>
      <w:bookmarkStart w:id="412" w:name="_Toc1384198526"/>
      <w:bookmarkStart w:id="413" w:name="_Toc128858698"/>
      <w:bookmarkStart w:id="414" w:name="_Toc1781393119"/>
      <w:bookmarkStart w:id="415" w:name="_Toc1439042444"/>
      <w:bookmarkStart w:id="416" w:name="_Toc785811162"/>
    </w:p>
    <w:p>
      <w:pPr>
        <w:pStyle w:val="4"/>
        <w:keepNext w:val="0"/>
        <w:keepLines w:val="0"/>
        <w:pageBreakBefore w:val="0"/>
        <w:widowControl w:val="0"/>
        <w:shd w:val="clear"/>
        <w:kinsoku/>
        <w:wordWrap/>
        <w:overflowPunct/>
        <w:topLinePunct w:val="0"/>
        <w:autoSpaceDE/>
        <w:autoSpaceDN/>
        <w:bidi w:val="0"/>
        <w:adjustRightInd w:val="0"/>
        <w:snapToGrid w:val="0"/>
        <w:spacing w:line="576"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 xml:space="preserve">第二节  </w:t>
      </w:r>
      <w:r>
        <w:rPr>
          <w:rFonts w:hint="eastAsia" w:ascii="黑体" w:hAnsi="黑体" w:eastAsia="黑体" w:cs="黑体"/>
          <w:b w:val="0"/>
          <w:bCs/>
          <w:color w:val="auto"/>
          <w:sz w:val="32"/>
          <w:szCs w:val="32"/>
          <w:highlight w:val="none"/>
          <w:lang w:eastAsia="zh-CN"/>
        </w:rPr>
        <w:t>加快实施</w:t>
      </w:r>
      <w:r>
        <w:rPr>
          <w:rFonts w:hint="eastAsia" w:ascii="黑体" w:hAnsi="黑体" w:eastAsia="黑体" w:cs="黑体"/>
          <w:b w:val="0"/>
          <w:bCs/>
          <w:color w:val="auto"/>
          <w:sz w:val="32"/>
          <w:szCs w:val="32"/>
          <w:highlight w:val="none"/>
        </w:rPr>
        <w:t>深海科技创新战略</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bookmarkStart w:id="417" w:name="_Hlk200401417"/>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rPr>
        <w:t>打造深海科技创新策源地。</w:t>
      </w:r>
      <w:r>
        <w:rPr>
          <w:rFonts w:hint="eastAsia"/>
          <w:color w:val="auto"/>
          <w:sz w:val="32"/>
          <w:szCs w:val="32"/>
          <w:highlight w:val="none"/>
        </w:rPr>
        <w:t>重点聚焦深海进入、深海探测、深海开发、深海保护等关键领域，主动对接国家战略科技力量，形成深海科技</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国家队</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集群。</w:t>
      </w:r>
      <w:r>
        <w:rPr>
          <w:rFonts w:hint="eastAsia"/>
          <w:color w:val="auto"/>
          <w:sz w:val="32"/>
          <w:szCs w:val="32"/>
          <w:highlight w:val="none"/>
          <w:lang w:val="en-US" w:eastAsia="zh-CN"/>
        </w:rPr>
        <w:t>推进</w:t>
      </w:r>
      <w:r>
        <w:rPr>
          <w:rFonts w:hint="default"/>
          <w:color w:val="auto"/>
          <w:sz w:val="32"/>
          <w:szCs w:val="32"/>
          <w:highlight w:val="none"/>
        </w:rPr>
        <w:t>海洋领域国家实验室三亚基地争创工作</w:t>
      </w:r>
      <w:r>
        <w:rPr>
          <w:rFonts w:hint="eastAsia"/>
          <w:color w:val="auto"/>
          <w:sz w:val="32"/>
          <w:szCs w:val="32"/>
          <w:highlight w:val="none"/>
          <w:lang w:eastAsia="zh-CN"/>
        </w:rPr>
        <w:t>，</w:t>
      </w:r>
      <w:r>
        <w:rPr>
          <w:rFonts w:hint="eastAsia"/>
          <w:color w:val="auto"/>
          <w:sz w:val="32"/>
          <w:szCs w:val="32"/>
          <w:highlight w:val="none"/>
        </w:rPr>
        <w:t>加速落地中国科学院深海科学与工程研究所深海科学与智能技术全国重点实验室等省部级及以上科创平台。全力保障部省共建深海技术研究机构</w:t>
      </w:r>
      <w:r>
        <w:rPr>
          <w:rFonts w:hint="eastAsia"/>
          <w:color w:val="auto"/>
          <w:sz w:val="32"/>
          <w:szCs w:val="32"/>
          <w:highlight w:val="none"/>
          <w:lang w:val="en-US" w:eastAsia="zh-CN"/>
        </w:rPr>
        <w:t>落地推进</w:t>
      </w:r>
      <w:r>
        <w:rPr>
          <w:rFonts w:hint="eastAsia"/>
          <w:color w:val="auto"/>
          <w:sz w:val="32"/>
          <w:szCs w:val="32"/>
          <w:highlight w:val="none"/>
          <w:lang w:eastAsia="zh-CN"/>
        </w:rPr>
        <w:t>，承接面向南海的重大工程和专项任务</w:t>
      </w:r>
      <w:r>
        <w:rPr>
          <w:rFonts w:hint="eastAsia"/>
          <w:color w:val="auto"/>
          <w:sz w:val="32"/>
          <w:szCs w:val="32"/>
          <w:highlight w:val="none"/>
        </w:rPr>
        <w:t>。筹建海洋领域国家技术创新中心</w:t>
      </w:r>
      <w:r>
        <w:rPr>
          <w:rFonts w:hint="eastAsia"/>
          <w:color w:val="auto"/>
          <w:sz w:val="32"/>
          <w:szCs w:val="32"/>
          <w:highlight w:val="none"/>
          <w:lang w:val="en-US" w:eastAsia="zh-CN"/>
        </w:rPr>
        <w:t>，支持海洋生物制造创新中心建设</w:t>
      </w:r>
      <w:r>
        <w:rPr>
          <w:rFonts w:hint="eastAsia"/>
          <w:color w:val="auto"/>
          <w:sz w:val="32"/>
          <w:szCs w:val="32"/>
          <w:highlight w:val="none"/>
        </w:rPr>
        <w:t>。完善南山港区科考服务功能，打造国际深远海科考母港</w:t>
      </w:r>
      <w:r>
        <w:rPr>
          <w:rFonts w:hint="eastAsia"/>
          <w:color w:val="auto"/>
          <w:sz w:val="32"/>
          <w:szCs w:val="32"/>
          <w:highlight w:val="none"/>
          <w:lang w:eastAsia="zh-CN"/>
        </w:rPr>
        <w:t>，加快</w:t>
      </w:r>
      <w:r>
        <w:rPr>
          <w:rFonts w:hint="eastAsia"/>
          <w:color w:val="auto"/>
          <w:sz w:val="32"/>
          <w:szCs w:val="32"/>
          <w:highlight w:val="none"/>
        </w:rPr>
        <w:t>推进三亚南山港国际科考服务保障综合枢纽港工程</w:t>
      </w:r>
      <w:r>
        <w:rPr>
          <w:rFonts w:hint="eastAsia"/>
          <w:color w:val="auto"/>
          <w:sz w:val="32"/>
          <w:szCs w:val="32"/>
          <w:highlight w:val="none"/>
          <w:lang w:eastAsia="zh-CN"/>
        </w:rPr>
        <w:t>项目</w:t>
      </w:r>
      <w:r>
        <w:rPr>
          <w:rFonts w:hint="eastAsia"/>
          <w:color w:val="auto"/>
          <w:sz w:val="32"/>
          <w:szCs w:val="32"/>
          <w:highlight w:val="none"/>
        </w:rPr>
        <w:t>。积极争取各类深海大科学装置和深海工程项目落地</w:t>
      </w:r>
      <w:r>
        <w:rPr>
          <w:rFonts w:hint="eastAsia"/>
          <w:color w:val="auto"/>
          <w:sz w:val="32"/>
          <w:szCs w:val="32"/>
          <w:highlight w:val="none"/>
          <w:lang w:eastAsia="zh-CN"/>
        </w:rPr>
        <w:t>，健全深海重大基础设施集群，构建“岸—池—湖—海”全链条一站式测试服务体系，</w:t>
      </w:r>
      <w:r>
        <w:rPr>
          <w:rFonts w:hint="eastAsia"/>
          <w:color w:val="auto"/>
          <w:sz w:val="32"/>
          <w:szCs w:val="32"/>
          <w:highlight w:val="none"/>
          <w:lang w:val="en-US" w:eastAsia="zh-CN"/>
        </w:rPr>
        <w:t>构建</w:t>
      </w:r>
      <w:r>
        <w:rPr>
          <w:rFonts w:hint="eastAsia"/>
          <w:color w:val="auto"/>
          <w:sz w:val="32"/>
          <w:szCs w:val="32"/>
          <w:highlight w:val="none"/>
        </w:rPr>
        <w:t>共建共享的深海科技基础设施体系。</w:t>
      </w: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rPr>
        <w:t>打造现代海洋产业聚集地。</w:t>
      </w:r>
      <w:r>
        <w:rPr>
          <w:rFonts w:hint="eastAsia"/>
          <w:color w:val="auto"/>
          <w:sz w:val="32"/>
          <w:szCs w:val="32"/>
          <w:highlight w:val="none"/>
        </w:rPr>
        <w:t>遵循“技术攻关</w:t>
      </w:r>
      <w:r>
        <w:rPr>
          <w:rFonts w:hint="eastAsia" w:ascii="仿宋_GB2312" w:hAnsi="仿宋_GB2312" w:cs="仿宋_GB2312"/>
          <w:color w:val="auto"/>
          <w:sz w:val="32"/>
          <w:szCs w:val="32"/>
          <w:highlight w:val="none"/>
          <w:lang w:eastAsia="zh-CN"/>
        </w:rPr>
        <w:t>—</w:t>
      </w:r>
      <w:r>
        <w:rPr>
          <w:rFonts w:hint="eastAsia"/>
          <w:color w:val="auto"/>
          <w:sz w:val="32"/>
          <w:szCs w:val="32"/>
          <w:highlight w:val="none"/>
        </w:rPr>
        <w:t>测试试验</w:t>
      </w:r>
      <w:r>
        <w:rPr>
          <w:rFonts w:hint="eastAsia" w:ascii="仿宋_GB2312" w:hAnsi="仿宋_GB2312" w:cs="仿宋_GB2312"/>
          <w:color w:val="auto"/>
          <w:sz w:val="32"/>
          <w:szCs w:val="32"/>
          <w:highlight w:val="none"/>
          <w:lang w:eastAsia="zh-CN"/>
        </w:rPr>
        <w:t>—</w:t>
      </w:r>
      <w:r>
        <w:rPr>
          <w:rFonts w:hint="eastAsia"/>
          <w:color w:val="auto"/>
          <w:sz w:val="32"/>
          <w:szCs w:val="32"/>
          <w:highlight w:val="none"/>
        </w:rPr>
        <w:t>场景验证</w:t>
      </w:r>
      <w:r>
        <w:rPr>
          <w:rFonts w:hint="eastAsia" w:ascii="仿宋_GB2312" w:hAnsi="仿宋_GB2312" w:cs="仿宋_GB2312"/>
          <w:color w:val="auto"/>
          <w:sz w:val="32"/>
          <w:szCs w:val="32"/>
          <w:highlight w:val="none"/>
          <w:lang w:eastAsia="zh-CN"/>
        </w:rPr>
        <w:t>—</w:t>
      </w:r>
      <w:r>
        <w:rPr>
          <w:rFonts w:hint="eastAsia"/>
          <w:color w:val="auto"/>
          <w:sz w:val="32"/>
          <w:szCs w:val="32"/>
          <w:highlight w:val="none"/>
        </w:rPr>
        <w:t>产业集聚发展”四阶段发展策略，有序培育壮大深海战略性新兴产业集群。大力发展深海装备及深海服务业，支持深海关键重要小件国产化替代及水下无人智能装备研发制造，探索“深海装备+具身智能”，积极推动深海综合保障服务及深海装备服务产业化。支持深海观测装备研发制造，推动深远海数据综合利用，加快开发南海大数据产品。鼓励开展深海油气矿产资源的调查评价与勘探工作，开展专用设备研发制造，推动南海天然气水合物商业化开采。依托崖州中心渔港，打造“种苗繁育</w:t>
      </w:r>
      <w:r>
        <w:rPr>
          <w:rFonts w:hint="eastAsia" w:ascii="仿宋_GB2312" w:hAnsi="仿宋_GB2312" w:cs="仿宋_GB2312"/>
          <w:color w:val="auto"/>
          <w:sz w:val="32"/>
          <w:szCs w:val="32"/>
          <w:highlight w:val="none"/>
          <w:lang w:eastAsia="zh-CN"/>
        </w:rPr>
        <w:t>—</w:t>
      </w:r>
      <w:r>
        <w:rPr>
          <w:rFonts w:hint="eastAsia"/>
          <w:color w:val="auto"/>
          <w:sz w:val="32"/>
          <w:szCs w:val="32"/>
          <w:highlight w:val="none"/>
        </w:rPr>
        <w:t>智能养殖</w:t>
      </w:r>
      <w:r>
        <w:rPr>
          <w:rFonts w:hint="eastAsia" w:ascii="仿宋_GB2312" w:hAnsi="仿宋_GB2312" w:cs="仿宋_GB2312"/>
          <w:color w:val="auto"/>
          <w:sz w:val="32"/>
          <w:szCs w:val="32"/>
          <w:highlight w:val="none"/>
          <w:lang w:eastAsia="zh-CN"/>
        </w:rPr>
        <w:t>—</w:t>
      </w:r>
      <w:r>
        <w:rPr>
          <w:rFonts w:hint="eastAsia"/>
          <w:color w:val="auto"/>
          <w:sz w:val="32"/>
          <w:szCs w:val="32"/>
          <w:highlight w:val="none"/>
        </w:rPr>
        <w:t>精深加工</w:t>
      </w:r>
      <w:r>
        <w:rPr>
          <w:rFonts w:hint="eastAsia" w:ascii="仿宋_GB2312" w:hAnsi="仿宋_GB2312" w:cs="仿宋_GB2312"/>
          <w:color w:val="auto"/>
          <w:sz w:val="32"/>
          <w:szCs w:val="32"/>
          <w:highlight w:val="none"/>
          <w:lang w:eastAsia="zh-CN"/>
        </w:rPr>
        <w:t>—</w:t>
      </w:r>
      <w:r>
        <w:rPr>
          <w:rFonts w:hint="eastAsia"/>
          <w:color w:val="auto"/>
          <w:sz w:val="32"/>
          <w:szCs w:val="32"/>
          <w:highlight w:val="none"/>
        </w:rPr>
        <w:t>冷链物流</w:t>
      </w:r>
      <w:r>
        <w:rPr>
          <w:rFonts w:hint="eastAsia" w:ascii="仿宋_GB2312" w:hAnsi="仿宋_GB2312" w:cs="仿宋_GB2312"/>
          <w:color w:val="auto"/>
          <w:sz w:val="32"/>
          <w:szCs w:val="32"/>
          <w:highlight w:val="none"/>
          <w:lang w:eastAsia="zh-CN"/>
        </w:rPr>
        <w:t>—</w:t>
      </w:r>
      <w:r>
        <w:rPr>
          <w:rFonts w:hint="eastAsia"/>
          <w:color w:val="auto"/>
          <w:sz w:val="32"/>
          <w:szCs w:val="32"/>
          <w:highlight w:val="none"/>
        </w:rPr>
        <w:t>休闲渔业”全产业链体系。以三亚国际邮轮母港为核心，支持深海旅游与科研探测、文化创意、体育运动深度融合。聚焦深海保护，支持实施生物多样性保护工程，深化蓝色碳汇合作。</w:t>
      </w:r>
      <w:bookmarkEnd w:id="417"/>
      <w:r>
        <w:rPr>
          <w:rFonts w:hint="eastAsia"/>
          <w:color w:val="auto"/>
          <w:sz w:val="32"/>
          <w:szCs w:val="32"/>
          <w:highlight w:val="none"/>
        </w:rPr>
        <w:t>到</w:t>
      </w:r>
      <w:r>
        <w:rPr>
          <w:rFonts w:hint="default" w:ascii="Times New Roman" w:hAnsi="Times New Roman" w:cs="Times New Roman"/>
          <w:color w:val="auto"/>
          <w:sz w:val="32"/>
          <w:szCs w:val="32"/>
          <w:highlight w:val="none"/>
        </w:rPr>
        <w:t>2030</w:t>
      </w:r>
      <w:r>
        <w:rPr>
          <w:rFonts w:hint="eastAsia"/>
          <w:color w:val="auto"/>
          <w:sz w:val="32"/>
          <w:szCs w:val="32"/>
          <w:highlight w:val="none"/>
        </w:rPr>
        <w:t>年，力争</w:t>
      </w:r>
      <w:r>
        <w:rPr>
          <w:rFonts w:hint="eastAsia"/>
          <w:color w:val="auto"/>
          <w:sz w:val="32"/>
          <w:szCs w:val="32"/>
          <w:highlight w:val="none"/>
          <w:lang w:eastAsia="zh-CN"/>
        </w:rPr>
        <w:t>深海</w:t>
      </w:r>
      <w:r>
        <w:rPr>
          <w:rFonts w:hint="eastAsia"/>
          <w:color w:val="auto"/>
          <w:sz w:val="32"/>
          <w:szCs w:val="32"/>
          <w:highlight w:val="none"/>
        </w:rPr>
        <w:t>产业</w:t>
      </w:r>
      <w:r>
        <w:rPr>
          <w:rFonts w:hint="eastAsia"/>
          <w:color w:val="auto"/>
          <w:sz w:val="32"/>
          <w:szCs w:val="32"/>
          <w:highlight w:val="none"/>
          <w:lang w:eastAsia="zh-CN"/>
        </w:rPr>
        <w:t>产值达到</w:t>
      </w:r>
      <w:r>
        <w:rPr>
          <w:rFonts w:hint="default" w:ascii="Times New Roman" w:hAnsi="Times New Roman" w:cs="Times New Roman"/>
          <w:color w:val="auto"/>
          <w:sz w:val="32"/>
          <w:szCs w:val="32"/>
          <w:highlight w:val="none"/>
          <w:lang w:val="en-US" w:eastAsia="zh-CN"/>
        </w:rPr>
        <w:t>1</w:t>
      </w:r>
      <w:r>
        <w:rPr>
          <w:rFonts w:hint="eastAsia" w:cs="Times New Roman"/>
          <w:color w:val="auto"/>
          <w:sz w:val="32"/>
          <w:szCs w:val="32"/>
          <w:highlight w:val="none"/>
          <w:lang w:val="en-US" w:eastAsia="zh-CN"/>
        </w:rPr>
        <w:t>5</w:t>
      </w:r>
      <w:r>
        <w:rPr>
          <w:rFonts w:hint="default" w:ascii="Times New Roman" w:hAnsi="Times New Roman" w:cs="Times New Roman"/>
          <w:color w:val="auto"/>
          <w:sz w:val="32"/>
          <w:szCs w:val="32"/>
          <w:highlight w:val="none"/>
          <w:lang w:val="en-US" w:eastAsia="zh-CN"/>
        </w:rPr>
        <w:t>0</w:t>
      </w:r>
      <w:r>
        <w:rPr>
          <w:rFonts w:hint="eastAsia"/>
          <w:color w:val="auto"/>
          <w:sz w:val="32"/>
          <w:szCs w:val="32"/>
          <w:highlight w:val="none"/>
        </w:rPr>
        <w:t>亿元</w:t>
      </w:r>
      <w:r>
        <w:rPr>
          <w:rFonts w:hint="eastAsia"/>
          <w:color w:val="auto"/>
          <w:sz w:val="32"/>
          <w:szCs w:val="32"/>
          <w:highlight w:val="none"/>
          <w:lang w:eastAsia="zh-CN"/>
        </w:rPr>
        <w:t>，海洋新质生产力加快培育</w:t>
      </w:r>
      <w:r>
        <w:rPr>
          <w:rFonts w:hint="eastAsia"/>
          <w:color w:val="auto"/>
          <w:sz w:val="32"/>
          <w:szCs w:val="32"/>
          <w:highlight w:val="none"/>
        </w:rPr>
        <w:t>。</w:t>
      </w:r>
    </w:p>
    <w:p>
      <w:pPr>
        <w:pStyle w:val="31"/>
        <w:keepNext w:val="0"/>
        <w:keepLines w:val="0"/>
        <w:pageBreakBefore w:val="0"/>
        <w:widowControl w:val="0"/>
        <w:kinsoku/>
        <w:wordWrap/>
        <w:overflowPunct/>
        <w:topLinePunct w:val="0"/>
        <w:autoSpaceDE/>
        <w:autoSpaceDN/>
        <w:bidi w:val="0"/>
        <w:adjustRightInd w:val="0"/>
        <w:snapToGrid w:val="0"/>
        <w:spacing w:after="251" w:afterLines="80" w:line="576" w:lineRule="exact"/>
        <w:textAlignment w:val="auto"/>
        <w:rPr>
          <w:color w:val="auto"/>
          <w:sz w:val="32"/>
          <w:szCs w:val="32"/>
          <w:highlight w:val="none"/>
        </w:rPr>
      </w:pPr>
      <w:r>
        <w:rPr>
          <w:rFonts w:hint="eastAsia"/>
          <w:b/>
          <w:bCs/>
          <w:color w:val="auto"/>
          <w:sz w:val="32"/>
          <w:szCs w:val="32"/>
          <w:highlight w:val="none"/>
        </w:rPr>
        <w:t>打造海洋国际合作高地。</w:t>
      </w:r>
      <w:r>
        <w:rPr>
          <w:rFonts w:hint="eastAsia"/>
          <w:color w:val="auto"/>
          <w:sz w:val="32"/>
          <w:szCs w:val="32"/>
          <w:highlight w:val="none"/>
        </w:rPr>
        <w:t>支持科研院所与</w:t>
      </w:r>
      <w:r>
        <w:rPr>
          <w:rFonts w:hint="eastAsia"/>
          <w:color w:val="auto"/>
          <w:sz w:val="32"/>
          <w:szCs w:val="32"/>
          <w:highlight w:val="none"/>
          <w:lang w:eastAsia="zh-CN"/>
        </w:rPr>
        <w:t>企业</w:t>
      </w:r>
      <w:r>
        <w:rPr>
          <w:rFonts w:hint="eastAsia"/>
          <w:color w:val="auto"/>
          <w:sz w:val="32"/>
          <w:szCs w:val="32"/>
          <w:highlight w:val="none"/>
        </w:rPr>
        <w:t>开展国家深海科技领域重大科技任务联合攻关</w:t>
      </w:r>
      <w:r>
        <w:rPr>
          <w:rFonts w:hint="eastAsia"/>
          <w:color w:val="auto"/>
          <w:sz w:val="32"/>
          <w:szCs w:val="32"/>
          <w:highlight w:val="none"/>
          <w:lang w:eastAsia="zh-CN"/>
        </w:rPr>
        <w:t>，</w:t>
      </w:r>
      <w:r>
        <w:rPr>
          <w:rFonts w:hint="eastAsia"/>
          <w:color w:val="auto"/>
          <w:sz w:val="32"/>
          <w:szCs w:val="32"/>
          <w:highlight w:val="none"/>
        </w:rPr>
        <w:t>保障海洋负排放国际大科学计划、中科院深海所全球深渊探索计划等关键研究任务实施</w:t>
      </w:r>
      <w:r>
        <w:rPr>
          <w:rFonts w:hint="eastAsia"/>
          <w:color w:val="auto"/>
          <w:sz w:val="32"/>
          <w:szCs w:val="32"/>
          <w:highlight w:val="none"/>
          <w:lang w:eastAsia="zh-CN"/>
        </w:rPr>
        <w:t>。承接联合国</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lang w:eastAsia="zh-CN"/>
        </w:rPr>
        <w:t>海洋十年</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lang w:eastAsia="zh-CN"/>
        </w:rPr>
        <w:t>任务，推动东盟</w:t>
      </w:r>
      <w:r>
        <w:rPr>
          <w:rFonts w:hint="eastAsia" w:ascii="仿宋_GB2312" w:hAnsi="仿宋_GB2312" w:cs="仿宋_GB2312"/>
          <w:color w:val="auto"/>
          <w:sz w:val="32"/>
          <w:szCs w:val="32"/>
          <w:highlight w:val="none"/>
          <w:lang w:eastAsia="zh-CN"/>
        </w:rPr>
        <w:t>—</w:t>
      </w:r>
      <w:r>
        <w:rPr>
          <w:rFonts w:hint="eastAsia"/>
          <w:color w:val="auto"/>
          <w:sz w:val="32"/>
          <w:szCs w:val="32"/>
          <w:highlight w:val="none"/>
          <w:lang w:eastAsia="zh-CN"/>
        </w:rPr>
        <w:t>海南联合研究计划，有序开放国家海洋综合试验场（深海）全球预约。加强与东南亚、非洲等国家深海科技合作，探索全球深海技术标准与检测认证。</w:t>
      </w:r>
      <w:r>
        <w:rPr>
          <w:rFonts w:hint="eastAsia"/>
          <w:color w:val="auto"/>
          <w:sz w:val="32"/>
          <w:szCs w:val="32"/>
          <w:highlight w:val="none"/>
          <w:lang w:val="en-US" w:eastAsia="zh-CN"/>
        </w:rPr>
        <w:t>持续引进</w:t>
      </w:r>
      <w:r>
        <w:rPr>
          <w:rFonts w:hint="eastAsia"/>
          <w:color w:val="auto"/>
          <w:sz w:val="32"/>
          <w:szCs w:val="32"/>
          <w:highlight w:val="none"/>
          <w:lang w:eastAsia="zh-CN"/>
        </w:rPr>
        <w:t>国际团队和</w:t>
      </w:r>
      <w:r>
        <w:rPr>
          <w:rFonts w:hint="eastAsia"/>
          <w:color w:val="auto"/>
          <w:sz w:val="32"/>
          <w:szCs w:val="32"/>
          <w:highlight w:val="none"/>
          <w:lang w:val="en-US" w:eastAsia="zh-CN"/>
        </w:rPr>
        <w:t>国际</w:t>
      </w:r>
      <w:r>
        <w:rPr>
          <w:rFonts w:hint="eastAsia"/>
          <w:color w:val="auto"/>
          <w:sz w:val="32"/>
          <w:szCs w:val="32"/>
          <w:highlight w:val="none"/>
          <w:lang w:eastAsia="zh-CN"/>
        </w:rPr>
        <w:t>组织，打造国际</w:t>
      </w:r>
      <w:r>
        <w:rPr>
          <w:rFonts w:hint="eastAsia"/>
          <w:color w:val="auto"/>
          <w:sz w:val="32"/>
          <w:szCs w:val="32"/>
          <w:highlight w:val="none"/>
          <w:lang w:val="en-US" w:eastAsia="zh-CN"/>
        </w:rPr>
        <w:t>科技组织集聚区</w:t>
      </w:r>
      <w:r>
        <w:rPr>
          <w:rFonts w:hint="eastAsia"/>
          <w:color w:val="auto"/>
          <w:sz w:val="32"/>
          <w:szCs w:val="32"/>
          <w:highlight w:val="none"/>
        </w:rPr>
        <w:t>。</w:t>
      </w:r>
    </w:p>
    <w:tbl>
      <w:tblPr>
        <w:tblStyle w:val="22"/>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844" w:type="dxa"/>
          </w:tcPr>
          <w:p>
            <w:pPr>
              <w:keepNext w:val="0"/>
              <w:keepLines w:val="0"/>
              <w:pageBreakBefore w:val="0"/>
              <w:widowControl w:val="0"/>
              <w:shd w:val="clear"/>
              <w:kinsoku/>
              <w:wordWrap/>
              <w:overflowPunct/>
              <w:topLinePunct w:val="0"/>
              <w:autoSpaceDE/>
              <w:autoSpaceDN/>
              <w:bidi w:val="0"/>
              <w:snapToGrid w:val="0"/>
              <w:spacing w:before="157" w:beforeLines="50" w:after="157" w:afterLines="50" w:line="440" w:lineRule="exact"/>
              <w:jc w:val="center"/>
              <w:textAlignment w:val="auto"/>
              <w:rPr>
                <w:rFonts w:hint="eastAsia" w:ascii="Times New Roman" w:hAnsi="Times New Roman" w:eastAsia="黑体"/>
                <w:color w:val="auto"/>
                <w:kern w:val="0"/>
                <w:sz w:val="28"/>
                <w:szCs w:val="28"/>
                <w:highlight w:val="none"/>
                <w:lang w:val="en-US" w:eastAsia="zh-CN"/>
              </w:rPr>
            </w:pPr>
            <w:r>
              <w:rPr>
                <w:rFonts w:hint="eastAsia" w:ascii="Times New Roman" w:hAnsi="Times New Roman" w:eastAsia="黑体" w:cs="黑体"/>
                <w:color w:val="auto"/>
                <w:kern w:val="0"/>
                <w:sz w:val="28"/>
                <w:szCs w:val="28"/>
                <w:highlight w:val="none"/>
              </w:rPr>
              <w:t>专栏</w:t>
            </w:r>
            <w:r>
              <w:rPr>
                <w:rFonts w:hint="default" w:ascii="Times New Roman" w:hAnsi="Times New Roman" w:eastAsia="黑体" w:cs="Times New Roman"/>
                <w:bCs/>
                <w:color w:val="auto"/>
                <w:sz w:val="28"/>
                <w:szCs w:val="28"/>
                <w:highlight w:val="none"/>
                <w:lang w:val="en-US" w:eastAsia="zh-CN"/>
              </w:rPr>
              <w:t>6</w:t>
            </w:r>
            <w:r>
              <w:rPr>
                <w:rFonts w:hint="eastAsia" w:ascii="Times New Roman" w:hAnsi="Times New Roman" w:eastAsia="黑体"/>
                <w:bCs/>
                <w:color w:val="auto"/>
                <w:kern w:val="0"/>
                <w:sz w:val="28"/>
                <w:szCs w:val="28"/>
                <w:highlight w:val="none"/>
                <w:lang w:val="en-US" w:eastAsia="zh-CN"/>
              </w:rPr>
              <w:t xml:space="preserve">  </w:t>
            </w:r>
            <w:r>
              <w:rPr>
                <w:rFonts w:hint="eastAsia" w:ascii="Times New Roman" w:hAnsi="Times New Roman" w:eastAsia="黑体" w:cs="黑体"/>
                <w:color w:val="auto"/>
                <w:kern w:val="0"/>
                <w:sz w:val="28"/>
                <w:szCs w:val="28"/>
                <w:highlight w:val="none"/>
              </w:rPr>
              <w:t>深海科技创新重大工程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8" w:hRule="atLeast"/>
          <w:jc w:val="center"/>
        </w:trPr>
        <w:tc>
          <w:tcPr>
            <w:tcW w:w="8844" w:type="dxa"/>
            <w:vAlign w:val="center"/>
          </w:tcPr>
          <w:p>
            <w:pPr>
              <w:pStyle w:val="33"/>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460" w:lineRule="exact"/>
              <w:ind w:firstLine="562"/>
              <w:textAlignment w:val="auto"/>
              <w:rPr>
                <w:color w:val="auto"/>
                <w:highlight w:val="none"/>
              </w:rPr>
            </w:pPr>
            <w:r>
              <w:rPr>
                <w:rFonts w:hint="eastAsia" w:cs="Times New Roman"/>
                <w:b/>
                <w:bCs/>
                <w:color w:val="auto"/>
                <w:highlight w:val="none"/>
                <w:lang w:val="en-US" w:eastAsia="zh-CN"/>
              </w:rPr>
              <w:t>1</w:t>
            </w:r>
            <w:r>
              <w:rPr>
                <w:rFonts w:hint="eastAsia" w:ascii="楷体_GB2312" w:hAnsi="楷体_GB2312" w:eastAsia="楷体_GB2312" w:cs="楷体_GB2312"/>
                <w:color w:val="auto"/>
                <w:highlight w:val="none"/>
                <w:lang w:eastAsia="zh-CN"/>
              </w:rPr>
              <w:t>.</w:t>
            </w:r>
            <w:r>
              <w:rPr>
                <w:rFonts w:hint="eastAsia"/>
                <w:b/>
                <w:bCs/>
                <w:color w:val="auto"/>
                <w:highlight w:val="none"/>
              </w:rPr>
              <w:t>三亚崖州湾科技城深远海无人装备未来技术与产业创新平台项目</w:t>
            </w:r>
            <w:r>
              <w:rPr>
                <w:rFonts w:hint="eastAsia"/>
                <w:b/>
                <w:bCs/>
                <w:color w:val="auto"/>
                <w:highlight w:val="none"/>
                <w:lang w:eastAsia="zh-CN"/>
              </w:rPr>
              <w:t>。</w:t>
            </w:r>
            <w:r>
              <w:rPr>
                <w:rFonts w:hint="eastAsia"/>
                <w:color w:val="auto"/>
                <w:highlight w:val="none"/>
              </w:rPr>
              <w:t>推动深海关重小件产业化应用，打造水下无人装备及深海智能装备总装、总成、总测集聚应用地。</w:t>
            </w:r>
          </w:p>
          <w:p>
            <w:pPr>
              <w:pStyle w:val="33"/>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460" w:lineRule="exact"/>
              <w:ind w:firstLine="562"/>
              <w:textAlignment w:val="auto"/>
              <w:rPr>
                <w:color w:val="auto"/>
                <w:highlight w:val="none"/>
                <w:u w:val="single"/>
              </w:rPr>
            </w:pPr>
            <w:r>
              <w:rPr>
                <w:rFonts w:hint="eastAsia" w:cs="Times New Roman"/>
                <w:b/>
                <w:bCs/>
                <w:color w:val="auto"/>
                <w:highlight w:val="none"/>
                <w:u w:val="none"/>
                <w:lang w:val="en-US" w:eastAsia="zh-CN"/>
              </w:rPr>
              <w:t>2</w:t>
            </w:r>
            <w:r>
              <w:rPr>
                <w:rFonts w:hint="eastAsia" w:ascii="楷体_GB2312" w:hAnsi="楷体_GB2312" w:eastAsia="楷体_GB2312" w:cs="楷体_GB2312"/>
                <w:color w:val="auto"/>
                <w:highlight w:val="none"/>
                <w:u w:val="none"/>
                <w:lang w:eastAsia="zh-CN"/>
              </w:rPr>
              <w:t>.</w:t>
            </w:r>
            <w:r>
              <w:rPr>
                <w:rFonts w:hint="eastAsia"/>
                <w:b/>
                <w:bCs/>
                <w:color w:val="auto"/>
                <w:highlight w:val="none"/>
                <w:u w:val="none"/>
              </w:rPr>
              <w:t>三亚崖州湾科技城海洋科学观测网及岸基保障基地项目。</w:t>
            </w:r>
            <w:r>
              <w:rPr>
                <w:rFonts w:hint="eastAsia"/>
                <w:color w:val="auto"/>
                <w:highlight w:val="none"/>
                <w:u w:val="none"/>
              </w:rPr>
              <w:t>建设覆盖全南海</w:t>
            </w:r>
            <w:r>
              <w:rPr>
                <w:rFonts w:hint="default"/>
                <w:color w:val="auto"/>
                <w:highlight w:val="none"/>
                <w:u w:val="none"/>
              </w:rPr>
              <w:t>的</w:t>
            </w:r>
            <w:r>
              <w:rPr>
                <w:rFonts w:hint="eastAsia"/>
                <w:color w:val="auto"/>
                <w:highlight w:val="none"/>
                <w:u w:val="none"/>
              </w:rPr>
              <w:t>观测网，建成综合化、全面化、精细化的</w:t>
            </w:r>
            <w:r>
              <w:rPr>
                <w:rFonts w:hint="eastAsia" w:ascii="仿宋_GB2312" w:hAnsi="仿宋_GB2312" w:eastAsia="仿宋_GB2312" w:cs="仿宋_GB2312"/>
                <w:color w:val="auto"/>
                <w:highlight w:val="none"/>
                <w:u w:val="none"/>
              </w:rPr>
              <w:t>“</w:t>
            </w:r>
            <w:r>
              <w:rPr>
                <w:rFonts w:hint="eastAsia"/>
                <w:color w:val="auto"/>
                <w:highlight w:val="none"/>
                <w:u w:val="none"/>
              </w:rPr>
              <w:t>南海大数据中心</w:t>
            </w:r>
            <w:r>
              <w:rPr>
                <w:rFonts w:hint="eastAsia" w:ascii="仿宋_GB2312" w:hAnsi="仿宋_GB2312" w:eastAsia="仿宋_GB2312" w:cs="仿宋_GB2312"/>
                <w:color w:val="auto"/>
                <w:highlight w:val="none"/>
                <w:u w:val="none"/>
              </w:rPr>
              <w:t>”</w:t>
            </w:r>
            <w:r>
              <w:rPr>
                <w:rFonts w:hint="eastAsia"/>
                <w:color w:val="auto"/>
                <w:highlight w:val="none"/>
                <w:u w:val="none"/>
              </w:rPr>
              <w:t>。</w:t>
            </w:r>
          </w:p>
          <w:p>
            <w:pPr>
              <w:pStyle w:val="33"/>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460" w:lineRule="exact"/>
              <w:ind w:firstLine="562"/>
              <w:textAlignment w:val="auto"/>
              <w:rPr>
                <w:rFonts w:hint="eastAsia"/>
                <w:color w:val="auto"/>
                <w:highlight w:val="none"/>
              </w:rPr>
            </w:pPr>
            <w:r>
              <w:rPr>
                <w:rFonts w:hint="eastAsia" w:cs="楷体"/>
                <w:b/>
                <w:bCs/>
                <w:color w:val="auto"/>
                <w:highlight w:val="none"/>
                <w:lang w:val="en-US" w:eastAsia="zh-CN"/>
              </w:rPr>
              <w:t>3</w:t>
            </w:r>
            <w:r>
              <w:rPr>
                <w:rFonts w:hint="eastAsia" w:ascii="Times New Roman" w:hAnsi="Times New Roman" w:eastAsia="楷体" w:cs="楷体"/>
                <w:b/>
                <w:bCs/>
                <w:color w:val="auto"/>
                <w:highlight w:val="none"/>
                <w:lang w:eastAsia="zh-CN"/>
              </w:rPr>
              <w:t>.</w:t>
            </w:r>
            <w:r>
              <w:rPr>
                <w:rFonts w:hint="eastAsia"/>
                <w:b/>
                <w:bCs/>
                <w:strike w:val="0"/>
                <w:color w:val="auto"/>
                <w:highlight w:val="none"/>
              </w:rPr>
              <w:t>汉江实验</w:t>
            </w:r>
            <w:r>
              <w:rPr>
                <w:rFonts w:hint="eastAsia"/>
                <w:b/>
                <w:bCs/>
                <w:color w:val="auto"/>
                <w:highlight w:val="none"/>
              </w:rPr>
              <w:t>室三亚基地项目。</w:t>
            </w:r>
            <w:r>
              <w:rPr>
                <w:rFonts w:hint="eastAsia"/>
                <w:color w:val="auto"/>
                <w:highlight w:val="none"/>
              </w:rPr>
              <w:t>拟建设综合楼、联调厂房、科研试验和办公场所</w:t>
            </w:r>
            <w:r>
              <w:rPr>
                <w:rFonts w:hint="default" w:ascii="Times New Roman" w:hAnsi="Times New Roman"/>
                <w:color w:val="auto"/>
                <w:highlight w:val="none"/>
              </w:rPr>
              <w:t>，</w:t>
            </w:r>
            <w:r>
              <w:rPr>
                <w:rFonts w:hint="eastAsia" w:ascii="Times New Roman" w:hAnsi="Times New Roman" w:eastAsia="楷体" w:cs="楷体"/>
                <w:color w:val="auto"/>
                <w:sz w:val="28"/>
                <w:szCs w:val="28"/>
                <w:highlight w:val="none"/>
              </w:rPr>
              <w:t>为落实国家深海战略部署、开展深海领域科研创新提供</w:t>
            </w:r>
            <w:r>
              <w:rPr>
                <w:rFonts w:hint="eastAsia" w:ascii="Times New Roman" w:hAnsi="Times New Roman" w:cs="楷体"/>
                <w:color w:val="auto"/>
                <w:sz w:val="28"/>
                <w:szCs w:val="28"/>
                <w:highlight w:val="none"/>
              </w:rPr>
              <w:t>保障</w:t>
            </w:r>
            <w:r>
              <w:rPr>
                <w:rFonts w:hint="eastAsia"/>
                <w:color w:val="auto"/>
                <w:highlight w:val="none"/>
              </w:rPr>
              <w:t>。</w:t>
            </w:r>
          </w:p>
          <w:p>
            <w:pPr>
              <w:pStyle w:val="33"/>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460" w:lineRule="exact"/>
              <w:ind w:firstLine="562"/>
              <w:textAlignment w:val="auto"/>
              <w:rPr>
                <w:rFonts w:hint="eastAsia" w:eastAsia="楷体"/>
                <w:color w:val="auto"/>
                <w:highlight w:val="none"/>
                <w:lang w:eastAsia="zh-CN"/>
              </w:rPr>
            </w:pPr>
            <w:r>
              <w:rPr>
                <w:rFonts w:hint="eastAsia" w:cs="楷体"/>
                <w:b/>
                <w:bCs/>
                <w:color w:val="auto"/>
                <w:highlight w:val="none"/>
                <w:lang w:val="en-US" w:eastAsia="zh-CN"/>
              </w:rPr>
              <w:t>4</w:t>
            </w:r>
            <w:r>
              <w:rPr>
                <w:rFonts w:hint="eastAsia" w:ascii="Times New Roman" w:hAnsi="Times New Roman" w:eastAsia="楷体" w:cs="楷体"/>
                <w:b/>
                <w:bCs/>
                <w:color w:val="auto"/>
                <w:highlight w:val="none"/>
                <w:lang w:eastAsia="zh-CN"/>
              </w:rPr>
              <w:t>.</w:t>
            </w:r>
            <w:r>
              <w:rPr>
                <w:rFonts w:hint="eastAsia" w:ascii="Times New Roman" w:hAnsi="Times New Roman" w:eastAsia="楷体" w:cs="楷体"/>
                <w:b/>
                <w:bCs/>
                <w:i w:val="0"/>
                <w:iCs w:val="0"/>
                <w:caps w:val="0"/>
                <w:color w:val="auto"/>
                <w:spacing w:val="0"/>
                <w:sz w:val="28"/>
                <w:szCs w:val="28"/>
                <w:highlight w:val="none"/>
                <w:shd w:val="clear" w:fill="auto"/>
              </w:rPr>
              <w:t>海洋领域的国家技术创新中心</w:t>
            </w:r>
            <w:r>
              <w:rPr>
                <w:rFonts w:hint="eastAsia"/>
                <w:b/>
                <w:bCs/>
                <w:color w:val="auto"/>
                <w:highlight w:val="none"/>
              </w:rPr>
              <w:t>。</w:t>
            </w:r>
            <w:r>
              <w:rPr>
                <w:rFonts w:hint="eastAsia" w:ascii="Times New Roman" w:hAnsi="Times New Roman" w:eastAsia="楷体" w:cs="楷体"/>
                <w:color w:val="auto"/>
                <w:sz w:val="28"/>
                <w:szCs w:val="28"/>
                <w:highlight w:val="none"/>
              </w:rPr>
              <w:t>紧扣国家深海战略</w:t>
            </w:r>
            <w:r>
              <w:rPr>
                <w:rFonts w:hint="eastAsia" w:cs="楷体"/>
                <w:color w:val="auto"/>
                <w:sz w:val="28"/>
                <w:szCs w:val="28"/>
                <w:highlight w:val="none"/>
              </w:rPr>
              <w:t>、科学技术部</w:t>
            </w:r>
            <w:r>
              <w:rPr>
                <w:rFonts w:hint="eastAsia" w:ascii="Times New Roman" w:hAnsi="Times New Roman" w:eastAsia="楷体" w:cs="楷体"/>
                <w:color w:val="auto"/>
                <w:sz w:val="28"/>
                <w:szCs w:val="28"/>
                <w:highlight w:val="none"/>
              </w:rPr>
              <w:t>相关部署，聚焦重点领域开展技术攻关，</w:t>
            </w:r>
            <w:r>
              <w:rPr>
                <w:rFonts w:hint="eastAsia"/>
                <w:b w:val="0"/>
                <w:bCs w:val="0"/>
                <w:color w:val="auto"/>
                <w:highlight w:val="none"/>
              </w:rPr>
              <w:t>培育新兴海</w:t>
            </w:r>
            <w:r>
              <w:rPr>
                <w:rFonts w:hint="eastAsia"/>
                <w:color w:val="auto"/>
                <w:highlight w:val="none"/>
              </w:rPr>
              <w:t>洋产业，构建海洋领域新质生产力。</w:t>
            </w:r>
          </w:p>
        </w:tc>
      </w:tr>
    </w:tbl>
    <w:p>
      <w:pPr>
        <w:pStyle w:val="4"/>
        <w:keepNext w:val="0"/>
        <w:keepLines w:val="0"/>
        <w:pageBreakBefore w:val="0"/>
        <w:widowControl w:val="0"/>
        <w:kinsoku/>
        <w:wordWrap/>
        <w:overflowPunct/>
        <w:topLinePunct w:val="0"/>
        <w:autoSpaceDE/>
        <w:autoSpaceDN/>
        <w:bidi w:val="0"/>
        <w:adjustRightInd w:val="0"/>
        <w:snapToGrid w:val="0"/>
        <w:spacing w:line="576" w:lineRule="exact"/>
        <w:ind w:left="0" w:leftChars="0" w:firstLine="0" w:firstLineChars="0"/>
        <w:textAlignment w:val="auto"/>
        <w:rPr>
          <w:rFonts w:hint="eastAsia"/>
          <w:color w:val="auto"/>
          <w:highlight w:val="none"/>
        </w:rPr>
      </w:pPr>
      <w:bookmarkStart w:id="418" w:name="_Toc463744850"/>
      <w:bookmarkStart w:id="419" w:name="_Toc1854178700"/>
      <w:bookmarkStart w:id="420" w:name="_Toc257009289"/>
      <w:bookmarkStart w:id="421" w:name="_Toc78053145"/>
      <w:bookmarkStart w:id="422" w:name="_Toc2105378665"/>
      <w:bookmarkStart w:id="423" w:name="_Toc558010748"/>
      <w:bookmarkStart w:id="424" w:name="_Toc1017364590"/>
      <w:bookmarkStart w:id="425" w:name="_Toc18550"/>
      <w:bookmarkStart w:id="426" w:name="_Toc200982550"/>
      <w:bookmarkStart w:id="427" w:name="_Toc1231702376"/>
      <w:bookmarkStart w:id="428" w:name="_Toc213447257"/>
      <w:bookmarkStart w:id="429" w:name="_Toc1748440394"/>
      <w:bookmarkStart w:id="430" w:name="_Toc1880364317"/>
      <w:bookmarkStart w:id="431" w:name="_Toc1345730934"/>
      <w:bookmarkStart w:id="432" w:name="_Toc1717882058"/>
      <w:bookmarkStart w:id="433" w:name="_Toc211979433"/>
      <w:bookmarkStart w:id="434" w:name="_Toc1071661653"/>
      <w:bookmarkStart w:id="435" w:name="_Toc12344"/>
      <w:bookmarkStart w:id="436" w:name="_Toc1399874447"/>
    </w:p>
    <w:p>
      <w:pPr>
        <w:pStyle w:val="4"/>
        <w:keepNext w:val="0"/>
        <w:keepLines w:val="0"/>
        <w:pageBreakBefore w:val="0"/>
        <w:widowControl w:val="0"/>
        <w:kinsoku/>
        <w:wordWrap/>
        <w:overflowPunct/>
        <w:topLinePunct w:val="0"/>
        <w:autoSpaceDE/>
        <w:autoSpaceDN/>
        <w:bidi w:val="0"/>
        <w:adjustRightInd w:val="0"/>
        <w:snapToGrid w:val="0"/>
        <w:spacing w:line="576"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第三节  一体推进教育科技人才发展</w:t>
      </w:r>
      <w:bookmarkEnd w:id="418"/>
      <w:bookmarkEnd w:id="419"/>
      <w:bookmarkEnd w:id="420"/>
      <w:bookmarkEnd w:id="421"/>
      <w:bookmarkEnd w:id="422"/>
      <w:bookmarkEnd w:id="423"/>
      <w:bookmarkEnd w:id="424"/>
      <w:bookmarkEnd w:id="425"/>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lang w:val="en-US" w:eastAsia="zh-CN"/>
        </w:rPr>
      </w:pPr>
      <w:r>
        <w:rPr>
          <w:rFonts w:hint="eastAsia"/>
          <w:b/>
          <w:bCs/>
          <w:color w:val="auto"/>
          <w:sz w:val="32"/>
          <w:szCs w:val="32"/>
          <w:highlight w:val="none"/>
        </w:rPr>
        <w:t>建设高质量人才队伍。</w:t>
      </w:r>
      <w:r>
        <w:rPr>
          <w:rFonts w:hint="eastAsia"/>
          <w:color w:val="auto"/>
          <w:sz w:val="32"/>
          <w:szCs w:val="32"/>
          <w:highlight w:val="none"/>
        </w:rPr>
        <w:t>深入贯彻落实</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百万英才兴海南</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行动，高标准推进海南自由贸易港人才荟萃之岛</w:t>
      </w:r>
      <w:r>
        <w:rPr>
          <w:rFonts w:hint="eastAsia"/>
          <w:color w:val="auto"/>
          <w:sz w:val="32"/>
          <w:szCs w:val="32"/>
          <w:highlight w:val="none"/>
          <w:lang w:eastAsia="zh-CN"/>
        </w:rPr>
        <w:t>、技术创新之岛</w:t>
      </w:r>
      <w:r>
        <w:rPr>
          <w:rFonts w:hint="eastAsia"/>
          <w:color w:val="auto"/>
          <w:sz w:val="32"/>
          <w:szCs w:val="32"/>
          <w:highlight w:val="none"/>
        </w:rPr>
        <w:t>三亚核心承载区建设，持续优化引才机制，拓宽聚才渠道。依托崖州湾国家实验室、中国科学院深海科学与工程研究所等重大科创平台，集聚国家战略科学家、科技领军人才和优秀青年科技人才，持续强化科技创新人才梯队建设。围绕产业链补链延链和优化升级，加快引进一批产业领域卓越工程师、科技人才、技术技能人才、经营管理人才和复合型人才，持续壮大产业人才队伍规模。高标准建设国家海外人才离岸创新创业基地（三亚崖州湾科技城）及三亚留学人员创业园，</w:t>
      </w:r>
      <w:r>
        <w:rPr>
          <w:rFonts w:hint="eastAsia"/>
          <w:color w:val="auto"/>
          <w:sz w:val="32"/>
          <w:szCs w:val="32"/>
          <w:highlight w:val="none"/>
          <w:lang w:eastAsia="zh-CN"/>
        </w:rPr>
        <w:t>积极</w:t>
      </w:r>
      <w:r>
        <w:rPr>
          <w:rFonts w:hint="eastAsia"/>
          <w:color w:val="auto"/>
          <w:sz w:val="32"/>
          <w:szCs w:val="32"/>
          <w:highlight w:val="none"/>
        </w:rPr>
        <w:t>引育世界优秀人才。</w:t>
      </w:r>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r>
        <w:rPr>
          <w:rFonts w:hint="eastAsia"/>
          <w:b/>
          <w:bCs/>
          <w:color w:val="auto"/>
          <w:sz w:val="32"/>
          <w:szCs w:val="32"/>
          <w:highlight w:val="none"/>
        </w:rPr>
        <w:t>推进人才自主培养。</w:t>
      </w:r>
      <w:r>
        <w:rPr>
          <w:rFonts w:hint="eastAsia"/>
          <w:color w:val="auto"/>
          <w:sz w:val="32"/>
          <w:szCs w:val="32"/>
          <w:highlight w:val="none"/>
        </w:rPr>
        <w:t>围绕</w:t>
      </w:r>
      <w:r>
        <w:rPr>
          <w:rFonts w:hint="eastAsia"/>
          <w:color w:val="auto"/>
          <w:sz w:val="32"/>
          <w:szCs w:val="32"/>
          <w:highlight w:val="none"/>
          <w:lang w:eastAsia="zh-CN"/>
        </w:rPr>
        <w:t>南繁种业、深海科技等</w:t>
      </w:r>
      <w:r>
        <w:rPr>
          <w:rFonts w:hint="eastAsia"/>
          <w:color w:val="auto"/>
          <w:sz w:val="32"/>
          <w:szCs w:val="32"/>
          <w:highlight w:val="none"/>
        </w:rPr>
        <w:t>产业发展，加快探索</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园区</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科研</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教育</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人才培育模式，</w:t>
      </w:r>
      <w:r>
        <w:rPr>
          <w:rFonts w:hint="eastAsia"/>
          <w:color w:val="auto"/>
          <w:sz w:val="32"/>
          <w:szCs w:val="32"/>
          <w:highlight w:val="none"/>
          <w:lang w:eastAsia="zh-CN"/>
        </w:rPr>
        <w:t>推进</w:t>
      </w:r>
      <w:r>
        <w:rPr>
          <w:rFonts w:hint="eastAsia"/>
          <w:color w:val="auto"/>
          <w:sz w:val="32"/>
          <w:szCs w:val="32"/>
          <w:highlight w:val="none"/>
        </w:rPr>
        <w:t>崖州湾科技城科教融汇示范区建设，推动高校、</w:t>
      </w:r>
      <w:r>
        <w:rPr>
          <w:rFonts w:hint="eastAsia"/>
          <w:color w:val="auto"/>
          <w:sz w:val="32"/>
          <w:szCs w:val="32"/>
          <w:highlight w:val="none"/>
          <w:lang w:eastAsia="zh-CN"/>
        </w:rPr>
        <w:t>科创平台、</w:t>
      </w:r>
      <w:r>
        <w:rPr>
          <w:rFonts w:hint="eastAsia"/>
          <w:color w:val="auto"/>
          <w:sz w:val="32"/>
          <w:szCs w:val="32"/>
          <w:highlight w:val="none"/>
        </w:rPr>
        <w:t>科研机构与企业共建共育共享</w:t>
      </w:r>
      <w:r>
        <w:rPr>
          <w:rFonts w:hint="eastAsia"/>
          <w:color w:val="auto"/>
          <w:sz w:val="32"/>
          <w:szCs w:val="32"/>
          <w:highlight w:val="none"/>
          <w:lang w:eastAsia="zh-CN"/>
        </w:rPr>
        <w:t>人才资源</w:t>
      </w:r>
      <w:r>
        <w:rPr>
          <w:rFonts w:hint="eastAsia"/>
          <w:color w:val="auto"/>
          <w:sz w:val="32"/>
          <w:szCs w:val="32"/>
          <w:highlight w:val="none"/>
        </w:rPr>
        <w:t>，引导科教资源向重大创新平台和重点创新任务集聚，推进教育、科技、人才深度融合。构建与产业发展相适配的技能人才培养体系，健全科学公正的技能人才评价机制，搭建精准高效的技能人才服务平台，完善覆盖全产业链的技能人才发展生态链。探索实施基础学科和交叉学科突破计划，加强新兴学科</w:t>
      </w:r>
      <w:r>
        <w:rPr>
          <w:rFonts w:hint="eastAsia"/>
          <w:color w:val="auto"/>
          <w:sz w:val="32"/>
          <w:szCs w:val="32"/>
          <w:highlight w:val="none"/>
          <w:lang w:eastAsia="zh-CN"/>
        </w:rPr>
        <w:t>等领域</w:t>
      </w:r>
      <w:r>
        <w:rPr>
          <w:rFonts w:hint="eastAsia"/>
          <w:color w:val="auto"/>
          <w:sz w:val="32"/>
          <w:szCs w:val="32"/>
          <w:highlight w:val="none"/>
        </w:rPr>
        <w:t>拔尖人才</w:t>
      </w:r>
      <w:r>
        <w:rPr>
          <w:rFonts w:hint="eastAsia"/>
          <w:color w:val="auto"/>
          <w:sz w:val="32"/>
          <w:szCs w:val="32"/>
          <w:highlight w:val="none"/>
          <w:lang w:eastAsia="zh-CN"/>
        </w:rPr>
        <w:t>的</w:t>
      </w:r>
      <w:r>
        <w:rPr>
          <w:rFonts w:hint="eastAsia"/>
          <w:color w:val="auto"/>
          <w:sz w:val="32"/>
          <w:szCs w:val="32"/>
          <w:highlight w:val="none"/>
        </w:rPr>
        <w:t>培养，持续推动各入驻院校开展研究生培养。</w:t>
      </w:r>
    </w:p>
    <w:p>
      <w:pPr>
        <w:pStyle w:val="31"/>
        <w:pageBreakBefore w:val="0"/>
        <w:widowControl w:val="0"/>
        <w:kinsoku/>
        <w:wordWrap/>
        <w:overflowPunct/>
        <w:topLinePunct w:val="0"/>
        <w:autoSpaceDE/>
        <w:autoSpaceDN/>
        <w:bidi w:val="0"/>
        <w:adjustRightInd w:val="0"/>
        <w:snapToGrid w:val="0"/>
        <w:spacing w:line="576" w:lineRule="exact"/>
        <w:ind w:firstLine="642" w:firstLineChars="200"/>
        <w:textAlignment w:val="auto"/>
        <w:rPr>
          <w:rFonts w:hint="eastAsia"/>
          <w:color w:val="auto"/>
          <w:sz w:val="32"/>
          <w:szCs w:val="32"/>
          <w:highlight w:val="none"/>
        </w:rPr>
      </w:pPr>
      <w:r>
        <w:rPr>
          <w:rFonts w:hint="eastAsia"/>
          <w:b/>
          <w:bCs/>
          <w:color w:val="auto"/>
          <w:sz w:val="32"/>
          <w:szCs w:val="32"/>
          <w:highlight w:val="none"/>
        </w:rPr>
        <w:t>构建用好用活人才机制。</w:t>
      </w:r>
      <w:r>
        <w:rPr>
          <w:rFonts w:hint="eastAsia"/>
          <w:color w:val="auto"/>
          <w:sz w:val="32"/>
          <w:szCs w:val="32"/>
          <w:highlight w:val="none"/>
        </w:rPr>
        <w:t>积极承接人才发展</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授权松绑</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事项，在科研经费使用、国际职业资格认可等领域形成可复制推广的改革成果。持续优化人才流动机制，推动职称评审线上化办理，畅通高技能人才与专业技术人才职业发展贯通渠道。深化科教界</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帽子</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治理，建立健全多元分类评价体系，不断完善以创新能力、质量、实效和贡献为导向的人才评价机制。深化国际人才管理改革，用好高技术人才移民制度和相关签证政策，畅通国际（境外）专业人才流通渠道。充分发挥三亚市院士联合会平台作用，组织开展高水平学术交流活动。挖掘银发精英资源，扩大</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鹿城银辉</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政策实施效果。</w:t>
      </w:r>
      <w:bookmarkStart w:id="437" w:name="_Toc1451140777"/>
      <w:bookmarkStart w:id="438" w:name="_Toc1214278466"/>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r>
        <w:rPr>
          <w:rFonts w:hint="eastAsia"/>
          <w:b/>
          <w:bCs/>
          <w:color w:val="auto"/>
          <w:sz w:val="32"/>
          <w:szCs w:val="32"/>
          <w:highlight w:val="none"/>
        </w:rPr>
        <w:t>优化人才发展环境。</w:t>
      </w:r>
      <w:r>
        <w:rPr>
          <w:rFonts w:hint="eastAsia"/>
          <w:color w:val="auto"/>
          <w:sz w:val="32"/>
          <w:szCs w:val="32"/>
          <w:highlight w:val="none"/>
        </w:rPr>
        <w:t>坚持党对人才工作的全面领导，形成党委统一领导、组织部门牵头抓总、职能部门各司其职的人才工作格局。持续强化对人才的政治引领和政治吸纳，深化落实党委联系服务重点专家制度，提升对主要领域重点专家的联系服务水平。营造一流的国际人才创新创业发展环境，吸引社会力量建设国际人才社区，推动外籍人才、港澳台人才在三亚工作居留政策更加开放便利。推动人才服务事项跨区域通办，健全人才诉求联动处理机制，提高人才诉求响应与服务质效，营造近悦远来、宜居宜业的人才发展环境，不断增强人才的归属感、获得感和成就感。</w:t>
      </w:r>
      <w:bookmarkEnd w:id="437"/>
      <w:bookmarkEnd w:id="438"/>
      <w:bookmarkStart w:id="439" w:name="_Toc81134921"/>
      <w:bookmarkStart w:id="440" w:name="_Toc1685649641"/>
      <w:bookmarkStart w:id="441" w:name="_Toc1645853855"/>
    </w:p>
    <w:p>
      <w:pPr>
        <w:pStyle w:val="4"/>
        <w:pageBreakBefore w:val="0"/>
        <w:widowControl w:val="0"/>
        <w:shd w:val="clear"/>
        <w:kinsoku/>
        <w:wordWrap/>
        <w:overflowPunct/>
        <w:topLinePunct w:val="0"/>
        <w:autoSpaceDE/>
        <w:autoSpaceDN/>
        <w:bidi w:val="0"/>
        <w:adjustRightInd w:val="0"/>
        <w:snapToGrid w:val="0"/>
        <w:spacing w:line="576" w:lineRule="exact"/>
        <w:ind w:left="0" w:leftChars="0" w:firstLine="0" w:firstLineChars="0"/>
        <w:textAlignment w:val="auto"/>
        <w:rPr>
          <w:rFonts w:hint="eastAsia"/>
          <w:color w:val="auto"/>
          <w:sz w:val="32"/>
          <w:szCs w:val="32"/>
          <w:highlight w:val="none"/>
        </w:rPr>
      </w:pPr>
      <w:bookmarkStart w:id="442" w:name="_Toc681958175"/>
      <w:bookmarkStart w:id="443" w:name="_Toc1092232543"/>
      <w:bookmarkStart w:id="444" w:name="_Toc7751"/>
      <w:bookmarkStart w:id="445" w:name="_Toc194647046"/>
      <w:bookmarkStart w:id="446" w:name="_Toc451483917"/>
    </w:p>
    <w:p>
      <w:pPr>
        <w:pStyle w:val="4"/>
        <w:pageBreakBefore w:val="0"/>
        <w:widowControl w:val="0"/>
        <w:shd w:val="clear"/>
        <w:kinsoku/>
        <w:wordWrap/>
        <w:overflowPunct/>
        <w:topLinePunct w:val="0"/>
        <w:autoSpaceDE/>
        <w:autoSpaceDN/>
        <w:bidi w:val="0"/>
        <w:adjustRightInd w:val="0"/>
        <w:snapToGrid w:val="0"/>
        <w:spacing w:line="576"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第四节  营造充满活力的创新生态</w:t>
      </w:r>
      <w:bookmarkEnd w:id="426"/>
      <w:bookmarkEnd w:id="427"/>
      <w:bookmarkEnd w:id="428"/>
      <w:bookmarkEnd w:id="429"/>
      <w:bookmarkEnd w:id="430"/>
      <w:bookmarkEnd w:id="431"/>
      <w:bookmarkEnd w:id="432"/>
      <w:bookmarkEnd w:id="433"/>
      <w:bookmarkEnd w:id="434"/>
      <w:bookmarkEnd w:id="435"/>
      <w:bookmarkEnd w:id="436"/>
      <w:bookmarkEnd w:id="439"/>
      <w:bookmarkEnd w:id="440"/>
      <w:bookmarkEnd w:id="441"/>
      <w:bookmarkEnd w:id="442"/>
      <w:bookmarkEnd w:id="443"/>
      <w:bookmarkEnd w:id="444"/>
      <w:bookmarkEnd w:id="445"/>
      <w:bookmarkEnd w:id="446"/>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p>
    <w:p>
      <w:pPr>
        <w:pStyle w:val="31"/>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rPr>
        <w:t>推进</w:t>
      </w:r>
      <w:r>
        <w:rPr>
          <w:rFonts w:hint="eastAsia" w:ascii="仿宋_GB2312" w:hAnsi="仿宋_GB2312" w:eastAsia="仿宋_GB2312" w:cs="仿宋_GB2312"/>
          <w:b/>
          <w:bCs/>
          <w:color w:val="auto"/>
          <w:sz w:val="32"/>
          <w:szCs w:val="32"/>
          <w:highlight w:val="none"/>
        </w:rPr>
        <w:t>“</w:t>
      </w:r>
      <w:r>
        <w:rPr>
          <w:rFonts w:hint="eastAsia"/>
          <w:b/>
          <w:bCs/>
          <w:color w:val="auto"/>
          <w:sz w:val="32"/>
          <w:szCs w:val="32"/>
          <w:highlight w:val="none"/>
        </w:rPr>
        <w:t>政产学研金服用</w:t>
      </w:r>
      <w:r>
        <w:rPr>
          <w:rFonts w:hint="eastAsia" w:ascii="仿宋_GB2312" w:hAnsi="仿宋_GB2312" w:eastAsia="仿宋_GB2312" w:cs="仿宋_GB2312"/>
          <w:b/>
          <w:bCs/>
          <w:color w:val="auto"/>
          <w:sz w:val="32"/>
          <w:szCs w:val="32"/>
          <w:highlight w:val="none"/>
        </w:rPr>
        <w:t>”</w:t>
      </w:r>
      <w:r>
        <w:rPr>
          <w:rFonts w:hint="eastAsia"/>
          <w:b/>
          <w:bCs/>
          <w:color w:val="auto"/>
          <w:sz w:val="32"/>
          <w:szCs w:val="32"/>
          <w:highlight w:val="none"/>
        </w:rPr>
        <w:t>一体化创新。</w:t>
      </w:r>
      <w:r>
        <w:rPr>
          <w:rFonts w:hint="eastAsia"/>
          <w:color w:val="auto"/>
          <w:sz w:val="32"/>
          <w:szCs w:val="32"/>
          <w:highlight w:val="none"/>
        </w:rPr>
        <w:t>深化政府、企业、高校、科研院所、金融机构等主体合作，提升创新体系整体效能。强化企业科技创新主体地位，加快构建高新技术</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种子企业、瞪羚企业、领军企业</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精英梯队，梯度培育一批创新型、专精特新中小企业</w:t>
      </w:r>
      <w:r>
        <w:rPr>
          <w:rFonts w:hint="eastAsia"/>
          <w:color w:val="auto"/>
          <w:sz w:val="32"/>
          <w:szCs w:val="32"/>
          <w:highlight w:val="none"/>
          <w:lang w:eastAsia="zh-CN"/>
        </w:rPr>
        <w:t>和</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小巨人</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企业</w:t>
      </w:r>
      <w:r>
        <w:rPr>
          <w:rFonts w:hint="eastAsia"/>
          <w:color w:val="auto"/>
          <w:sz w:val="32"/>
          <w:szCs w:val="32"/>
          <w:highlight w:val="none"/>
          <w:lang w:eastAsia="zh-CN"/>
        </w:rPr>
        <w:t>。</w:t>
      </w:r>
      <w:r>
        <w:rPr>
          <w:rFonts w:hint="eastAsia"/>
          <w:color w:val="auto"/>
          <w:sz w:val="32"/>
          <w:szCs w:val="32"/>
          <w:highlight w:val="none"/>
        </w:rPr>
        <w:t>建立企业常态化参与科技创新决策机制，支持企业牵头与高校、科研院所联合成立产业技术研究院、工程实验室、产业创新联盟，健全</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揭榜挂帅</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机制，合力开展重大科技攻关。加强创业园、孵化器、加速器等创新创业载体建设，建立健全海外人才创新创业项目路演机制。发展天使基金、创业基金等风险投资，鼓励金融机构开发科技金融产品。建设高价值专利培育中心，培育一批具有较强前瞻性、能够引领产业发展的高价值专利和专利组合。开展专利导航项目，推动专利导航纳入各类主体创新决策过程。健全科技治理体系，</w:t>
      </w:r>
      <w:r>
        <w:rPr>
          <w:color w:val="auto"/>
          <w:sz w:val="32"/>
          <w:szCs w:val="32"/>
          <w:highlight w:val="none"/>
        </w:rPr>
        <w:t>加强科技法治、伦理、诚信、安全建设。</w:t>
      </w:r>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r>
        <w:rPr>
          <w:rFonts w:hint="eastAsia"/>
          <w:b/>
          <w:bCs/>
          <w:color w:val="auto"/>
          <w:sz w:val="32"/>
          <w:szCs w:val="32"/>
          <w:highlight w:val="none"/>
        </w:rPr>
        <w:t>加快科技创新成果转化。</w:t>
      </w:r>
      <w:r>
        <w:rPr>
          <w:color w:val="auto"/>
          <w:sz w:val="32"/>
          <w:szCs w:val="32"/>
          <w:highlight w:val="none"/>
        </w:rPr>
        <w:t>提升建设海南国家科技成果转移转化示范区，</w:t>
      </w:r>
      <w:r>
        <w:rPr>
          <w:rFonts w:hint="eastAsia"/>
          <w:color w:val="auto"/>
          <w:sz w:val="32"/>
          <w:szCs w:val="32"/>
          <w:highlight w:val="none"/>
        </w:rPr>
        <w:t>建立科技成果</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先用后转</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机制，推广</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先投后股</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支持模式</w:t>
      </w:r>
      <w:r>
        <w:rPr>
          <w:color w:val="auto"/>
          <w:sz w:val="32"/>
          <w:szCs w:val="32"/>
          <w:highlight w:val="none"/>
        </w:rPr>
        <w:t>。</w:t>
      </w:r>
      <w:r>
        <w:rPr>
          <w:rFonts w:hint="eastAsia"/>
          <w:color w:val="auto"/>
          <w:sz w:val="32"/>
          <w:szCs w:val="32"/>
          <w:highlight w:val="none"/>
        </w:rPr>
        <w:t>高质量推进崖州湾科技城知识产权特区建设，深化专利、商标、版权、地理标志、植物新品种知识产权</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五合一</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综合管理体制改革。积极</w:t>
      </w:r>
      <w:r>
        <w:rPr>
          <w:rFonts w:hint="eastAsia"/>
          <w:color w:val="auto"/>
          <w:sz w:val="32"/>
          <w:szCs w:val="32"/>
          <w:highlight w:val="none"/>
          <w:lang w:eastAsia="zh-CN"/>
        </w:rPr>
        <w:t>建设</w:t>
      </w:r>
      <w:r>
        <w:rPr>
          <w:rFonts w:hint="eastAsia"/>
          <w:color w:val="auto"/>
          <w:sz w:val="32"/>
          <w:szCs w:val="32"/>
          <w:highlight w:val="none"/>
        </w:rPr>
        <w:t>国家级种业</w:t>
      </w:r>
      <w:r>
        <w:rPr>
          <w:rFonts w:hint="eastAsia"/>
          <w:color w:val="auto"/>
          <w:sz w:val="32"/>
          <w:szCs w:val="32"/>
          <w:highlight w:val="none"/>
          <w:lang w:eastAsia="zh-CN"/>
        </w:rPr>
        <w:t>产业</w:t>
      </w:r>
      <w:r>
        <w:rPr>
          <w:rFonts w:hint="eastAsia"/>
          <w:color w:val="auto"/>
          <w:sz w:val="32"/>
          <w:szCs w:val="32"/>
          <w:highlight w:val="none"/>
        </w:rPr>
        <w:t>知识产权运营中心，</w:t>
      </w:r>
      <w:r>
        <w:rPr>
          <w:rFonts w:hint="eastAsia"/>
          <w:color w:val="auto"/>
          <w:sz w:val="32"/>
          <w:szCs w:val="32"/>
          <w:highlight w:val="none"/>
          <w:lang w:eastAsia="zh-CN"/>
        </w:rPr>
        <w:t>推进</w:t>
      </w:r>
      <w:r>
        <w:rPr>
          <w:rFonts w:hint="eastAsia"/>
          <w:color w:val="auto"/>
          <w:sz w:val="32"/>
          <w:szCs w:val="32"/>
          <w:highlight w:val="none"/>
        </w:rPr>
        <w:t>概念验证、中试验证、创新设计、公共检测等各类科技成果转化公共服务平台</w:t>
      </w:r>
      <w:r>
        <w:rPr>
          <w:rFonts w:hint="eastAsia"/>
          <w:color w:val="auto"/>
          <w:sz w:val="32"/>
          <w:szCs w:val="32"/>
          <w:highlight w:val="none"/>
          <w:lang w:eastAsia="zh-CN"/>
        </w:rPr>
        <w:t>建设</w:t>
      </w:r>
      <w:r>
        <w:rPr>
          <w:rFonts w:hint="eastAsia"/>
          <w:color w:val="auto"/>
          <w:sz w:val="32"/>
          <w:szCs w:val="32"/>
          <w:highlight w:val="none"/>
        </w:rPr>
        <w:t>，构建</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概念验证</w:t>
      </w:r>
      <w:r>
        <w:rPr>
          <w:rFonts w:hint="eastAsia" w:ascii="仿宋_GB2312" w:hAnsi="仿宋_GB2312" w:cs="仿宋_GB2312"/>
          <w:color w:val="auto"/>
          <w:sz w:val="32"/>
          <w:szCs w:val="32"/>
          <w:highlight w:val="none"/>
          <w:lang w:eastAsia="zh-CN"/>
        </w:rPr>
        <w:t>—</w:t>
      </w:r>
      <w:r>
        <w:rPr>
          <w:rFonts w:hint="eastAsia"/>
          <w:color w:val="auto"/>
          <w:sz w:val="32"/>
          <w:szCs w:val="32"/>
          <w:highlight w:val="none"/>
        </w:rPr>
        <w:t>中试熟化</w:t>
      </w:r>
      <w:r>
        <w:rPr>
          <w:rFonts w:hint="eastAsia" w:ascii="仿宋_GB2312" w:hAnsi="仿宋_GB2312" w:cs="仿宋_GB2312"/>
          <w:color w:val="auto"/>
          <w:sz w:val="32"/>
          <w:szCs w:val="32"/>
          <w:highlight w:val="none"/>
          <w:lang w:eastAsia="zh-CN"/>
        </w:rPr>
        <w:t>—</w:t>
      </w:r>
      <w:r>
        <w:rPr>
          <w:rFonts w:hint="eastAsia"/>
          <w:color w:val="auto"/>
          <w:sz w:val="32"/>
          <w:szCs w:val="32"/>
          <w:highlight w:val="none"/>
        </w:rPr>
        <w:t>产业孵化</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全链条成果转化体系。</w:t>
      </w:r>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bookmarkStart w:id="447" w:name="_Toc200982551"/>
      <w:r>
        <w:rPr>
          <w:rFonts w:hint="eastAsia"/>
          <w:b/>
          <w:bCs/>
          <w:color w:val="auto"/>
          <w:sz w:val="32"/>
          <w:szCs w:val="32"/>
          <w:highlight w:val="none"/>
        </w:rPr>
        <w:t>深化科技创新交流合作。</w:t>
      </w:r>
      <w:r>
        <w:rPr>
          <w:rFonts w:hint="eastAsia"/>
          <w:color w:val="auto"/>
          <w:sz w:val="32"/>
          <w:szCs w:val="32"/>
          <w:highlight w:val="none"/>
        </w:rPr>
        <w:t>加大实施开放创新力度，支持企业、高校和科研机构开展国际科技合作，推动落地一批国际性专业学术论坛会议和国际性专业合作组织。</w:t>
      </w:r>
      <w:r>
        <w:rPr>
          <w:rFonts w:hint="eastAsia"/>
          <w:color w:val="auto"/>
          <w:sz w:val="32"/>
          <w:szCs w:val="32"/>
          <w:highlight w:val="none"/>
          <w:lang w:eastAsia="zh-CN"/>
        </w:rPr>
        <w:t>积极</w:t>
      </w:r>
      <w:r>
        <w:rPr>
          <w:rFonts w:hint="eastAsia"/>
          <w:color w:val="auto"/>
          <w:sz w:val="32"/>
          <w:szCs w:val="32"/>
          <w:highlight w:val="none"/>
        </w:rPr>
        <w:t>对接粤港澳大湾区、长三角等创新资源富集地区，吸引科技园区共建飞地园区。</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447"/>
      <w:bookmarkStart w:id="448" w:name="_Toc2004315157"/>
      <w:bookmarkStart w:id="449" w:name="_Toc213447258"/>
      <w:bookmarkStart w:id="450" w:name="_Toc211979440"/>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p>
    <w:p>
      <w:pPr>
        <w:pStyle w:val="31"/>
        <w:rPr>
          <w:rFonts w:hint="eastAsia"/>
          <w:color w:val="auto"/>
          <w:sz w:val="32"/>
          <w:szCs w:val="32"/>
          <w:highlight w:val="none"/>
        </w:rPr>
      </w:pPr>
      <w:bookmarkStart w:id="451" w:name="_Toc422717844"/>
      <w:bookmarkStart w:id="452" w:name="_Toc94982517"/>
      <w:bookmarkStart w:id="453" w:name="_Toc1828308886"/>
      <w:bookmarkStart w:id="454" w:name="_Toc19286"/>
      <w:bookmarkStart w:id="455" w:name="_Toc1764049794"/>
      <w:bookmarkStart w:id="456" w:name="_Toc1203611892"/>
      <w:bookmarkStart w:id="457" w:name="_Toc57630650"/>
      <w:bookmarkStart w:id="458" w:name="_Toc558459200"/>
    </w:p>
    <w:p>
      <w:pPr>
        <w:pStyle w:val="31"/>
        <w:rPr>
          <w:rFonts w:hint="eastAsia"/>
          <w:color w:val="auto"/>
          <w:sz w:val="32"/>
          <w:szCs w:val="32"/>
          <w:highlight w:val="none"/>
        </w:rPr>
      </w:pPr>
    </w:p>
    <w:p>
      <w:pPr>
        <w:pStyle w:val="31"/>
        <w:rPr>
          <w:rFonts w:hint="eastAsia"/>
          <w:color w:val="auto"/>
          <w:sz w:val="32"/>
          <w:szCs w:val="32"/>
          <w:highlight w:val="none"/>
        </w:rPr>
      </w:pPr>
    </w:p>
    <w:p>
      <w:pPr>
        <w:pStyle w:val="31"/>
        <w:adjustRightInd w:val="0"/>
        <w:snapToGrid w:val="0"/>
        <w:spacing w:line="576" w:lineRule="exact"/>
        <w:rPr>
          <w:rFonts w:hint="eastAsia"/>
          <w:color w:val="auto"/>
          <w:sz w:val="32"/>
          <w:szCs w:val="32"/>
          <w:highlight w:val="none"/>
        </w:rPr>
      </w:pPr>
    </w:p>
    <w:p>
      <w:pPr>
        <w:pStyle w:val="31"/>
        <w:adjustRightInd w:val="0"/>
        <w:snapToGrid w:val="0"/>
        <w:spacing w:line="576" w:lineRule="exact"/>
        <w:ind w:firstLine="0" w:firstLineChars="0"/>
        <w:rPr>
          <w:rFonts w:hint="eastAsia"/>
          <w:color w:val="auto"/>
          <w:sz w:val="32"/>
          <w:szCs w:val="32"/>
          <w:highlight w:val="none"/>
        </w:rPr>
      </w:pPr>
    </w:p>
    <w:p>
      <w:pPr>
        <w:pStyle w:val="31"/>
        <w:adjustRightInd w:val="0"/>
        <w:snapToGrid w:val="0"/>
        <w:spacing w:line="576" w:lineRule="exact"/>
        <w:ind w:firstLine="0" w:firstLineChars="0"/>
        <w:rPr>
          <w:rFonts w:hint="eastAsia"/>
          <w:color w:val="auto"/>
          <w:sz w:val="32"/>
          <w:szCs w:val="32"/>
          <w:highlight w:val="none"/>
        </w:rPr>
      </w:pPr>
    </w:p>
    <w:p>
      <w:pPr>
        <w:pStyle w:val="3"/>
        <w:pageBreakBefore w:val="0"/>
        <w:widowControl w:val="0"/>
        <w:shd w:val="clear"/>
        <w:kinsoku/>
        <w:wordWrap/>
        <w:overflowPunct/>
        <w:topLinePunct w:val="0"/>
        <w:autoSpaceDE/>
        <w:autoSpaceDN/>
        <w:bidi w:val="0"/>
        <w:adjustRightInd w:val="0"/>
        <w:snapToGrid w:val="0"/>
        <w:spacing w:line="576" w:lineRule="exact"/>
        <w:jc w:val="both"/>
        <w:textAlignment w:val="auto"/>
        <w:rPr>
          <w:rFonts w:hint="eastAsia"/>
          <w:color w:val="auto"/>
          <w:sz w:val="32"/>
          <w:szCs w:val="32"/>
          <w:highlight w:val="none"/>
        </w:rPr>
      </w:pPr>
    </w:p>
    <w:p>
      <w:pPr>
        <w:pStyle w:val="3"/>
        <w:pageBreakBefore w:val="0"/>
        <w:widowControl w:val="0"/>
        <w:shd w:val="clear"/>
        <w:kinsoku/>
        <w:wordWrap/>
        <w:overflowPunct/>
        <w:topLinePunct w:val="0"/>
        <w:autoSpaceDE/>
        <w:autoSpaceDN/>
        <w:bidi w:val="0"/>
        <w:adjustRightInd w:val="0"/>
        <w:snapToGrid w:val="0"/>
        <w:spacing w:line="576" w:lineRule="exact"/>
        <w:textAlignment w:val="auto"/>
        <w:rPr>
          <w:rFonts w:hint="eastAsia" w:ascii="方正小标宋简体" w:hAnsi="方正小标宋简体" w:eastAsia="方正小标宋简体" w:cs="方正小标宋简体"/>
          <w:color w:val="auto"/>
          <w:spacing w:val="-6"/>
          <w:w w:val="96"/>
          <w:sz w:val="40"/>
          <w:szCs w:val="40"/>
          <w:highlight w:val="none"/>
        </w:rPr>
      </w:pPr>
      <w:r>
        <w:rPr>
          <w:rFonts w:hint="eastAsia" w:ascii="方正小标宋简体" w:hAnsi="方正小标宋简体" w:eastAsia="方正小标宋简体" w:cs="方正小标宋简体"/>
          <w:color w:val="auto"/>
          <w:w w:val="100"/>
          <w:sz w:val="40"/>
          <w:szCs w:val="40"/>
          <w:highlight w:val="none"/>
        </w:rPr>
        <w:t xml:space="preserve">第七章  </w:t>
      </w:r>
      <w:r>
        <w:rPr>
          <w:rFonts w:hint="eastAsia" w:ascii="方正小标宋简体" w:hAnsi="方正小标宋简体" w:eastAsia="方正小标宋简体" w:cs="方正小标宋简体"/>
          <w:color w:val="auto"/>
          <w:spacing w:val="-6"/>
          <w:w w:val="96"/>
          <w:sz w:val="40"/>
          <w:szCs w:val="40"/>
          <w:highlight w:val="none"/>
        </w:rPr>
        <w:t>构建具有三亚特色</w:t>
      </w:r>
      <w:r>
        <w:rPr>
          <w:rFonts w:hint="eastAsia" w:ascii="方正小标宋简体" w:hAnsi="方正小标宋简体" w:eastAsia="方正小标宋简体" w:cs="方正小标宋简体"/>
          <w:color w:val="auto"/>
          <w:spacing w:val="-6"/>
          <w:w w:val="96"/>
          <w:sz w:val="40"/>
          <w:szCs w:val="40"/>
          <w:highlight w:val="none"/>
          <w:lang w:eastAsia="zh-CN"/>
        </w:rPr>
        <w:t>和优势</w:t>
      </w:r>
      <w:r>
        <w:rPr>
          <w:rFonts w:hint="eastAsia" w:ascii="方正小标宋简体" w:hAnsi="方正小标宋简体" w:eastAsia="方正小标宋简体" w:cs="方正小标宋简体"/>
          <w:color w:val="auto"/>
          <w:spacing w:val="-6"/>
          <w:w w:val="96"/>
          <w:sz w:val="40"/>
          <w:szCs w:val="40"/>
          <w:highlight w:val="none"/>
        </w:rPr>
        <w:t>的现代化产业体系</w:t>
      </w:r>
      <w:bookmarkEnd w:id="448"/>
      <w:bookmarkEnd w:id="449"/>
      <w:bookmarkEnd w:id="451"/>
      <w:bookmarkEnd w:id="452"/>
      <w:bookmarkEnd w:id="453"/>
      <w:bookmarkEnd w:id="454"/>
      <w:bookmarkEnd w:id="455"/>
      <w:bookmarkEnd w:id="456"/>
      <w:bookmarkEnd w:id="457"/>
      <w:bookmarkEnd w:id="458"/>
    </w:p>
    <w:p>
      <w:pPr>
        <w:pStyle w:val="31"/>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color w:val="auto"/>
          <w:sz w:val="32"/>
          <w:szCs w:val="32"/>
          <w:highlight w:val="none"/>
        </w:rPr>
      </w:pPr>
    </w:p>
    <w:p>
      <w:pPr>
        <w:pStyle w:val="31"/>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color w:val="auto"/>
          <w:sz w:val="32"/>
          <w:szCs w:val="32"/>
          <w:highlight w:val="none"/>
        </w:rPr>
      </w:pPr>
    </w:p>
    <w:p>
      <w:pPr>
        <w:pStyle w:val="31"/>
        <w:keepNext w:val="0"/>
        <w:keepLines w:val="0"/>
        <w:pageBreakBefore w:val="0"/>
        <w:widowControl w:val="0"/>
        <w:kinsoku/>
        <w:wordWrap/>
        <w:overflowPunct/>
        <w:topLinePunct w:val="0"/>
        <w:autoSpaceDE/>
        <w:autoSpaceDN/>
        <w:bidi w:val="0"/>
        <w:adjustRightInd w:val="0"/>
        <w:snapToGrid w:val="0"/>
        <w:spacing w:line="550" w:lineRule="exact"/>
        <w:textAlignment w:val="auto"/>
        <w:rPr>
          <w:rFonts w:ascii="Times New Roman" w:hAnsi="Times New Roman" w:eastAsia="仿宋"/>
          <w:color w:val="auto"/>
          <w:sz w:val="32"/>
          <w:szCs w:val="32"/>
          <w:highlight w:val="none"/>
          <w:lang w:val="en"/>
        </w:rPr>
      </w:pPr>
      <w:r>
        <w:rPr>
          <w:rFonts w:hint="eastAsia"/>
          <w:color w:val="auto"/>
          <w:sz w:val="32"/>
          <w:szCs w:val="32"/>
          <w:highlight w:val="none"/>
        </w:rPr>
        <w:t>坚持智能化、绿色化、融合化发展方向，坚定不移发展实体经济，加快推进“四大主导产业”补链延链、优化升级，因地制宜培育发展新质生产力，不断增强创新力和竞争力。</w:t>
      </w:r>
    </w:p>
    <w:p>
      <w:pPr>
        <w:pStyle w:val="4"/>
        <w:keepNext w:val="0"/>
        <w:keepLines w:val="0"/>
        <w:pageBreakBefore w:val="0"/>
        <w:widowControl w:val="0"/>
        <w:shd w:val="clear"/>
        <w:kinsoku/>
        <w:wordWrap/>
        <w:overflowPunct/>
        <w:topLinePunct w:val="0"/>
        <w:autoSpaceDE/>
        <w:autoSpaceDN/>
        <w:bidi w:val="0"/>
        <w:adjustRightInd w:val="0"/>
        <w:snapToGrid w:val="0"/>
        <w:spacing w:line="550" w:lineRule="exact"/>
        <w:ind w:left="0" w:leftChars="0" w:firstLine="0" w:firstLineChars="0"/>
        <w:textAlignment w:val="auto"/>
        <w:rPr>
          <w:rFonts w:hint="eastAsia"/>
          <w:b w:val="0"/>
          <w:bCs/>
          <w:color w:val="auto"/>
          <w:sz w:val="32"/>
          <w:szCs w:val="32"/>
          <w:highlight w:val="none"/>
        </w:rPr>
      </w:pPr>
      <w:bookmarkStart w:id="459" w:name="_Toc510403272"/>
      <w:bookmarkStart w:id="460" w:name="_Toc211243555"/>
      <w:bookmarkStart w:id="461" w:name="_Toc133542204"/>
      <w:bookmarkStart w:id="462" w:name="_Toc1292392869"/>
      <w:bookmarkStart w:id="463" w:name="_Toc1618980867"/>
      <w:bookmarkStart w:id="464" w:name="_Toc1711321310"/>
      <w:bookmarkStart w:id="465" w:name="_Toc1133066821"/>
      <w:bookmarkStart w:id="466" w:name="_Toc521511157"/>
      <w:bookmarkStart w:id="467" w:name="_Toc712346798"/>
      <w:bookmarkStart w:id="468" w:name="_Toc1256566574"/>
      <w:bookmarkStart w:id="469" w:name="_Toc211979435"/>
      <w:bookmarkStart w:id="470" w:name="_Toc443410666"/>
      <w:bookmarkStart w:id="471" w:name="_Toc1707293307"/>
      <w:bookmarkStart w:id="472" w:name="_Toc1099044117"/>
      <w:bookmarkStart w:id="473" w:name="_Toc982615072"/>
      <w:bookmarkStart w:id="474" w:name="_Toc4037"/>
      <w:bookmarkStart w:id="475" w:name="_Toc213447259"/>
      <w:bookmarkStart w:id="476" w:name="_Toc27222"/>
    </w:p>
    <w:p>
      <w:pPr>
        <w:pStyle w:val="4"/>
        <w:keepNext w:val="0"/>
        <w:keepLines w:val="0"/>
        <w:pageBreakBefore w:val="0"/>
        <w:widowControl w:val="0"/>
        <w:shd w:val="clear"/>
        <w:kinsoku/>
        <w:wordWrap/>
        <w:overflowPunct/>
        <w:topLinePunct w:val="0"/>
        <w:autoSpaceDE/>
        <w:autoSpaceDN/>
        <w:bidi w:val="0"/>
        <w:adjustRightInd w:val="0"/>
        <w:snapToGrid w:val="0"/>
        <w:spacing w:line="550" w:lineRule="exact"/>
        <w:ind w:left="0" w:leftChars="0" w:firstLine="0" w:firstLineChars="0"/>
        <w:jc w:val="center"/>
        <w:textAlignment w:val="auto"/>
        <w:rPr>
          <w:rFonts w:hint="eastAsia" w:ascii="黑体" w:hAnsi="黑体" w:eastAsia="黑体" w:cs="黑体"/>
          <w:b w:val="0"/>
          <w:bCs/>
          <w:color w:val="auto"/>
          <w:sz w:val="32"/>
          <w:szCs w:val="32"/>
          <w:highlight w:val="none"/>
          <w:lang w:val="en"/>
        </w:rPr>
      </w:pPr>
      <w:r>
        <w:rPr>
          <w:rFonts w:hint="eastAsia" w:ascii="黑体" w:hAnsi="黑体" w:eastAsia="黑体" w:cs="黑体"/>
          <w:b w:val="0"/>
          <w:bCs/>
          <w:color w:val="auto"/>
          <w:sz w:val="32"/>
          <w:szCs w:val="32"/>
          <w:highlight w:val="none"/>
        </w:rPr>
        <w:t>第一节  积极发展特色先进制造业</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p>
    <w:p>
      <w:pPr>
        <w:pStyle w:val="31"/>
        <w:keepNext w:val="0"/>
        <w:keepLines w:val="0"/>
        <w:pageBreakBefore w:val="0"/>
        <w:widowControl w:val="0"/>
        <w:kinsoku/>
        <w:wordWrap/>
        <w:overflowPunct/>
        <w:topLinePunct w:val="0"/>
        <w:autoSpaceDE/>
        <w:autoSpaceDN/>
        <w:bidi w:val="0"/>
        <w:adjustRightInd w:val="0"/>
        <w:snapToGrid w:val="0"/>
        <w:spacing w:line="550" w:lineRule="exact"/>
        <w:textAlignment w:val="auto"/>
        <w:rPr>
          <w:rFonts w:hint="eastAsia"/>
          <w:color w:val="auto"/>
          <w:sz w:val="32"/>
          <w:szCs w:val="32"/>
          <w:highlight w:val="none"/>
        </w:rPr>
      </w:pPr>
    </w:p>
    <w:p>
      <w:pPr>
        <w:pStyle w:val="31"/>
        <w:keepNext w:val="0"/>
        <w:keepLines w:val="0"/>
        <w:pageBreakBefore w:val="0"/>
        <w:widowControl w:val="0"/>
        <w:kinsoku/>
        <w:wordWrap/>
        <w:overflowPunct/>
        <w:topLinePunct w:val="0"/>
        <w:autoSpaceDE/>
        <w:autoSpaceDN/>
        <w:bidi w:val="0"/>
        <w:adjustRightInd w:val="0"/>
        <w:snapToGrid w:val="0"/>
        <w:spacing w:line="550" w:lineRule="exact"/>
        <w:textAlignment w:val="auto"/>
        <w:rPr>
          <w:color w:val="auto"/>
          <w:sz w:val="32"/>
          <w:szCs w:val="32"/>
          <w:highlight w:val="none"/>
        </w:rPr>
      </w:pPr>
      <w:r>
        <w:rPr>
          <w:rFonts w:hint="eastAsia"/>
          <w:b/>
          <w:bCs/>
          <w:color w:val="auto"/>
          <w:sz w:val="32"/>
          <w:szCs w:val="32"/>
          <w:highlight w:val="none"/>
        </w:rPr>
        <w:t>依托自贸港政策优势发展先进制造业。</w:t>
      </w:r>
      <w:r>
        <w:rPr>
          <w:rFonts w:hint="eastAsia"/>
          <w:color w:val="auto"/>
          <w:sz w:val="32"/>
          <w:szCs w:val="32"/>
          <w:highlight w:val="none"/>
        </w:rPr>
        <w:t>拓展与共建</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一带一路</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国家和发达经济体</w:t>
      </w:r>
      <w:r>
        <w:rPr>
          <w:rFonts w:hint="eastAsia"/>
          <w:color w:val="auto"/>
          <w:sz w:val="32"/>
          <w:szCs w:val="32"/>
          <w:highlight w:val="none"/>
          <w:lang w:eastAsia="zh-CN"/>
        </w:rPr>
        <w:t>的</w:t>
      </w:r>
      <w:r>
        <w:rPr>
          <w:rFonts w:hint="eastAsia"/>
          <w:color w:val="auto"/>
          <w:sz w:val="32"/>
          <w:szCs w:val="32"/>
          <w:highlight w:val="none"/>
        </w:rPr>
        <w:t>合作，鼓励企业开展跨境和国际业务，</w:t>
      </w:r>
      <w:r>
        <w:rPr>
          <w:rFonts w:hint="eastAsia"/>
          <w:color w:val="auto"/>
          <w:sz w:val="32"/>
          <w:szCs w:val="32"/>
          <w:highlight w:val="none"/>
          <w:lang w:eastAsia="zh-CN"/>
        </w:rPr>
        <w:t>培育</w:t>
      </w:r>
      <w:r>
        <w:rPr>
          <w:rFonts w:hint="eastAsia"/>
          <w:color w:val="auto"/>
          <w:sz w:val="32"/>
          <w:szCs w:val="32"/>
          <w:highlight w:val="none"/>
        </w:rPr>
        <w:t>发展</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一头在外</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两头在外</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的加工、</w:t>
      </w:r>
      <w:r>
        <w:rPr>
          <w:rFonts w:hint="eastAsia"/>
          <w:color w:val="auto"/>
          <w:sz w:val="32"/>
          <w:szCs w:val="32"/>
          <w:highlight w:val="none"/>
          <w:lang w:eastAsia="zh-CN"/>
        </w:rPr>
        <w:t>保税</w:t>
      </w:r>
      <w:r>
        <w:rPr>
          <w:rFonts w:hint="eastAsia"/>
          <w:color w:val="auto"/>
          <w:sz w:val="32"/>
          <w:szCs w:val="32"/>
          <w:highlight w:val="none"/>
        </w:rPr>
        <w:t>维修</w:t>
      </w:r>
      <w:r>
        <w:rPr>
          <w:rFonts w:hint="eastAsia"/>
          <w:color w:val="auto"/>
          <w:sz w:val="32"/>
          <w:szCs w:val="32"/>
          <w:highlight w:val="none"/>
          <w:lang w:eastAsia="zh-CN"/>
        </w:rPr>
        <w:t>和再制造</w:t>
      </w:r>
      <w:r>
        <w:rPr>
          <w:rFonts w:hint="eastAsia"/>
          <w:color w:val="auto"/>
          <w:sz w:val="32"/>
          <w:szCs w:val="32"/>
          <w:highlight w:val="none"/>
        </w:rPr>
        <w:t>等产业。与制造业大省建立跨区域产业协作机制，共建先进制造业产业园，推动发展高端装备、船舶机械、医疗器械、电子产品等领域的保税再制造业务。大力引进国内龙头企业，高标准推进金谷产业园扩容提质，深化产业链</w:t>
      </w:r>
      <w:r>
        <w:rPr>
          <w:rFonts w:hint="eastAsia"/>
          <w:color w:val="auto"/>
          <w:sz w:val="32"/>
          <w:szCs w:val="32"/>
          <w:highlight w:val="none"/>
          <w:lang w:eastAsia="zh-CN"/>
        </w:rPr>
        <w:t>延伸和全链条落地，</w:t>
      </w:r>
      <w:r>
        <w:rPr>
          <w:rFonts w:hint="eastAsia"/>
          <w:color w:val="auto"/>
          <w:sz w:val="32"/>
          <w:szCs w:val="32"/>
          <w:highlight w:val="none"/>
        </w:rPr>
        <w:t>重点发展黄金</w:t>
      </w:r>
      <w:r>
        <w:rPr>
          <w:rFonts w:hint="eastAsia"/>
          <w:color w:val="auto"/>
          <w:sz w:val="32"/>
          <w:szCs w:val="32"/>
          <w:highlight w:val="none"/>
          <w:lang w:eastAsia="zh-CN"/>
        </w:rPr>
        <w:t>等有色金属</w:t>
      </w:r>
      <w:r>
        <w:rPr>
          <w:rFonts w:hint="eastAsia"/>
          <w:color w:val="auto"/>
          <w:sz w:val="32"/>
          <w:szCs w:val="32"/>
          <w:highlight w:val="none"/>
        </w:rPr>
        <w:t>精炼、高端珠宝定制、时尚饰品设计、宝玉石加工等业态</w:t>
      </w:r>
      <w:r>
        <w:rPr>
          <w:rFonts w:hint="eastAsia"/>
          <w:color w:val="auto"/>
          <w:sz w:val="32"/>
          <w:szCs w:val="32"/>
          <w:highlight w:val="none"/>
          <w:lang w:eastAsia="zh-CN"/>
        </w:rPr>
        <w:t>，打造千亿级</w:t>
      </w:r>
      <w:r>
        <w:rPr>
          <w:rFonts w:hint="eastAsia"/>
          <w:color w:val="auto"/>
          <w:sz w:val="32"/>
          <w:szCs w:val="32"/>
          <w:highlight w:val="none"/>
        </w:rPr>
        <w:t>现代</w:t>
      </w:r>
      <w:r>
        <w:rPr>
          <w:rFonts w:hint="eastAsia"/>
          <w:color w:val="auto"/>
          <w:sz w:val="32"/>
          <w:szCs w:val="32"/>
          <w:highlight w:val="none"/>
          <w:lang w:eastAsia="zh-CN"/>
        </w:rPr>
        <w:t>黄金珠宝产业集群</w:t>
      </w:r>
      <w:r>
        <w:rPr>
          <w:rFonts w:hint="eastAsia"/>
          <w:color w:val="auto"/>
          <w:sz w:val="32"/>
          <w:szCs w:val="32"/>
          <w:highlight w:val="none"/>
        </w:rPr>
        <w:t>。积极引入食品加工、装备制造等优势企业，发展高端食品</w:t>
      </w:r>
      <w:r>
        <w:rPr>
          <w:rFonts w:hint="eastAsia"/>
          <w:color w:val="auto"/>
          <w:sz w:val="32"/>
          <w:szCs w:val="32"/>
          <w:highlight w:val="none"/>
          <w:lang w:val="en-US" w:eastAsia="zh-CN"/>
        </w:rPr>
        <w:t>饮料</w:t>
      </w:r>
      <w:r>
        <w:rPr>
          <w:rFonts w:hint="eastAsia"/>
          <w:color w:val="auto"/>
          <w:sz w:val="32"/>
          <w:szCs w:val="32"/>
          <w:highlight w:val="none"/>
        </w:rPr>
        <w:t>加工，打造现代食品饮料加工产业集群，探索形成</w:t>
      </w:r>
      <w:r>
        <w:rPr>
          <w:rFonts w:hint="eastAsia" w:ascii="仿宋_GB2312" w:hAnsi="仿宋_GB2312" w:eastAsia="仿宋_GB2312" w:cs="仿宋_GB2312"/>
          <w:color w:val="auto"/>
          <w:sz w:val="32"/>
          <w:szCs w:val="32"/>
          <w:highlight w:val="none"/>
        </w:rPr>
        <w:t>“</w:t>
      </w:r>
      <w:r>
        <w:rPr>
          <w:color w:val="auto"/>
          <w:sz w:val="32"/>
          <w:szCs w:val="32"/>
          <w:highlight w:val="none"/>
        </w:rPr>
        <w:t>海外原料</w:t>
      </w:r>
      <w:r>
        <w:rPr>
          <w:rFonts w:hint="eastAsia"/>
          <w:color w:val="auto"/>
          <w:sz w:val="32"/>
          <w:szCs w:val="32"/>
          <w:highlight w:val="none"/>
          <w:lang w:eastAsia="zh-CN"/>
        </w:rPr>
        <w:t>采购—</w:t>
      </w:r>
      <w:r>
        <w:rPr>
          <w:color w:val="auto"/>
          <w:sz w:val="32"/>
          <w:szCs w:val="32"/>
          <w:highlight w:val="none"/>
        </w:rPr>
        <w:t>三亚加工</w:t>
      </w:r>
      <w:r>
        <w:rPr>
          <w:rFonts w:hint="eastAsia"/>
          <w:color w:val="auto"/>
          <w:sz w:val="32"/>
          <w:szCs w:val="32"/>
          <w:highlight w:val="none"/>
          <w:lang w:eastAsia="zh-CN"/>
        </w:rPr>
        <w:t>—国内外</w:t>
      </w:r>
      <w:r>
        <w:rPr>
          <w:color w:val="auto"/>
          <w:sz w:val="32"/>
          <w:szCs w:val="32"/>
          <w:highlight w:val="none"/>
        </w:rPr>
        <w:t>分销通道</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的模式。</w:t>
      </w:r>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r>
        <w:rPr>
          <w:rFonts w:hint="eastAsia"/>
          <w:b/>
          <w:bCs/>
          <w:color w:val="auto"/>
          <w:sz w:val="32"/>
          <w:szCs w:val="32"/>
          <w:highlight w:val="none"/>
        </w:rPr>
        <w:t>依托</w:t>
      </w:r>
      <w:r>
        <w:rPr>
          <w:rFonts w:hint="eastAsia" w:ascii="仿宋_GB2312" w:hAnsi="仿宋_GB2312" w:eastAsia="仿宋_GB2312" w:cs="仿宋_GB2312"/>
          <w:b/>
          <w:bCs/>
          <w:color w:val="auto"/>
          <w:sz w:val="32"/>
          <w:szCs w:val="32"/>
          <w:highlight w:val="none"/>
        </w:rPr>
        <w:t>“</w:t>
      </w:r>
      <w:r>
        <w:rPr>
          <w:rFonts w:hint="eastAsia"/>
          <w:b/>
          <w:bCs/>
          <w:color w:val="auto"/>
          <w:sz w:val="32"/>
          <w:szCs w:val="32"/>
          <w:highlight w:val="none"/>
        </w:rPr>
        <w:t>三度一色</w:t>
      </w:r>
      <w:r>
        <w:rPr>
          <w:rFonts w:hint="eastAsia" w:ascii="仿宋_GB2312" w:hAnsi="仿宋_GB2312" w:eastAsia="仿宋_GB2312" w:cs="仿宋_GB2312"/>
          <w:b/>
          <w:bCs/>
          <w:color w:val="auto"/>
          <w:sz w:val="32"/>
          <w:szCs w:val="32"/>
          <w:highlight w:val="none"/>
        </w:rPr>
        <w:t>”</w:t>
      </w:r>
      <w:r>
        <w:rPr>
          <w:rFonts w:hint="eastAsia"/>
          <w:b/>
          <w:bCs/>
          <w:color w:val="auto"/>
          <w:sz w:val="32"/>
          <w:szCs w:val="32"/>
          <w:highlight w:val="none"/>
        </w:rPr>
        <w:t>优势发展先进制造业。</w:t>
      </w:r>
      <w:r>
        <w:rPr>
          <w:rFonts w:hint="eastAsia"/>
          <w:color w:val="auto"/>
          <w:sz w:val="32"/>
          <w:szCs w:val="32"/>
          <w:highlight w:val="none"/>
        </w:rPr>
        <w:t>积极发展深海装备、种业加工贸易和节能环保产业。聚焦深远海无人装备、载人潜水器、新能源特种作业等场景需求发展深海装备制造产业，加快推进深海装备加工与装配中心、深海装备产业园建设，因地制宜发展深海非标准件、关键小件制造。聚焦南繁种业高质量发展，加快热带作物、畜禽、水产种业等产业集聚，发展一批具有核心研发能力、产业带动力的优势企业，打造</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育繁推服</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一体化种业全产业链，推动农产品加工业升级。大力发展环保产业，</w:t>
      </w:r>
      <w:r>
        <w:rPr>
          <w:rFonts w:hint="eastAsia"/>
          <w:color w:val="auto"/>
          <w:sz w:val="32"/>
          <w:szCs w:val="32"/>
          <w:highlight w:val="none"/>
          <w:lang w:eastAsia="zh-CN"/>
        </w:rPr>
        <w:t>探索培育氢能产业，</w:t>
      </w:r>
      <w:r>
        <w:rPr>
          <w:rFonts w:hint="eastAsia"/>
          <w:color w:val="auto"/>
          <w:sz w:val="32"/>
          <w:szCs w:val="32"/>
          <w:highlight w:val="none"/>
        </w:rPr>
        <w:t>积极培育环保加工制造、废旧物品回收利用、绿色建材等产业，构建全链条资源循环利用体系。</w:t>
      </w:r>
    </w:p>
    <w:p>
      <w:pPr>
        <w:pStyle w:val="31"/>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rPr>
        <w:t>依托旅游优势发展先进制造业。</w:t>
      </w:r>
      <w:r>
        <w:rPr>
          <w:rFonts w:hint="eastAsia"/>
          <w:color w:val="auto"/>
          <w:sz w:val="32"/>
          <w:szCs w:val="32"/>
          <w:highlight w:val="none"/>
        </w:rPr>
        <w:t>强化高端文旅消费场景牵引，加快布局游艇、低空制造等先进制造业。完善游艇制造产业配套体系，布局游艇研发设计中心、配件生产和维修保养基地，引入国际知名品牌，发展游艇定制化制造。培育发展新能源游艇装备制造。强化低空装备制造技术支撑体系，培育发展直升机、无人机、滑翔伞等装备的维修保养和器件生产，研制适用于热带海岛环境的低空飞行器。引入航空维修和装备制造企业，共建三亚航空维修基地，培养本地化维修和生产技术人才，提升装备本地化保障能力。</w:t>
      </w:r>
    </w:p>
    <w:p>
      <w:pPr>
        <w:pStyle w:val="4"/>
        <w:pageBreakBefore w:val="0"/>
        <w:widowControl w:val="0"/>
        <w:shd w:val="clear"/>
        <w:kinsoku/>
        <w:wordWrap/>
        <w:overflowPunct/>
        <w:topLinePunct w:val="0"/>
        <w:autoSpaceDE/>
        <w:autoSpaceDN/>
        <w:bidi w:val="0"/>
        <w:adjustRightInd w:val="0"/>
        <w:snapToGrid w:val="0"/>
        <w:spacing w:line="576" w:lineRule="exact"/>
        <w:ind w:left="0" w:leftChars="0" w:firstLine="0" w:firstLineChars="0"/>
        <w:textAlignment w:val="auto"/>
        <w:rPr>
          <w:rFonts w:hint="eastAsia"/>
          <w:color w:val="auto"/>
          <w:sz w:val="32"/>
          <w:szCs w:val="32"/>
          <w:highlight w:val="none"/>
        </w:rPr>
      </w:pPr>
      <w:bookmarkStart w:id="477" w:name="_Toc1830218893"/>
      <w:bookmarkStart w:id="478" w:name="_Toc1410372303"/>
      <w:bookmarkStart w:id="479" w:name="_Toc1399931318"/>
      <w:bookmarkStart w:id="480" w:name="_Toc1203522997"/>
      <w:bookmarkStart w:id="481" w:name="_Toc211979436"/>
      <w:bookmarkStart w:id="482" w:name="_Toc211243556"/>
      <w:bookmarkStart w:id="483" w:name="_Toc26764"/>
      <w:bookmarkStart w:id="484" w:name="_Toc2145442444"/>
      <w:bookmarkStart w:id="485" w:name="_Toc514281484"/>
      <w:bookmarkStart w:id="486" w:name="_Toc1820638390"/>
      <w:bookmarkStart w:id="487" w:name="_Toc352470011"/>
      <w:bookmarkStart w:id="488" w:name="_Toc979359774"/>
      <w:bookmarkStart w:id="489" w:name="_Toc1560258551"/>
      <w:bookmarkStart w:id="490" w:name="_Toc213447260"/>
      <w:bookmarkStart w:id="491" w:name="_Toc1362591829"/>
      <w:bookmarkStart w:id="492" w:name="_Toc2106737164"/>
      <w:bookmarkStart w:id="493" w:name="_Toc1859794373"/>
      <w:bookmarkStart w:id="494" w:name="_Toc17852"/>
    </w:p>
    <w:p>
      <w:pPr>
        <w:pStyle w:val="4"/>
        <w:pageBreakBefore w:val="0"/>
        <w:widowControl w:val="0"/>
        <w:shd w:val="clear"/>
        <w:kinsoku/>
        <w:wordWrap/>
        <w:overflowPunct/>
        <w:topLinePunct w:val="0"/>
        <w:autoSpaceDE/>
        <w:autoSpaceDN/>
        <w:bidi w:val="0"/>
        <w:adjustRightInd w:val="0"/>
        <w:snapToGrid w:val="0"/>
        <w:spacing w:line="576"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第二节  培育</w:t>
      </w:r>
      <w:bookmarkEnd w:id="477"/>
      <w:bookmarkEnd w:id="478"/>
      <w:bookmarkEnd w:id="479"/>
      <w:bookmarkEnd w:id="480"/>
      <w:bookmarkEnd w:id="481"/>
      <w:bookmarkEnd w:id="482"/>
      <w:bookmarkEnd w:id="483"/>
      <w:bookmarkEnd w:id="484"/>
      <w:r>
        <w:rPr>
          <w:rFonts w:hint="eastAsia" w:ascii="黑体" w:hAnsi="黑体" w:eastAsia="黑体" w:cs="黑体"/>
          <w:b w:val="0"/>
          <w:bCs/>
          <w:color w:val="auto"/>
          <w:sz w:val="32"/>
          <w:szCs w:val="32"/>
          <w:highlight w:val="none"/>
        </w:rPr>
        <w:t>壮大新兴产业和未来产业</w:t>
      </w:r>
      <w:bookmarkEnd w:id="485"/>
      <w:bookmarkEnd w:id="486"/>
      <w:bookmarkEnd w:id="487"/>
      <w:bookmarkEnd w:id="488"/>
      <w:bookmarkEnd w:id="489"/>
      <w:bookmarkEnd w:id="490"/>
      <w:bookmarkEnd w:id="491"/>
      <w:bookmarkEnd w:id="492"/>
      <w:bookmarkEnd w:id="493"/>
      <w:bookmarkEnd w:id="494"/>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bookmarkStart w:id="495" w:name="_Toc713843830"/>
      <w:bookmarkStart w:id="496" w:name="_Toc26807"/>
      <w:bookmarkStart w:id="497" w:name="_Toc254251019"/>
      <w:bookmarkStart w:id="498" w:name="_Toc880281796"/>
      <w:bookmarkStart w:id="499" w:name="_Toc1446803416"/>
      <w:bookmarkStart w:id="500" w:name="_Toc386632615"/>
    </w:p>
    <w:p>
      <w:pPr>
        <w:pStyle w:val="31"/>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color w:val="auto"/>
          <w:sz w:val="32"/>
          <w:szCs w:val="32"/>
          <w:highlight w:val="none"/>
        </w:rPr>
      </w:pPr>
      <w:r>
        <w:rPr>
          <w:rFonts w:hint="eastAsia"/>
          <w:b/>
          <w:bCs/>
          <w:color w:val="auto"/>
          <w:sz w:val="32"/>
          <w:szCs w:val="32"/>
          <w:highlight w:val="none"/>
        </w:rPr>
        <w:t>培育发展数字产业。</w:t>
      </w:r>
      <w:r>
        <w:rPr>
          <w:rFonts w:hint="eastAsia"/>
          <w:color w:val="auto"/>
          <w:sz w:val="32"/>
          <w:szCs w:val="32"/>
          <w:highlight w:val="none"/>
        </w:rPr>
        <w:t>加快三亚数字经济产业园建设，围绕</w:t>
      </w:r>
      <w:r>
        <w:rPr>
          <w:rFonts w:hint="eastAsia"/>
          <w:color w:val="auto"/>
          <w:sz w:val="32"/>
          <w:szCs w:val="32"/>
          <w:highlight w:val="none"/>
          <w:lang w:eastAsia="zh-CN"/>
        </w:rPr>
        <w:t>游戏电竞、</w:t>
      </w:r>
      <w:r>
        <w:rPr>
          <w:rFonts w:hint="eastAsia"/>
          <w:color w:val="auto"/>
          <w:sz w:val="32"/>
          <w:szCs w:val="32"/>
          <w:highlight w:val="none"/>
        </w:rPr>
        <w:t>短剧影视、跨境电商、人工智能、数字制造等领域</w:t>
      </w:r>
      <w:r>
        <w:rPr>
          <w:rFonts w:hint="eastAsia"/>
          <w:color w:val="auto"/>
          <w:sz w:val="32"/>
          <w:szCs w:val="32"/>
          <w:highlight w:val="none"/>
          <w:lang w:eastAsia="zh-CN"/>
        </w:rPr>
        <w:t>，</w:t>
      </w:r>
      <w:r>
        <w:rPr>
          <w:rFonts w:hint="eastAsia"/>
          <w:color w:val="auto"/>
          <w:sz w:val="32"/>
          <w:szCs w:val="32"/>
          <w:highlight w:val="none"/>
        </w:rPr>
        <w:t>培育发展数字贸易、数字文娱</w:t>
      </w:r>
      <w:r>
        <w:rPr>
          <w:rFonts w:hint="eastAsia"/>
          <w:color w:val="auto"/>
          <w:sz w:val="32"/>
          <w:szCs w:val="32"/>
          <w:highlight w:val="none"/>
          <w:lang w:eastAsia="zh-CN"/>
        </w:rPr>
        <w:t>、</w:t>
      </w:r>
      <w:r>
        <w:rPr>
          <w:rFonts w:hint="eastAsia"/>
          <w:color w:val="auto"/>
          <w:sz w:val="32"/>
          <w:szCs w:val="32"/>
          <w:highlight w:val="none"/>
        </w:rPr>
        <w:t>数字基建、数字服务等数字核心产业。促进数字经济与实体经济深度融合，大力推进文旅</w:t>
      </w:r>
      <w:r>
        <w:rPr>
          <w:rFonts w:hint="eastAsia"/>
          <w:color w:val="auto"/>
          <w:sz w:val="32"/>
          <w:szCs w:val="32"/>
          <w:highlight w:val="none"/>
          <w:lang w:eastAsia="zh-CN"/>
        </w:rPr>
        <w:t>、工业、农业、服务业等</w:t>
      </w:r>
      <w:r>
        <w:rPr>
          <w:rFonts w:hint="eastAsia"/>
          <w:color w:val="auto"/>
          <w:sz w:val="32"/>
          <w:szCs w:val="32"/>
          <w:highlight w:val="none"/>
        </w:rPr>
        <w:t>重点领域数字化转型，</w:t>
      </w:r>
      <w:r>
        <w:rPr>
          <w:rFonts w:hint="eastAsia"/>
          <w:color w:val="auto"/>
          <w:sz w:val="32"/>
          <w:szCs w:val="32"/>
          <w:highlight w:val="none"/>
          <w:lang w:eastAsia="zh-CN"/>
        </w:rPr>
        <w:t>拓展</w:t>
      </w:r>
      <w:r>
        <w:rPr>
          <w:rFonts w:hint="eastAsia"/>
          <w:color w:val="auto"/>
          <w:sz w:val="32"/>
          <w:szCs w:val="32"/>
          <w:highlight w:val="none"/>
        </w:rPr>
        <w:t>跨境电子商务、直播</w:t>
      </w:r>
      <w:r>
        <w:rPr>
          <w:rFonts w:hint="eastAsia"/>
          <w:color w:val="auto"/>
          <w:sz w:val="32"/>
          <w:szCs w:val="32"/>
          <w:highlight w:val="none"/>
          <w:lang w:eastAsia="zh-CN"/>
        </w:rPr>
        <w:t>领域的数字化应用</w:t>
      </w:r>
      <w:r>
        <w:rPr>
          <w:rFonts w:hint="eastAsia"/>
          <w:color w:val="auto"/>
          <w:sz w:val="32"/>
          <w:szCs w:val="32"/>
          <w:highlight w:val="none"/>
        </w:rPr>
        <w:t>，打造云逛街、云购物、云体验等数字消费新场景。深入推进</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人工智能</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行动，</w:t>
      </w:r>
      <w:r>
        <w:rPr>
          <w:rFonts w:hint="eastAsia"/>
          <w:color w:val="auto"/>
          <w:sz w:val="32"/>
          <w:szCs w:val="32"/>
          <w:highlight w:val="none"/>
          <w:lang w:eastAsia="zh-CN"/>
        </w:rPr>
        <w:t>积极发展</w:t>
      </w:r>
      <w:r>
        <w:rPr>
          <w:rFonts w:hint="eastAsia"/>
          <w:color w:val="auto"/>
          <w:sz w:val="32"/>
          <w:szCs w:val="32"/>
          <w:highlight w:val="none"/>
        </w:rPr>
        <w:t>具身智能</w:t>
      </w:r>
      <w:r>
        <w:rPr>
          <w:rFonts w:hint="eastAsia"/>
          <w:color w:val="auto"/>
          <w:sz w:val="32"/>
          <w:szCs w:val="32"/>
          <w:highlight w:val="none"/>
          <w:lang w:eastAsia="zh-CN"/>
        </w:rPr>
        <w:t>，推动具身机器人在多元场景落地应用，促进</w:t>
      </w:r>
      <w:r>
        <w:rPr>
          <w:rFonts w:hint="eastAsia"/>
          <w:color w:val="auto"/>
          <w:sz w:val="32"/>
          <w:szCs w:val="32"/>
          <w:highlight w:val="none"/>
        </w:rPr>
        <w:t>人工智能赋能产业链供应链协同发展，以应用场景为牵引，强化算力、数据、算法等资源供给，支持人工智能与南繁种业、深海科技、生命科学、现代服务业的融合应用。</w:t>
      </w:r>
      <w:r>
        <w:rPr>
          <w:rFonts w:hint="eastAsia"/>
          <w:color w:val="auto"/>
          <w:sz w:val="32"/>
          <w:szCs w:val="32"/>
          <w:highlight w:val="none"/>
          <w:lang w:eastAsia="zh-CN"/>
        </w:rPr>
        <w:t>探索发展</w:t>
      </w:r>
      <w:r>
        <w:rPr>
          <w:rFonts w:hint="eastAsia"/>
          <w:color w:val="auto"/>
          <w:sz w:val="32"/>
          <w:szCs w:val="32"/>
          <w:highlight w:val="none"/>
        </w:rPr>
        <w:t>脑机接口等应用，培育新的经济增长点</w:t>
      </w:r>
      <w:r>
        <w:rPr>
          <w:rFonts w:hint="eastAsia"/>
          <w:color w:val="auto"/>
          <w:sz w:val="32"/>
          <w:szCs w:val="32"/>
          <w:highlight w:val="none"/>
          <w:lang w:eastAsia="zh-CN"/>
        </w:rPr>
        <w:t>。</w:t>
      </w:r>
    </w:p>
    <w:p>
      <w:pPr>
        <w:pStyle w:val="31"/>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color w:val="auto"/>
          <w:sz w:val="32"/>
          <w:szCs w:val="32"/>
          <w:highlight w:val="none"/>
        </w:rPr>
      </w:pPr>
      <w:r>
        <w:rPr>
          <w:rFonts w:hint="eastAsia"/>
          <w:b/>
          <w:bCs/>
          <w:color w:val="auto"/>
          <w:sz w:val="32"/>
          <w:szCs w:val="32"/>
          <w:highlight w:val="none"/>
        </w:rPr>
        <w:t>构建特色低空经济产业体系</w:t>
      </w:r>
      <w:r>
        <w:rPr>
          <w:rFonts w:hint="eastAsia"/>
          <w:b/>
          <w:bCs/>
          <w:color w:val="auto"/>
          <w:sz w:val="32"/>
          <w:szCs w:val="32"/>
          <w:highlight w:val="none"/>
          <w:lang w:eastAsia="zh-CN"/>
        </w:rPr>
        <w:t>。</w:t>
      </w:r>
      <w:r>
        <w:rPr>
          <w:rFonts w:hint="eastAsia"/>
          <w:color w:val="auto"/>
          <w:spacing w:val="6"/>
          <w:sz w:val="32"/>
          <w:szCs w:val="32"/>
          <w:highlight w:val="none"/>
        </w:rPr>
        <w:t>统筹</w:t>
      </w:r>
      <w:r>
        <w:rPr>
          <w:rFonts w:hint="eastAsia"/>
          <w:color w:val="auto"/>
          <w:spacing w:val="6"/>
          <w:sz w:val="32"/>
          <w:szCs w:val="32"/>
          <w:highlight w:val="none"/>
          <w:lang w:eastAsia="zh-CN"/>
        </w:rPr>
        <w:t>规划</w:t>
      </w:r>
      <w:r>
        <w:rPr>
          <w:rFonts w:hint="eastAsia"/>
          <w:color w:val="auto"/>
          <w:spacing w:val="6"/>
          <w:sz w:val="32"/>
          <w:szCs w:val="32"/>
          <w:highlight w:val="none"/>
        </w:rPr>
        <w:t>低空空域发展，完善低空航行服务保障能力，面向需求、适度超前开展低空非管制空域与低空公共航路划设、低空公共垂直起降场、低空专属气象监测站等基础设施建设，适时布局低空数字新基建。</w:t>
      </w:r>
      <w:r>
        <w:rPr>
          <w:rFonts w:hint="eastAsia"/>
          <w:color w:val="auto"/>
          <w:sz w:val="32"/>
          <w:szCs w:val="32"/>
          <w:highlight w:val="none"/>
          <w:lang w:eastAsia="zh-CN"/>
        </w:rPr>
        <w:t>布局“低空</w:t>
      </w:r>
      <w:r>
        <w:rPr>
          <w:rFonts w:hint="eastAsia"/>
          <w:color w:val="auto"/>
          <w:sz w:val="32"/>
          <w:szCs w:val="32"/>
          <w:highlight w:val="none"/>
          <w:lang w:val="en-US" w:eastAsia="zh-CN"/>
        </w:rPr>
        <w:t>+</w:t>
      </w:r>
      <w:r>
        <w:rPr>
          <w:rFonts w:hint="eastAsia"/>
          <w:color w:val="auto"/>
          <w:sz w:val="32"/>
          <w:szCs w:val="32"/>
          <w:highlight w:val="none"/>
          <w:lang w:eastAsia="zh-CN"/>
        </w:rPr>
        <w:t>”新兴业态，</w:t>
      </w:r>
      <w:r>
        <w:rPr>
          <w:rFonts w:hint="eastAsia"/>
          <w:color w:val="auto"/>
          <w:sz w:val="32"/>
          <w:szCs w:val="32"/>
          <w:highlight w:val="none"/>
        </w:rPr>
        <w:t>丰富低空旅游产品、深化</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空</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游</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联动融合、打造</w:t>
      </w:r>
      <w:r>
        <w:rPr>
          <w:rFonts w:hint="eastAsia"/>
          <w:color w:val="auto"/>
          <w:sz w:val="32"/>
          <w:szCs w:val="32"/>
          <w:highlight w:val="none"/>
          <w:lang w:eastAsia="zh-CN"/>
        </w:rPr>
        <w:t>低空</w:t>
      </w:r>
      <w:r>
        <w:rPr>
          <w:rFonts w:hint="eastAsia"/>
          <w:color w:val="auto"/>
          <w:sz w:val="32"/>
          <w:szCs w:val="32"/>
          <w:highlight w:val="none"/>
        </w:rPr>
        <w:t>赛事活动品</w:t>
      </w:r>
      <w:r>
        <w:rPr>
          <w:rFonts w:hint="eastAsia"/>
          <w:color w:val="auto"/>
          <w:spacing w:val="6"/>
          <w:sz w:val="32"/>
          <w:szCs w:val="32"/>
          <w:highlight w:val="none"/>
        </w:rPr>
        <w:t>牌。</w:t>
      </w:r>
      <w:r>
        <w:rPr>
          <w:rFonts w:hint="eastAsia"/>
          <w:color w:val="auto"/>
          <w:spacing w:val="6"/>
          <w:sz w:val="32"/>
          <w:szCs w:val="32"/>
          <w:highlight w:val="none"/>
          <w:lang w:eastAsia="zh-CN"/>
        </w:rPr>
        <w:t>扩大</w:t>
      </w:r>
      <w:r>
        <w:rPr>
          <w:rFonts w:hint="eastAsia"/>
          <w:color w:val="auto"/>
          <w:spacing w:val="6"/>
          <w:sz w:val="32"/>
          <w:szCs w:val="32"/>
          <w:highlight w:val="none"/>
        </w:rPr>
        <w:t>特色海上低空作业场景规模应用。</w:t>
      </w:r>
      <w:r>
        <w:rPr>
          <w:rFonts w:hint="eastAsia"/>
          <w:color w:val="auto"/>
          <w:sz w:val="32"/>
          <w:szCs w:val="32"/>
          <w:highlight w:val="none"/>
        </w:rPr>
        <w:t>建立与三亚特色场景深度绑定的低空飞行器研发、组装、测试、交付产业体系，发展低空飞行器整机制造与航材贸易。</w:t>
      </w:r>
      <w:r>
        <w:rPr>
          <w:rFonts w:hint="eastAsia"/>
          <w:color w:val="auto"/>
          <w:spacing w:val="6"/>
          <w:sz w:val="32"/>
          <w:szCs w:val="32"/>
          <w:highlight w:val="none"/>
        </w:rPr>
        <w:t>加强低空</w:t>
      </w:r>
      <w:r>
        <w:rPr>
          <w:rFonts w:hint="eastAsia"/>
          <w:color w:val="auto"/>
          <w:spacing w:val="6"/>
          <w:sz w:val="32"/>
          <w:szCs w:val="32"/>
          <w:highlight w:val="none"/>
          <w:lang w:eastAsia="zh-CN"/>
        </w:rPr>
        <w:t>等新兴</w:t>
      </w:r>
      <w:r>
        <w:rPr>
          <w:rFonts w:hint="eastAsia"/>
          <w:color w:val="auto"/>
          <w:spacing w:val="6"/>
          <w:sz w:val="32"/>
          <w:szCs w:val="32"/>
          <w:highlight w:val="none"/>
        </w:rPr>
        <w:t>领域国家安全能力建设，支持在主要行政机关、重要交通枢纽</w:t>
      </w:r>
      <w:r>
        <w:rPr>
          <w:rFonts w:hint="eastAsia"/>
          <w:color w:val="auto"/>
          <w:spacing w:val="6"/>
          <w:sz w:val="32"/>
          <w:szCs w:val="32"/>
          <w:highlight w:val="none"/>
          <w:lang w:eastAsia="zh-CN"/>
        </w:rPr>
        <w:t>等</w:t>
      </w:r>
      <w:r>
        <w:rPr>
          <w:rFonts w:hint="eastAsia"/>
          <w:color w:val="auto"/>
          <w:spacing w:val="6"/>
          <w:sz w:val="32"/>
          <w:szCs w:val="32"/>
          <w:highlight w:val="none"/>
        </w:rPr>
        <w:t>敏感区域周边布设低空安防设备，健全多部门协同处置违规飞行的</w:t>
      </w:r>
      <w:r>
        <w:rPr>
          <w:rFonts w:hint="eastAsia"/>
          <w:color w:val="auto"/>
          <w:sz w:val="32"/>
          <w:szCs w:val="32"/>
          <w:highlight w:val="none"/>
        </w:rPr>
        <w:t>工作机制。</w:t>
      </w:r>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lang w:val="en-US" w:eastAsia="zh-CN"/>
        </w:rPr>
      </w:pPr>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lang w:val="en-US" w:eastAsia="zh-CN"/>
        </w:rPr>
      </w:pPr>
    </w:p>
    <w:tbl>
      <w:tblPr>
        <w:tblStyle w:val="47"/>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4"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400" w:lineRule="exact"/>
              <w:jc w:val="center"/>
              <w:textAlignment w:val="auto"/>
              <w:rPr>
                <w:rFonts w:ascii="Times New Roman" w:hAnsi="Times New Roman" w:eastAsia="黑体"/>
                <w:color w:val="auto"/>
                <w:sz w:val="30"/>
                <w:szCs w:val="30"/>
                <w:highlight w:val="none"/>
              </w:rPr>
            </w:pPr>
            <w:r>
              <w:rPr>
                <w:rFonts w:hint="eastAsia" w:ascii="Times New Roman" w:hAnsi="Times New Roman" w:eastAsia="黑体"/>
                <w:color w:val="auto"/>
                <w:sz w:val="28"/>
                <w:szCs w:val="28"/>
                <w:highlight w:val="none"/>
              </w:rPr>
              <w:t>专栏</w:t>
            </w:r>
            <w:r>
              <w:rPr>
                <w:rFonts w:hint="default" w:ascii="Times New Roman" w:hAnsi="Times New Roman" w:eastAsia="黑体" w:cs="Times New Roman"/>
                <w:bCs/>
                <w:color w:val="auto"/>
                <w:sz w:val="28"/>
                <w:szCs w:val="28"/>
                <w:highlight w:val="none"/>
                <w:lang w:val="en-US" w:eastAsia="zh-CN"/>
              </w:rPr>
              <w:t>7</w:t>
            </w:r>
            <w:r>
              <w:rPr>
                <w:rFonts w:hint="eastAsia" w:ascii="Times New Roman" w:hAnsi="Times New Roman" w:eastAsia="黑体"/>
                <w:color w:val="auto"/>
                <w:sz w:val="28"/>
                <w:szCs w:val="28"/>
                <w:highlight w:val="none"/>
                <w:lang w:val="en-US" w:eastAsia="zh-CN"/>
              </w:rPr>
              <w:t xml:space="preserve">  </w:t>
            </w:r>
            <w:r>
              <w:rPr>
                <w:rFonts w:hint="eastAsia" w:ascii="Times New Roman" w:hAnsi="Times New Roman" w:eastAsia="黑体"/>
                <w:color w:val="auto"/>
                <w:sz w:val="28"/>
                <w:szCs w:val="28"/>
                <w:highlight w:val="none"/>
              </w:rPr>
              <w:t>低空经济应用场景扩展行动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1" w:hRule="atLeast"/>
          <w:jc w:val="center"/>
        </w:trPr>
        <w:tc>
          <w:tcPr>
            <w:tcW w:w="8844" w:type="dxa"/>
            <w:tcBorders>
              <w:top w:val="single" w:color="auto" w:sz="4" w:space="0"/>
              <w:left w:val="single" w:color="auto" w:sz="4" w:space="0"/>
              <w:bottom w:val="single" w:color="auto" w:sz="4" w:space="0"/>
              <w:right w:val="single" w:color="auto" w:sz="4" w:space="0"/>
            </w:tcBorders>
            <w:vAlign w:val="top"/>
          </w:tcPr>
          <w:p>
            <w:pPr>
              <w:pStyle w:val="33"/>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440" w:lineRule="exact"/>
              <w:ind w:firstLine="562"/>
              <w:textAlignment w:val="auto"/>
              <w:rPr>
                <w:rFonts w:hint="eastAsia"/>
                <w:b/>
                <w:bCs/>
                <w:color w:val="auto"/>
                <w:highlight w:val="none"/>
              </w:rPr>
            </w:pPr>
            <w:r>
              <w:rPr>
                <w:rFonts w:hint="default" w:ascii="Times New Roman" w:hAnsi="Times New Roman" w:cs="Times New Roman"/>
                <w:b/>
                <w:bCs/>
                <w:color w:val="auto"/>
                <w:highlight w:val="none"/>
              </w:rPr>
              <w:t>1</w:t>
            </w:r>
            <w:r>
              <w:rPr>
                <w:rFonts w:hint="eastAsia" w:ascii="楷体_GB2312" w:hAnsi="楷体_GB2312" w:eastAsia="楷体_GB2312" w:cs="楷体_GB2312"/>
                <w:b/>
                <w:bCs/>
                <w:color w:val="auto"/>
                <w:highlight w:val="none"/>
              </w:rPr>
              <w:t>.</w:t>
            </w:r>
            <w:r>
              <w:rPr>
                <w:rFonts w:hint="eastAsia"/>
                <w:b/>
                <w:bCs/>
                <w:color w:val="auto"/>
                <w:highlight w:val="none"/>
              </w:rPr>
              <w:t>拓展三亚特色文旅场景。</w:t>
            </w:r>
            <w:r>
              <w:rPr>
                <w:rFonts w:hint="eastAsia"/>
                <w:b w:val="0"/>
                <w:bCs w:val="0"/>
                <w:color w:val="auto"/>
                <w:highlight w:val="none"/>
              </w:rPr>
              <w:t>以海棠湾为核心，统筹蜈支洲岛、西岛、三亚湾等岛屿和海湾资源，开发直升机观光、滑翔伞体验等低空旅游产品。开展无人机集群表演与体验项目。</w:t>
            </w:r>
          </w:p>
          <w:p>
            <w:pPr>
              <w:pStyle w:val="33"/>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440" w:lineRule="exact"/>
              <w:ind w:firstLine="562"/>
              <w:textAlignment w:val="auto"/>
              <w:rPr>
                <w:rFonts w:hint="eastAsia"/>
                <w:b w:val="0"/>
                <w:bCs w:val="0"/>
                <w:color w:val="auto"/>
                <w:highlight w:val="none"/>
              </w:rPr>
            </w:pPr>
            <w:r>
              <w:rPr>
                <w:rFonts w:hint="default" w:ascii="Times New Roman" w:hAnsi="Times New Roman" w:cs="Times New Roman"/>
                <w:b/>
                <w:bCs/>
                <w:color w:val="auto"/>
                <w:highlight w:val="none"/>
              </w:rPr>
              <w:t>2</w:t>
            </w:r>
            <w:r>
              <w:rPr>
                <w:rFonts w:hint="eastAsia" w:ascii="楷体_GB2312" w:hAnsi="楷体_GB2312" w:eastAsia="楷体_GB2312" w:cs="楷体_GB2312"/>
                <w:b/>
                <w:bCs/>
                <w:color w:val="auto"/>
                <w:highlight w:val="none"/>
              </w:rPr>
              <w:t>.</w:t>
            </w:r>
            <w:r>
              <w:rPr>
                <w:rFonts w:hint="eastAsia"/>
                <w:b/>
                <w:bCs/>
                <w:color w:val="auto"/>
                <w:highlight w:val="none"/>
              </w:rPr>
              <w:t>加强海洋场景开发应用。</w:t>
            </w:r>
            <w:r>
              <w:rPr>
                <w:rFonts w:hint="eastAsia"/>
                <w:b w:val="0"/>
                <w:bCs w:val="0"/>
                <w:color w:val="auto"/>
                <w:highlight w:val="none"/>
              </w:rPr>
              <w:t>扩大在海上石油、海岛物流、跨海运输、海洋监测、海上执法、海洋应急、渔业服务、港口引航等领域的规模应用。鼓励企业面向海洋运行常见的复杂天气、长距离通信、高盐高湿易腐蚀等特点开发适用整机与载荷。</w:t>
            </w:r>
          </w:p>
          <w:p>
            <w:pPr>
              <w:pStyle w:val="33"/>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440" w:lineRule="exact"/>
              <w:ind w:firstLine="562"/>
              <w:textAlignment w:val="auto"/>
              <w:rPr>
                <w:rFonts w:hint="eastAsia"/>
                <w:b w:val="0"/>
                <w:bCs w:val="0"/>
                <w:color w:val="auto"/>
                <w:highlight w:val="none"/>
              </w:rPr>
            </w:pPr>
            <w:r>
              <w:rPr>
                <w:rFonts w:hint="default" w:ascii="Times New Roman" w:hAnsi="Times New Roman" w:cs="Times New Roman"/>
                <w:b/>
                <w:bCs/>
                <w:color w:val="auto"/>
                <w:highlight w:val="none"/>
              </w:rPr>
              <w:t>3</w:t>
            </w:r>
            <w:r>
              <w:rPr>
                <w:rFonts w:hint="eastAsia" w:ascii="楷体_GB2312" w:hAnsi="楷体_GB2312" w:eastAsia="楷体_GB2312" w:cs="楷体_GB2312"/>
                <w:b/>
                <w:bCs/>
                <w:color w:val="auto"/>
                <w:highlight w:val="none"/>
              </w:rPr>
              <w:t>.</w:t>
            </w:r>
            <w:r>
              <w:rPr>
                <w:rFonts w:hint="eastAsia"/>
                <w:b/>
                <w:bCs/>
                <w:color w:val="auto"/>
                <w:highlight w:val="none"/>
              </w:rPr>
              <w:t>丰富低空专业作业场景。</w:t>
            </w:r>
            <w:r>
              <w:rPr>
                <w:rFonts w:hint="eastAsia"/>
                <w:b w:val="0"/>
                <w:bCs w:val="0"/>
                <w:color w:val="auto"/>
                <w:highlight w:val="none"/>
              </w:rPr>
              <w:t>支持通用飞机、直升机、无人机在智慧农业、国土测绘、生态环保、城市巡查、公安应急、管线巡查等领域的应用，鼓励开展有人机驾驶员、无人机操控员培训，构建多层次、立体化低空场景。</w:t>
            </w:r>
          </w:p>
          <w:p>
            <w:pPr>
              <w:pStyle w:val="33"/>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440" w:lineRule="exact"/>
              <w:ind w:firstLine="562"/>
              <w:textAlignment w:val="auto"/>
              <w:rPr>
                <w:b/>
                <w:bCs/>
                <w:color w:val="auto"/>
                <w:highlight w:val="none"/>
              </w:rPr>
            </w:pPr>
            <w:r>
              <w:rPr>
                <w:rFonts w:hint="default" w:ascii="Times New Roman" w:hAnsi="Times New Roman" w:cs="Times New Roman"/>
                <w:b/>
                <w:bCs/>
                <w:color w:val="auto"/>
                <w:highlight w:val="none"/>
              </w:rPr>
              <w:t>4</w:t>
            </w:r>
            <w:r>
              <w:rPr>
                <w:rFonts w:hint="eastAsia" w:ascii="楷体_GB2312" w:hAnsi="楷体_GB2312" w:eastAsia="楷体_GB2312" w:cs="楷体_GB2312"/>
                <w:b/>
                <w:bCs/>
                <w:color w:val="auto"/>
                <w:highlight w:val="none"/>
              </w:rPr>
              <w:t>.</w:t>
            </w:r>
            <w:r>
              <w:rPr>
                <w:rFonts w:hint="eastAsia"/>
                <w:b/>
                <w:bCs/>
                <w:color w:val="auto"/>
                <w:highlight w:val="none"/>
              </w:rPr>
              <w:t>探索低空交通运输应用。</w:t>
            </w:r>
            <w:r>
              <w:rPr>
                <w:rFonts w:hint="eastAsia"/>
                <w:b w:val="0"/>
                <w:bCs w:val="0"/>
                <w:color w:val="auto"/>
                <w:highlight w:val="none"/>
              </w:rPr>
              <w:t>发展城市即时配送，在重点旅游区、景区和度假区开展生活与应急物资配送，支持医院、血站开展无人机医疗物资运输</w:t>
            </w:r>
            <w:r>
              <w:rPr>
                <w:rFonts w:hint="eastAsia"/>
                <w:b w:val="0"/>
                <w:bCs w:val="0"/>
                <w:color w:val="auto"/>
                <w:highlight w:val="none"/>
                <w:lang w:eastAsia="zh-CN"/>
              </w:rPr>
              <w:t>。探索开展</w:t>
            </w:r>
            <w:r>
              <w:rPr>
                <w:rFonts w:hint="eastAsia"/>
                <w:b w:val="0"/>
                <w:bCs w:val="0"/>
                <w:color w:val="auto"/>
                <w:highlight w:val="none"/>
              </w:rPr>
              <w:t>直升机摆渡</w:t>
            </w:r>
            <w:r>
              <w:rPr>
                <w:rFonts w:hint="eastAsia"/>
                <w:b w:val="0"/>
                <w:bCs w:val="0"/>
                <w:color w:val="auto"/>
                <w:highlight w:val="none"/>
                <w:lang w:eastAsia="zh-CN"/>
              </w:rPr>
              <w:t>和</w:t>
            </w:r>
            <w:r>
              <w:rPr>
                <w:rFonts w:hint="eastAsia"/>
                <w:b w:val="0"/>
                <w:bCs w:val="0"/>
                <w:color w:val="auto"/>
                <w:highlight w:val="none"/>
              </w:rPr>
              <w:t>跨海低空物流，鼓励利用低空飞行器在海上养殖平台和陆地站点之间、海岛之间运输生鲜产品和应急物资。</w:t>
            </w:r>
          </w:p>
        </w:tc>
      </w:tr>
    </w:tbl>
    <w:p>
      <w:pPr>
        <w:pStyle w:val="31"/>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b/>
          <w:bCs/>
          <w:color w:val="auto"/>
          <w:sz w:val="32"/>
          <w:szCs w:val="32"/>
          <w:highlight w:val="none"/>
        </w:rPr>
      </w:pPr>
    </w:p>
    <w:p>
      <w:pPr>
        <w:pStyle w:val="31"/>
        <w:keepNext w:val="0"/>
        <w:keepLines w:val="0"/>
        <w:pageBreakBefore w:val="0"/>
        <w:widowControl w:val="0"/>
        <w:kinsoku/>
        <w:wordWrap/>
        <w:overflowPunct/>
        <w:topLinePunct w:val="0"/>
        <w:autoSpaceDE/>
        <w:autoSpaceDN/>
        <w:bidi w:val="0"/>
        <w:adjustRightInd w:val="0"/>
        <w:snapToGrid w:val="0"/>
        <w:spacing w:line="600" w:lineRule="exact"/>
        <w:textAlignment w:val="auto"/>
        <w:rPr>
          <w:color w:val="auto"/>
          <w:sz w:val="32"/>
          <w:szCs w:val="32"/>
          <w:highlight w:val="none"/>
        </w:rPr>
      </w:pPr>
      <w:r>
        <w:rPr>
          <w:rFonts w:hint="eastAsia"/>
          <w:b/>
          <w:bCs/>
          <w:color w:val="auto"/>
          <w:sz w:val="32"/>
          <w:szCs w:val="32"/>
          <w:highlight w:val="none"/>
        </w:rPr>
        <w:t>建设具有三亚特色的空天信息产业。</w:t>
      </w:r>
      <w:r>
        <w:rPr>
          <w:rFonts w:hint="eastAsia"/>
          <w:color w:val="auto"/>
          <w:sz w:val="32"/>
          <w:szCs w:val="32"/>
          <w:highlight w:val="none"/>
        </w:rPr>
        <w:t>加快建设海南卫星星座，推进遥感卫星接收站网、测控地面设施建设，推动三亚数学与物理国际研究中心建成投用</w:t>
      </w:r>
      <w:r>
        <w:rPr>
          <w:rFonts w:hint="eastAsia"/>
          <w:color w:val="auto"/>
          <w:sz w:val="32"/>
          <w:szCs w:val="32"/>
          <w:highlight w:val="none"/>
          <w:lang w:eastAsia="zh-CN"/>
        </w:rPr>
        <w:t>。</w:t>
      </w:r>
      <w:r>
        <w:rPr>
          <w:rFonts w:hint="eastAsia"/>
          <w:color w:val="auto"/>
          <w:sz w:val="32"/>
          <w:szCs w:val="32"/>
          <w:highlight w:val="none"/>
        </w:rPr>
        <w:t>培育发展量子科技、卫星导航、遥感测控</w:t>
      </w:r>
      <w:r>
        <w:rPr>
          <w:rFonts w:hint="eastAsia"/>
          <w:color w:val="auto"/>
          <w:sz w:val="32"/>
          <w:szCs w:val="32"/>
          <w:highlight w:val="none"/>
          <w:lang w:eastAsia="zh-CN"/>
        </w:rPr>
        <w:t>、</w:t>
      </w:r>
      <w:r>
        <w:rPr>
          <w:rFonts w:hint="eastAsia"/>
          <w:color w:val="auto"/>
          <w:sz w:val="32"/>
          <w:szCs w:val="32"/>
          <w:highlight w:val="none"/>
        </w:rPr>
        <w:t>卫星数据处理与应用</w:t>
      </w:r>
      <w:r>
        <w:rPr>
          <w:rFonts w:hint="eastAsia"/>
          <w:color w:val="auto"/>
          <w:sz w:val="32"/>
          <w:szCs w:val="32"/>
          <w:highlight w:val="none"/>
          <w:lang w:eastAsia="zh-CN"/>
        </w:rPr>
        <w:t>等</w:t>
      </w:r>
      <w:r>
        <w:rPr>
          <w:rFonts w:hint="eastAsia"/>
          <w:color w:val="auto"/>
          <w:sz w:val="32"/>
          <w:szCs w:val="32"/>
          <w:highlight w:val="none"/>
        </w:rPr>
        <w:t>产业，推动遥感数据服务、卫星研发与运营。以南海安全</w:t>
      </w:r>
      <w:r>
        <w:rPr>
          <w:rFonts w:hint="eastAsia"/>
          <w:color w:val="auto"/>
          <w:sz w:val="32"/>
          <w:szCs w:val="32"/>
          <w:highlight w:val="none"/>
          <w:lang w:eastAsia="zh-CN"/>
        </w:rPr>
        <w:t>和</w:t>
      </w:r>
      <w:r>
        <w:rPr>
          <w:rFonts w:hint="eastAsia"/>
          <w:color w:val="auto"/>
          <w:sz w:val="32"/>
          <w:szCs w:val="32"/>
          <w:highlight w:val="none"/>
        </w:rPr>
        <w:t>发展等</w:t>
      </w:r>
      <w:r>
        <w:rPr>
          <w:rFonts w:hint="eastAsia"/>
          <w:color w:val="auto"/>
          <w:sz w:val="32"/>
          <w:szCs w:val="32"/>
          <w:highlight w:val="none"/>
          <w:lang w:eastAsia="zh-CN"/>
        </w:rPr>
        <w:t>场景</w:t>
      </w:r>
      <w:r>
        <w:rPr>
          <w:rFonts w:hint="eastAsia"/>
          <w:color w:val="auto"/>
          <w:sz w:val="32"/>
          <w:szCs w:val="32"/>
          <w:highlight w:val="none"/>
        </w:rPr>
        <w:t>需求为</w:t>
      </w:r>
      <w:r>
        <w:rPr>
          <w:rFonts w:hint="eastAsia"/>
          <w:color w:val="auto"/>
          <w:sz w:val="32"/>
          <w:szCs w:val="32"/>
          <w:highlight w:val="none"/>
          <w:lang w:eastAsia="zh-CN"/>
        </w:rPr>
        <w:t>导向</w:t>
      </w:r>
      <w:r>
        <w:rPr>
          <w:rFonts w:hint="eastAsia"/>
          <w:color w:val="auto"/>
          <w:sz w:val="32"/>
          <w:szCs w:val="32"/>
          <w:highlight w:val="none"/>
        </w:rPr>
        <w:t>，开发</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遥感</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海洋</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遥感</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应急灾害</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遥感</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城市管理</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遥感</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农业</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遥感</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渔业</w:t>
      </w:r>
      <w:r>
        <w:rPr>
          <w:rFonts w:hint="eastAsia" w:ascii="仿宋_GB2312" w:hAnsi="仿宋_GB2312" w:eastAsia="仿宋_GB2312" w:cs="仿宋_GB2312"/>
          <w:color w:val="auto"/>
          <w:sz w:val="32"/>
          <w:szCs w:val="32"/>
          <w:highlight w:val="none"/>
        </w:rPr>
        <w:t>”</w:t>
      </w:r>
      <w:r>
        <w:rPr>
          <w:rFonts w:hint="eastAsia" w:cs="Times New Roman"/>
          <w:color w:val="auto"/>
          <w:sz w:val="32"/>
          <w:szCs w:val="32"/>
          <w:highlight w:val="none"/>
          <w:lang w:val="en-US" w:eastAsia="zh-CN"/>
        </w:rPr>
        <w:t>等</w:t>
      </w:r>
      <w:r>
        <w:rPr>
          <w:rFonts w:hint="eastAsia"/>
          <w:color w:val="auto"/>
          <w:sz w:val="32"/>
          <w:szCs w:val="32"/>
          <w:highlight w:val="none"/>
        </w:rPr>
        <w:t>应用场景。</w:t>
      </w:r>
      <w:r>
        <w:rPr>
          <w:rFonts w:hint="eastAsia"/>
          <w:color w:val="auto"/>
          <w:sz w:val="32"/>
          <w:szCs w:val="32"/>
          <w:highlight w:val="none"/>
          <w:lang w:eastAsia="zh-CN"/>
        </w:rPr>
        <w:t>探索</w:t>
      </w:r>
      <w:r>
        <w:rPr>
          <w:rFonts w:hint="eastAsia"/>
          <w:color w:val="auto"/>
          <w:sz w:val="32"/>
          <w:szCs w:val="32"/>
          <w:highlight w:val="none"/>
        </w:rPr>
        <w:t>布局建设遥感卫星数据应用平台，推动面向东南亚的遥感信息跨境服务。</w:t>
      </w: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r>
        <w:rPr>
          <w:rFonts w:hint="eastAsia"/>
          <w:b/>
          <w:bCs/>
          <w:color w:val="auto"/>
          <w:sz w:val="32"/>
          <w:szCs w:val="32"/>
          <w:highlight w:val="none"/>
        </w:rPr>
        <w:t>大力发展海洋生物制造。</w:t>
      </w:r>
      <w:r>
        <w:rPr>
          <w:rFonts w:hint="eastAsia"/>
          <w:color w:val="auto"/>
          <w:sz w:val="32"/>
          <w:szCs w:val="32"/>
          <w:highlight w:val="none"/>
        </w:rPr>
        <w:t>做强海洋生物创新药械、海洋生物基材料、生物农业与环保三大核心产业。深化海洋生物资源高值化开发，</w:t>
      </w:r>
      <w:r>
        <w:rPr>
          <w:rFonts w:hint="eastAsia"/>
          <w:color w:val="auto"/>
          <w:sz w:val="32"/>
          <w:szCs w:val="32"/>
          <w:highlight w:val="none"/>
          <w:lang w:val="en-US" w:eastAsia="zh-CN"/>
        </w:rPr>
        <w:t>积极开展</w:t>
      </w:r>
      <w:r>
        <w:rPr>
          <w:rFonts w:hint="eastAsia"/>
          <w:color w:val="auto"/>
          <w:sz w:val="32"/>
          <w:szCs w:val="32"/>
          <w:highlight w:val="none"/>
        </w:rPr>
        <w:t>深海化合物研发与应用</w:t>
      </w:r>
      <w:r>
        <w:rPr>
          <w:rFonts w:hint="eastAsia"/>
          <w:color w:val="auto"/>
          <w:sz w:val="32"/>
          <w:szCs w:val="32"/>
          <w:highlight w:val="none"/>
          <w:lang w:val="en-US" w:eastAsia="zh-CN"/>
        </w:rPr>
        <w:t>，</w:t>
      </w:r>
      <w:r>
        <w:rPr>
          <w:rFonts w:hint="eastAsia"/>
          <w:color w:val="auto"/>
          <w:sz w:val="32"/>
          <w:szCs w:val="32"/>
          <w:highlight w:val="none"/>
        </w:rPr>
        <w:t>拓展布局海洋药食同源产品。加强生物路径设计与合成生物技术创新，创新</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海洋养殖</w:t>
      </w:r>
      <w:r>
        <w:rPr>
          <w:rFonts w:hint="eastAsia" w:ascii="仿宋_GB2312" w:hAnsi="仿宋_GB2312" w:cs="仿宋_GB2312"/>
          <w:color w:val="auto"/>
          <w:sz w:val="32"/>
          <w:szCs w:val="32"/>
          <w:highlight w:val="none"/>
          <w:lang w:eastAsia="zh-CN"/>
        </w:rPr>
        <w:t>—</w:t>
      </w:r>
      <w:r>
        <w:rPr>
          <w:rFonts w:hint="eastAsia"/>
          <w:color w:val="auto"/>
          <w:sz w:val="32"/>
          <w:szCs w:val="32"/>
          <w:highlight w:val="none"/>
        </w:rPr>
        <w:t>废弃物利用</w:t>
      </w:r>
      <w:r>
        <w:rPr>
          <w:rFonts w:hint="eastAsia" w:ascii="仿宋_GB2312" w:hAnsi="仿宋_GB2312" w:cs="仿宋_GB2312"/>
          <w:color w:val="auto"/>
          <w:sz w:val="32"/>
          <w:szCs w:val="32"/>
          <w:highlight w:val="none"/>
          <w:lang w:eastAsia="zh-CN"/>
        </w:rPr>
        <w:t>—</w:t>
      </w:r>
      <w:r>
        <w:rPr>
          <w:rFonts w:hint="eastAsia"/>
          <w:color w:val="auto"/>
          <w:sz w:val="32"/>
          <w:szCs w:val="32"/>
          <w:highlight w:val="none"/>
        </w:rPr>
        <w:t>生物基材料生产</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的循环经济模式，积极发展海水生物降解材料、海藻纤维等高附加值产品。加快发展快繁育种、定制化育种等新型育种技术。</w:t>
      </w:r>
      <w:r>
        <w:rPr>
          <w:rFonts w:hint="eastAsia"/>
          <w:color w:val="auto"/>
          <w:sz w:val="32"/>
          <w:szCs w:val="32"/>
          <w:highlight w:val="none"/>
          <w:lang w:eastAsia="zh-CN"/>
        </w:rPr>
        <w:t>推进深海微生物资源的开发应用及资源共享。</w:t>
      </w:r>
      <w:r>
        <w:rPr>
          <w:rFonts w:hint="eastAsia"/>
          <w:color w:val="auto"/>
          <w:sz w:val="32"/>
          <w:szCs w:val="32"/>
          <w:highlight w:val="none"/>
        </w:rPr>
        <w:t>加快发展微藻饲料、海洋生物蛋白质饲料等海洋生物饲料产业。加强污水脱氮除磷、难降解有机物去除的开发及应用，强化海水养殖污染生物治理。</w:t>
      </w:r>
    </w:p>
    <w:p>
      <w:pPr>
        <w:pStyle w:val="4"/>
        <w:keepNext w:val="0"/>
        <w:keepLines w:val="0"/>
        <w:pageBreakBefore w:val="0"/>
        <w:widowControl w:val="0"/>
        <w:shd w:val="clear"/>
        <w:kinsoku/>
        <w:wordWrap/>
        <w:overflowPunct/>
        <w:topLinePunct w:val="0"/>
        <w:autoSpaceDE/>
        <w:autoSpaceDN/>
        <w:bidi w:val="0"/>
        <w:adjustRightInd w:val="0"/>
        <w:snapToGrid w:val="0"/>
        <w:spacing w:line="576" w:lineRule="exact"/>
        <w:ind w:left="0" w:leftChars="0" w:firstLine="0" w:firstLineChars="0"/>
        <w:textAlignment w:val="auto"/>
        <w:rPr>
          <w:rFonts w:hint="eastAsia"/>
          <w:color w:val="auto"/>
          <w:sz w:val="32"/>
          <w:szCs w:val="32"/>
          <w:highlight w:val="none"/>
        </w:rPr>
      </w:pPr>
      <w:bookmarkStart w:id="501" w:name="_Toc1845254715"/>
      <w:bookmarkStart w:id="502" w:name="_Toc1483716191"/>
      <w:bookmarkStart w:id="503" w:name="_Toc683131169"/>
      <w:bookmarkStart w:id="504" w:name="_Toc1537639705"/>
      <w:bookmarkStart w:id="505" w:name="_Toc211243557"/>
      <w:bookmarkStart w:id="506" w:name="_Toc746438192"/>
      <w:bookmarkStart w:id="507" w:name="_Toc18823"/>
      <w:bookmarkStart w:id="508" w:name="_Toc15864042"/>
      <w:bookmarkStart w:id="509" w:name="_Toc213447261"/>
      <w:bookmarkStart w:id="510" w:name="_Toc149251502"/>
      <w:bookmarkStart w:id="511" w:name="_Toc211979437"/>
      <w:bookmarkStart w:id="512" w:name="_Toc1411490172"/>
    </w:p>
    <w:p>
      <w:pPr>
        <w:pStyle w:val="4"/>
        <w:keepNext w:val="0"/>
        <w:keepLines w:val="0"/>
        <w:pageBreakBefore w:val="0"/>
        <w:widowControl w:val="0"/>
        <w:shd w:val="clear"/>
        <w:kinsoku/>
        <w:wordWrap/>
        <w:overflowPunct/>
        <w:topLinePunct w:val="0"/>
        <w:autoSpaceDE/>
        <w:autoSpaceDN/>
        <w:bidi w:val="0"/>
        <w:adjustRightInd w:val="0"/>
        <w:snapToGrid w:val="0"/>
        <w:spacing w:line="576"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第三节  提升现代服务业发展水平</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rPr>
        <w:t>发展具有国际竞争力的总部经济。</w:t>
      </w:r>
      <w:r>
        <w:rPr>
          <w:rFonts w:hint="eastAsia"/>
          <w:color w:val="auto"/>
          <w:sz w:val="32"/>
          <w:szCs w:val="32"/>
          <w:highlight w:val="none"/>
        </w:rPr>
        <w:t>深度释放自贸港政策红利</w:t>
      </w:r>
      <w:r>
        <w:rPr>
          <w:rFonts w:hint="eastAsia"/>
          <w:color w:val="auto"/>
          <w:sz w:val="32"/>
          <w:szCs w:val="32"/>
          <w:highlight w:val="none"/>
          <w:lang w:val="en-US" w:eastAsia="zh-CN"/>
        </w:rPr>
        <w:t>，</w:t>
      </w:r>
      <w:r>
        <w:rPr>
          <w:rFonts w:hint="eastAsia"/>
          <w:color w:val="auto"/>
          <w:sz w:val="32"/>
          <w:szCs w:val="32"/>
          <w:highlight w:val="none"/>
        </w:rPr>
        <w:t>重点吸引境内外大企业总部、跨国公司区域总部、功能型总部等落位，</w:t>
      </w:r>
      <w:r>
        <w:rPr>
          <w:rFonts w:hint="eastAsia"/>
          <w:color w:val="auto"/>
          <w:sz w:val="32"/>
          <w:szCs w:val="32"/>
          <w:highlight w:val="none"/>
          <w:lang w:val="en-US" w:eastAsia="zh-CN"/>
        </w:rPr>
        <w:t>力争形成在国内具有重大影响力、国际知名的总部经济地标。</w:t>
      </w:r>
      <w:r>
        <w:rPr>
          <w:rFonts w:hint="eastAsia"/>
          <w:color w:val="auto"/>
          <w:sz w:val="32"/>
          <w:szCs w:val="32"/>
          <w:highlight w:val="none"/>
        </w:rPr>
        <w:t>推动总部企业设立跨境资金</w:t>
      </w:r>
      <w:r>
        <w:rPr>
          <w:rFonts w:hint="eastAsia"/>
          <w:color w:val="auto"/>
          <w:sz w:val="32"/>
          <w:szCs w:val="32"/>
          <w:highlight w:val="none"/>
          <w:lang w:eastAsia="zh-CN"/>
        </w:rPr>
        <w:t>集中</w:t>
      </w:r>
      <w:r>
        <w:rPr>
          <w:rFonts w:hint="eastAsia"/>
          <w:color w:val="auto"/>
          <w:sz w:val="32"/>
          <w:szCs w:val="32"/>
          <w:highlight w:val="none"/>
        </w:rPr>
        <w:t>运营中心</w:t>
      </w:r>
      <w:r>
        <w:rPr>
          <w:rFonts w:hint="eastAsia"/>
          <w:color w:val="auto"/>
          <w:sz w:val="32"/>
          <w:szCs w:val="32"/>
          <w:highlight w:val="none"/>
          <w:lang w:eastAsia="zh-CN"/>
        </w:rPr>
        <w:t>、</w:t>
      </w:r>
      <w:r>
        <w:rPr>
          <w:rFonts w:hint="eastAsia"/>
          <w:color w:val="auto"/>
          <w:sz w:val="32"/>
          <w:szCs w:val="32"/>
          <w:highlight w:val="none"/>
        </w:rPr>
        <w:t>跨境结算中心，</w:t>
      </w:r>
      <w:r>
        <w:rPr>
          <w:rFonts w:hint="eastAsia"/>
          <w:color w:val="auto"/>
          <w:sz w:val="32"/>
          <w:szCs w:val="32"/>
          <w:highlight w:val="none"/>
          <w:lang w:val="en-US" w:eastAsia="zh-CN"/>
        </w:rPr>
        <w:t>支持总部企业开展新型离岸贸易、跨境投融资、数据跨境流动等创新业务</w:t>
      </w:r>
      <w:r>
        <w:rPr>
          <w:rFonts w:hint="eastAsia"/>
          <w:color w:val="auto"/>
          <w:sz w:val="32"/>
          <w:szCs w:val="32"/>
          <w:highlight w:val="none"/>
        </w:rPr>
        <w:t>。以</w:t>
      </w:r>
      <w:r>
        <w:rPr>
          <w:rFonts w:hint="eastAsia"/>
          <w:color w:val="auto"/>
          <w:sz w:val="32"/>
          <w:szCs w:val="32"/>
          <w:highlight w:val="none"/>
          <w:lang w:eastAsia="zh-CN"/>
        </w:rPr>
        <w:t>推进</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两个基地</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建设为核心目标，紧扣</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招、留、引</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三大方向，</w:t>
      </w:r>
      <w:r>
        <w:rPr>
          <w:rFonts w:hint="eastAsia"/>
          <w:color w:val="auto"/>
          <w:sz w:val="32"/>
          <w:szCs w:val="32"/>
          <w:highlight w:val="none"/>
          <w:lang w:val="en-US" w:eastAsia="zh-CN"/>
        </w:rPr>
        <w:t>完善总部企业引进与培育机制，构建涵盖综合型总部、功能型总部、高成长型总部的梯度培育体系。</w:t>
      </w:r>
      <w:r>
        <w:rPr>
          <w:rFonts w:hint="eastAsia"/>
          <w:color w:val="auto"/>
          <w:sz w:val="32"/>
          <w:szCs w:val="32"/>
          <w:highlight w:val="none"/>
        </w:rPr>
        <w:t>引进国际知名规划设计、财会审计、法律服务、评级服务、检测认证、人力资源、环保服务等专业服务企业</w:t>
      </w:r>
      <w:r>
        <w:rPr>
          <w:rFonts w:hint="eastAsia"/>
          <w:color w:val="auto"/>
          <w:sz w:val="32"/>
          <w:szCs w:val="32"/>
          <w:highlight w:val="none"/>
          <w:lang w:eastAsia="zh-CN"/>
        </w:rPr>
        <w:t>，大力发展科技服务业，</w:t>
      </w:r>
      <w:r>
        <w:rPr>
          <w:rFonts w:hint="eastAsia"/>
          <w:color w:val="auto"/>
          <w:sz w:val="32"/>
          <w:szCs w:val="32"/>
          <w:highlight w:val="none"/>
          <w:lang w:val="en-US" w:eastAsia="zh-CN"/>
        </w:rPr>
        <w:t>推动形成与国际接轨的商事服务体系</w:t>
      </w:r>
      <w:r>
        <w:rPr>
          <w:rFonts w:hint="eastAsia"/>
          <w:color w:val="auto"/>
          <w:sz w:val="32"/>
          <w:szCs w:val="32"/>
          <w:highlight w:val="none"/>
        </w:rPr>
        <w:t>。</w:t>
      </w: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rPr>
        <w:t>推动房地产高质量发展。</w:t>
      </w:r>
      <w:r>
        <w:rPr>
          <w:rFonts w:hint="eastAsia"/>
          <w:color w:val="auto"/>
          <w:sz w:val="32"/>
          <w:szCs w:val="32"/>
          <w:highlight w:val="none"/>
        </w:rPr>
        <w:t>大力引进具有国际视野的开发运营企业与高品质物业服务商，推动房地产向高端化、品质化、可持续化转型。做强高端度假物业、康养社区、国际人才社区等核心业态，着力构建租购并举、结构合理、服务完善的品质住房供应体系。加快住房制度与开发模式创新，探索定制化、低碳化、全生命周期的新型精品开发模式。推广绿色建筑、装配式建筑与智能家居系统，试点智慧社区、数字物业及</w:t>
      </w:r>
      <w:r>
        <w:rPr>
          <w:rFonts w:hint="default" w:ascii="Times New Roman" w:hAnsi="Times New Roman" w:cs="Times New Roman"/>
          <w:color w:val="auto"/>
          <w:sz w:val="32"/>
          <w:szCs w:val="32"/>
          <w:highlight w:val="none"/>
        </w:rPr>
        <w:t>AI</w:t>
      </w:r>
      <w:r>
        <w:rPr>
          <w:rFonts w:hint="eastAsia"/>
          <w:color w:val="auto"/>
          <w:sz w:val="32"/>
          <w:szCs w:val="32"/>
          <w:highlight w:val="none"/>
        </w:rPr>
        <w:t>运维管理，夯实住房建设安全，打造具有三亚特色的</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好房子、好小区、好社区、好城区</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。立足提升城市综合承载与居住体验，统筹推进城市更新、安居保障、社区配套与生态宜居建设。</w:t>
      </w: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r>
        <w:rPr>
          <w:rFonts w:hint="eastAsia"/>
          <w:b/>
          <w:bCs/>
          <w:color w:val="auto"/>
          <w:sz w:val="32"/>
          <w:szCs w:val="32"/>
          <w:highlight w:val="none"/>
        </w:rPr>
        <w:t>加快推进金融创新发展。</w:t>
      </w:r>
      <w:r>
        <w:rPr>
          <w:rFonts w:hint="eastAsia"/>
          <w:color w:val="auto"/>
          <w:sz w:val="32"/>
          <w:szCs w:val="32"/>
          <w:highlight w:val="none"/>
        </w:rPr>
        <w:t>因地制宜推动金融服务实体经济，助</w:t>
      </w:r>
      <w:r>
        <w:rPr>
          <w:rFonts w:hint="eastAsia"/>
          <w:color w:val="auto"/>
          <w:spacing w:val="6"/>
          <w:sz w:val="32"/>
          <w:szCs w:val="32"/>
          <w:highlight w:val="none"/>
        </w:rPr>
        <w:t>力新质生产力发展</w:t>
      </w:r>
      <w:r>
        <w:rPr>
          <w:rFonts w:hint="eastAsia"/>
          <w:color w:val="auto"/>
          <w:spacing w:val="6"/>
          <w:sz w:val="32"/>
          <w:szCs w:val="32"/>
          <w:highlight w:val="none"/>
          <w:lang w:eastAsia="zh-CN"/>
        </w:rPr>
        <w:t>。</w:t>
      </w:r>
      <w:r>
        <w:rPr>
          <w:rFonts w:hint="eastAsia"/>
          <w:color w:val="auto"/>
          <w:spacing w:val="6"/>
          <w:sz w:val="32"/>
          <w:szCs w:val="32"/>
          <w:highlight w:val="none"/>
        </w:rPr>
        <w:t>统筹做好</w:t>
      </w:r>
      <w:r>
        <w:rPr>
          <w:rFonts w:hint="eastAsia" w:ascii="仿宋_GB2312" w:hAnsi="仿宋_GB2312" w:eastAsia="仿宋_GB2312" w:cs="仿宋_GB2312"/>
          <w:color w:val="auto"/>
          <w:spacing w:val="6"/>
          <w:sz w:val="32"/>
          <w:szCs w:val="32"/>
          <w:highlight w:val="none"/>
        </w:rPr>
        <w:t>“</w:t>
      </w:r>
      <w:r>
        <w:rPr>
          <w:rFonts w:hint="eastAsia"/>
          <w:color w:val="auto"/>
          <w:spacing w:val="6"/>
          <w:sz w:val="32"/>
          <w:szCs w:val="32"/>
          <w:highlight w:val="none"/>
        </w:rPr>
        <w:t>五篇大文章</w:t>
      </w:r>
      <w:r>
        <w:rPr>
          <w:rFonts w:hint="eastAsia" w:ascii="仿宋_GB2312" w:hAnsi="仿宋_GB2312" w:eastAsia="仿宋_GB2312" w:cs="仿宋_GB2312"/>
          <w:color w:val="auto"/>
          <w:spacing w:val="6"/>
          <w:sz w:val="32"/>
          <w:szCs w:val="32"/>
          <w:highlight w:val="none"/>
        </w:rPr>
        <w:t>”</w:t>
      </w:r>
      <w:r>
        <w:rPr>
          <w:rFonts w:hint="eastAsia"/>
          <w:color w:val="auto"/>
          <w:spacing w:val="6"/>
          <w:sz w:val="32"/>
          <w:szCs w:val="32"/>
          <w:highlight w:val="none"/>
        </w:rPr>
        <w:t>，聚焦南繁种业、深海科技、绿色低碳等领域</w:t>
      </w:r>
      <w:r>
        <w:rPr>
          <w:rFonts w:hint="eastAsia"/>
          <w:color w:val="auto"/>
          <w:spacing w:val="6"/>
          <w:sz w:val="32"/>
          <w:szCs w:val="32"/>
          <w:highlight w:val="none"/>
          <w:lang w:eastAsia="zh-CN"/>
        </w:rPr>
        <w:t>，</w:t>
      </w:r>
      <w:r>
        <w:rPr>
          <w:rFonts w:hint="eastAsia"/>
          <w:color w:val="auto"/>
          <w:spacing w:val="6"/>
          <w:sz w:val="32"/>
          <w:szCs w:val="32"/>
          <w:highlight w:val="none"/>
        </w:rPr>
        <w:t>为企业提供多元化、多层次金融服务</w:t>
      </w:r>
      <w:r>
        <w:rPr>
          <w:rFonts w:hint="eastAsia"/>
          <w:color w:val="auto"/>
          <w:spacing w:val="6"/>
          <w:sz w:val="32"/>
          <w:szCs w:val="32"/>
          <w:highlight w:val="none"/>
          <w:lang w:eastAsia="zh-CN"/>
        </w:rPr>
        <w:t>。</w:t>
      </w:r>
      <w:r>
        <w:rPr>
          <w:rFonts w:hint="eastAsia"/>
          <w:color w:val="auto"/>
          <w:spacing w:val="6"/>
          <w:sz w:val="32"/>
          <w:szCs w:val="32"/>
          <w:highlight w:val="none"/>
        </w:rPr>
        <w:t>支持企业上市挂牌培育，鼓励优质中小企业实施股份制改造。</w:t>
      </w:r>
      <w:r>
        <w:rPr>
          <w:rFonts w:hint="eastAsia"/>
          <w:color w:val="auto"/>
          <w:spacing w:val="6"/>
          <w:sz w:val="32"/>
          <w:szCs w:val="32"/>
          <w:highlight w:val="none"/>
          <w:lang w:eastAsia="zh-CN"/>
        </w:rPr>
        <w:t>支持</w:t>
      </w:r>
      <w:r>
        <w:rPr>
          <w:rFonts w:hint="eastAsia"/>
          <w:color w:val="auto"/>
          <w:spacing w:val="6"/>
          <w:sz w:val="32"/>
          <w:szCs w:val="32"/>
          <w:highlight w:val="none"/>
        </w:rPr>
        <w:t>地方交易场所</w:t>
      </w:r>
      <w:r>
        <w:rPr>
          <w:rFonts w:hint="eastAsia"/>
          <w:color w:val="auto"/>
          <w:spacing w:val="6"/>
          <w:sz w:val="32"/>
          <w:szCs w:val="32"/>
          <w:highlight w:val="none"/>
          <w:lang w:eastAsia="zh-CN"/>
        </w:rPr>
        <w:t>国际化、集团化</w:t>
      </w:r>
      <w:r>
        <w:rPr>
          <w:rFonts w:hint="eastAsia"/>
          <w:color w:val="auto"/>
          <w:spacing w:val="6"/>
          <w:sz w:val="32"/>
          <w:szCs w:val="32"/>
          <w:highlight w:val="none"/>
        </w:rPr>
        <w:t>发展，</w:t>
      </w:r>
      <w:r>
        <w:rPr>
          <w:rFonts w:hint="eastAsia"/>
          <w:color w:val="auto"/>
          <w:spacing w:val="6"/>
          <w:sz w:val="32"/>
          <w:szCs w:val="32"/>
          <w:highlight w:val="none"/>
          <w:lang w:eastAsia="zh-CN"/>
        </w:rPr>
        <w:t>优化</w:t>
      </w:r>
      <w:r>
        <w:rPr>
          <w:rFonts w:hint="eastAsia"/>
          <w:color w:val="auto"/>
          <w:spacing w:val="6"/>
          <w:sz w:val="32"/>
          <w:szCs w:val="32"/>
          <w:highlight w:val="none"/>
        </w:rPr>
        <w:t>公司治理及股权结构，探索开</w:t>
      </w:r>
      <w:r>
        <w:rPr>
          <w:rFonts w:hint="eastAsia"/>
          <w:color w:val="auto"/>
          <w:sz w:val="32"/>
          <w:szCs w:val="32"/>
          <w:highlight w:val="none"/>
        </w:rPr>
        <w:t>展国际化业务。推动私募行业集聚发展，探索研究家族信托商事主体登记制度创新，鼓励证券、期货、保险、</w:t>
      </w:r>
      <w:r>
        <w:rPr>
          <w:rFonts w:hint="eastAsia"/>
          <w:color w:val="auto"/>
          <w:sz w:val="32"/>
          <w:szCs w:val="32"/>
          <w:highlight w:val="none"/>
          <w:lang w:eastAsia="zh-CN"/>
        </w:rPr>
        <w:t>融资</w:t>
      </w:r>
      <w:r>
        <w:rPr>
          <w:rFonts w:hint="eastAsia"/>
          <w:color w:val="auto"/>
          <w:sz w:val="32"/>
          <w:szCs w:val="32"/>
          <w:highlight w:val="none"/>
        </w:rPr>
        <w:t>租赁等金融机构落地，构建财富管理产业链及生态圈。着力提升跨境金融服务的便利性，推动自贸港核心金融政策的应用与落地，</w:t>
      </w:r>
      <w:r>
        <w:rPr>
          <w:rFonts w:hint="eastAsia"/>
          <w:color w:val="auto"/>
          <w:sz w:val="32"/>
          <w:szCs w:val="32"/>
          <w:highlight w:val="none"/>
          <w:lang w:eastAsia="zh-CN"/>
        </w:rPr>
        <w:t>扩大多功能自由贸易账户（</w:t>
      </w:r>
      <w:r>
        <w:rPr>
          <w:rFonts w:hint="default" w:ascii="Times New Roman" w:hAnsi="Times New Roman" w:cs="Times New Roman"/>
          <w:color w:val="auto"/>
          <w:sz w:val="32"/>
          <w:szCs w:val="32"/>
          <w:highlight w:val="none"/>
        </w:rPr>
        <w:t>EF</w:t>
      </w:r>
      <w:r>
        <w:rPr>
          <w:rFonts w:hint="eastAsia"/>
          <w:color w:val="auto"/>
          <w:sz w:val="32"/>
          <w:szCs w:val="32"/>
          <w:highlight w:val="none"/>
        </w:rPr>
        <w:t>账户</w:t>
      </w:r>
      <w:r>
        <w:rPr>
          <w:rFonts w:hint="eastAsia"/>
          <w:color w:val="auto"/>
          <w:sz w:val="32"/>
          <w:szCs w:val="32"/>
          <w:highlight w:val="none"/>
          <w:lang w:eastAsia="zh-CN"/>
        </w:rPr>
        <w:t>）应用</w:t>
      </w:r>
      <w:r>
        <w:rPr>
          <w:rFonts w:hint="eastAsia"/>
          <w:color w:val="auto"/>
          <w:sz w:val="32"/>
          <w:szCs w:val="32"/>
          <w:highlight w:val="none"/>
        </w:rPr>
        <w:t>。推进跨境金融创新及人民币国际化。加强打击非法金融活动，提升风险防御能力。</w:t>
      </w:r>
    </w:p>
    <w:tbl>
      <w:tblPr>
        <w:tblStyle w:val="47"/>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4"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shd w:val="clear"/>
              <w:kinsoku/>
              <w:wordWrap/>
              <w:overflowPunct/>
              <w:topLinePunct w:val="0"/>
              <w:autoSpaceDE/>
              <w:autoSpaceDN/>
              <w:bidi w:val="0"/>
              <w:snapToGrid w:val="0"/>
              <w:spacing w:before="157" w:beforeLines="50" w:after="157" w:afterLines="50" w:line="440" w:lineRule="exact"/>
              <w:jc w:val="center"/>
              <w:textAlignment w:val="auto"/>
              <w:rPr>
                <w:rFonts w:ascii="Times New Roman" w:hAnsi="Times New Roman" w:eastAsia="黑体"/>
                <w:color w:val="auto"/>
                <w:kern w:val="0"/>
                <w:sz w:val="30"/>
                <w:szCs w:val="30"/>
                <w:highlight w:val="none"/>
              </w:rPr>
            </w:pPr>
            <w:r>
              <w:rPr>
                <w:rFonts w:hint="eastAsia" w:ascii="Times New Roman" w:hAnsi="Times New Roman" w:eastAsia="黑体"/>
                <w:color w:val="auto"/>
                <w:kern w:val="0"/>
                <w:sz w:val="28"/>
                <w:szCs w:val="28"/>
                <w:highlight w:val="none"/>
              </w:rPr>
              <w:t>专栏</w:t>
            </w:r>
            <w:r>
              <w:rPr>
                <w:rFonts w:hint="default" w:ascii="Times New Roman" w:hAnsi="Times New Roman" w:eastAsia="黑体" w:cs="Times New Roman"/>
                <w:bCs/>
                <w:color w:val="auto"/>
                <w:sz w:val="28"/>
                <w:szCs w:val="28"/>
                <w:highlight w:val="none"/>
                <w:lang w:val="en-US" w:eastAsia="zh-CN"/>
              </w:rPr>
              <w:t>8</w:t>
            </w:r>
            <w:r>
              <w:rPr>
                <w:rFonts w:hint="eastAsia" w:ascii="Times New Roman" w:hAnsi="Times New Roman" w:eastAsia="黑体"/>
                <w:color w:val="auto"/>
                <w:kern w:val="0"/>
                <w:sz w:val="28"/>
                <w:szCs w:val="28"/>
                <w:highlight w:val="none"/>
                <w:lang w:val="en-US" w:eastAsia="zh-CN"/>
              </w:rPr>
              <w:t xml:space="preserve">  </w:t>
            </w:r>
            <w:r>
              <w:rPr>
                <w:rFonts w:hint="eastAsia" w:ascii="Times New Roman" w:hAnsi="Times New Roman" w:eastAsia="黑体"/>
                <w:color w:val="auto"/>
                <w:kern w:val="0"/>
                <w:sz w:val="28"/>
                <w:szCs w:val="28"/>
                <w:highlight w:val="none"/>
              </w:rPr>
              <w:t>推动金融创新</w:t>
            </w:r>
            <w:r>
              <w:rPr>
                <w:rFonts w:hint="eastAsia" w:ascii="Times New Roman" w:hAnsi="Times New Roman" w:eastAsia="黑体"/>
                <w:color w:val="auto"/>
                <w:kern w:val="0"/>
                <w:sz w:val="28"/>
                <w:szCs w:val="28"/>
                <w:highlight w:val="none"/>
                <w:lang w:eastAsia="zh-CN"/>
              </w:rPr>
              <w:t>发展</w:t>
            </w:r>
            <w:r>
              <w:rPr>
                <w:rFonts w:hint="eastAsia" w:ascii="Times New Roman" w:hAnsi="Times New Roman" w:eastAsia="黑体"/>
                <w:color w:val="auto"/>
                <w:kern w:val="0"/>
                <w:sz w:val="28"/>
                <w:szCs w:val="28"/>
                <w:highlight w:val="none"/>
              </w:rPr>
              <w:t>重点行动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4" w:hRule="atLeast"/>
          <w:jc w:val="center"/>
        </w:trPr>
        <w:tc>
          <w:tcPr>
            <w:tcW w:w="8844" w:type="dxa"/>
            <w:tcBorders>
              <w:top w:val="single" w:color="auto" w:sz="4" w:space="0"/>
              <w:left w:val="single" w:color="auto" w:sz="4" w:space="0"/>
              <w:bottom w:val="single" w:color="auto" w:sz="4" w:space="0"/>
              <w:right w:val="single" w:color="auto" w:sz="4" w:space="0"/>
            </w:tcBorders>
            <w:vAlign w:val="top"/>
          </w:tcPr>
          <w:p>
            <w:pPr>
              <w:pStyle w:val="33"/>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460" w:lineRule="exact"/>
              <w:ind w:firstLine="562"/>
              <w:textAlignment w:val="auto"/>
              <w:rPr>
                <w:color w:val="auto"/>
                <w:highlight w:val="none"/>
              </w:rPr>
            </w:pPr>
            <w:r>
              <w:rPr>
                <w:rFonts w:hint="default" w:ascii="Times New Roman" w:hAnsi="Times New Roman" w:cs="Times New Roman"/>
                <w:b/>
                <w:bCs/>
                <w:color w:val="auto"/>
                <w:highlight w:val="none"/>
              </w:rPr>
              <w:t>1</w:t>
            </w:r>
            <w:r>
              <w:rPr>
                <w:rFonts w:hint="eastAsia" w:ascii="楷体_GB2312" w:hAnsi="楷体_GB2312" w:eastAsia="楷体_GB2312" w:cs="楷体_GB2312"/>
                <w:b/>
                <w:bCs/>
                <w:color w:val="auto"/>
                <w:highlight w:val="none"/>
                <w:lang w:eastAsia="zh-CN"/>
              </w:rPr>
              <w:t>.</w:t>
            </w:r>
            <w:r>
              <w:rPr>
                <w:rFonts w:hint="eastAsia"/>
                <w:b/>
                <w:bCs/>
                <w:color w:val="auto"/>
                <w:highlight w:val="none"/>
              </w:rPr>
              <w:t>统筹做好金融</w:t>
            </w:r>
            <w:r>
              <w:rPr>
                <w:rFonts w:hint="eastAsia" w:ascii="仿宋_GB2312" w:hAnsi="仿宋_GB2312" w:eastAsia="仿宋_GB2312" w:cs="仿宋_GB2312"/>
                <w:b/>
                <w:bCs/>
                <w:color w:val="auto"/>
                <w:highlight w:val="none"/>
              </w:rPr>
              <w:t>“</w:t>
            </w:r>
            <w:r>
              <w:rPr>
                <w:rFonts w:hint="eastAsia"/>
                <w:b/>
                <w:bCs/>
                <w:color w:val="auto"/>
                <w:highlight w:val="none"/>
              </w:rPr>
              <w:t>五篇</w:t>
            </w:r>
            <w:r>
              <w:rPr>
                <w:rFonts w:hint="eastAsia"/>
                <w:b/>
                <w:bCs/>
                <w:color w:val="auto"/>
                <w:highlight w:val="none"/>
                <w:lang w:eastAsia="zh-CN"/>
              </w:rPr>
              <w:t>大</w:t>
            </w:r>
            <w:r>
              <w:rPr>
                <w:rFonts w:hint="eastAsia"/>
                <w:b/>
                <w:bCs/>
                <w:color w:val="auto"/>
                <w:highlight w:val="none"/>
              </w:rPr>
              <w:t>文章</w:t>
            </w:r>
            <w:r>
              <w:rPr>
                <w:rFonts w:hint="eastAsia" w:ascii="仿宋_GB2312" w:hAnsi="仿宋_GB2312" w:eastAsia="仿宋_GB2312" w:cs="仿宋_GB2312"/>
                <w:b/>
                <w:bCs/>
                <w:color w:val="auto"/>
                <w:highlight w:val="none"/>
              </w:rPr>
              <w:t>”</w:t>
            </w:r>
            <w:r>
              <w:rPr>
                <w:rFonts w:hint="eastAsia"/>
                <w:b/>
                <w:bCs/>
                <w:color w:val="auto"/>
                <w:highlight w:val="none"/>
              </w:rPr>
              <w:t>。</w:t>
            </w:r>
            <w:r>
              <w:rPr>
                <w:rFonts w:hint="eastAsia"/>
                <w:color w:val="auto"/>
                <w:highlight w:val="none"/>
              </w:rPr>
              <w:t>创建崖州湾科技城科技金融服务示范区，推动金融赋能科技高水平发展。开展政金企对接活动，发挥</w:t>
            </w:r>
            <w:r>
              <w:rPr>
                <w:rFonts w:hint="eastAsia" w:ascii="仿宋_GB2312" w:hAnsi="仿宋_GB2312" w:eastAsia="仿宋_GB2312" w:cs="仿宋_GB2312"/>
                <w:color w:val="auto"/>
                <w:highlight w:val="none"/>
              </w:rPr>
              <w:t>“</w:t>
            </w:r>
            <w:r>
              <w:rPr>
                <w:rFonts w:hint="eastAsia"/>
                <w:color w:val="auto"/>
                <w:highlight w:val="none"/>
              </w:rPr>
              <w:t>政银保</w:t>
            </w:r>
            <w:r>
              <w:rPr>
                <w:rFonts w:hint="eastAsia" w:ascii="仿宋_GB2312" w:hAnsi="仿宋_GB2312" w:eastAsia="仿宋_GB2312" w:cs="仿宋_GB2312"/>
                <w:color w:val="auto"/>
                <w:highlight w:val="none"/>
              </w:rPr>
              <w:t>”</w:t>
            </w:r>
            <w:r>
              <w:rPr>
                <w:rFonts w:hint="eastAsia"/>
                <w:color w:val="auto"/>
                <w:highlight w:val="none"/>
              </w:rPr>
              <w:t>项目品牌政策效应，围绕普惠金融加大对中小微企业的帮扶力度。发展绿色信贷、绿色债券和绿色保险，推动金融机构加大对清洁能源、资源节约与循环利用等项目的支持力度。加强对养老产业的融资支持和风险保障。持续推进数字人民币试点工作，积极探索数字人民币多样化场景应用。推广海南省智慧金融综合服务平台三亚站。</w:t>
            </w:r>
          </w:p>
          <w:p>
            <w:pPr>
              <w:pStyle w:val="33"/>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460" w:lineRule="exact"/>
              <w:ind w:firstLine="0" w:firstLineChars="0"/>
              <w:textAlignment w:val="auto"/>
              <w:rPr>
                <w:color w:val="auto"/>
                <w:highlight w:val="none"/>
              </w:rPr>
            </w:pPr>
            <w:r>
              <w:rPr>
                <w:rFonts w:hint="eastAsia"/>
                <w:b/>
                <w:bCs/>
                <w:color w:val="auto"/>
                <w:highlight w:val="none"/>
                <w:lang w:val="en-US" w:eastAsia="zh-CN"/>
              </w:rPr>
              <w:t xml:space="preserve">    </w:t>
            </w:r>
            <w:r>
              <w:rPr>
                <w:rFonts w:hint="default" w:ascii="Times New Roman" w:hAnsi="Times New Roman" w:cs="Times New Roman"/>
                <w:b/>
                <w:bCs/>
                <w:color w:val="auto"/>
                <w:highlight w:val="none"/>
                <w:lang w:val="en-US" w:eastAsia="zh-CN"/>
              </w:rPr>
              <w:t>2</w:t>
            </w:r>
            <w:r>
              <w:rPr>
                <w:rFonts w:hint="eastAsia" w:ascii="楷体_GB2312" w:hAnsi="楷体_GB2312" w:eastAsia="楷体_GB2312" w:cs="楷体_GB2312"/>
                <w:b/>
                <w:bCs/>
                <w:color w:val="auto"/>
                <w:highlight w:val="none"/>
                <w:lang w:val="en-US" w:eastAsia="zh-CN"/>
              </w:rPr>
              <w:t>.</w:t>
            </w:r>
            <w:r>
              <w:rPr>
                <w:rFonts w:hint="default" w:cs="Times New Roman"/>
                <w:b/>
                <w:bCs/>
                <w:color w:val="auto"/>
                <w:highlight w:val="none"/>
              </w:rPr>
              <w:t>用</w:t>
            </w:r>
            <w:r>
              <w:rPr>
                <w:rFonts w:hint="eastAsia"/>
                <w:b/>
                <w:bCs/>
                <w:color w:val="auto"/>
                <w:highlight w:val="none"/>
              </w:rPr>
              <w:t>好自贸港资金跨境流动自由便利政策。</w:t>
            </w:r>
            <w:r>
              <w:rPr>
                <w:rFonts w:hint="eastAsia"/>
                <w:color w:val="auto"/>
                <w:highlight w:val="none"/>
              </w:rPr>
              <w:t>继续推动跨境贸易投资高水平开放试点扩面增量，释放</w:t>
            </w:r>
            <w:r>
              <w:rPr>
                <w:rFonts w:hint="default" w:ascii="Times New Roman" w:hAnsi="Times New Roman" w:cs="Times New Roman"/>
                <w:color w:val="auto"/>
                <w:highlight w:val="none"/>
              </w:rPr>
              <w:t>QFLP</w:t>
            </w:r>
            <w:r>
              <w:rPr>
                <w:rFonts w:hint="eastAsia"/>
                <w:color w:val="auto"/>
                <w:highlight w:val="none"/>
              </w:rPr>
              <w:t>、</w:t>
            </w:r>
            <w:r>
              <w:rPr>
                <w:rFonts w:hint="default" w:ascii="Times New Roman" w:hAnsi="Times New Roman" w:cs="Times New Roman"/>
                <w:color w:val="auto"/>
                <w:highlight w:val="none"/>
              </w:rPr>
              <w:t>QDLP</w:t>
            </w:r>
            <w:r>
              <w:rPr>
                <w:rFonts w:hint="eastAsia"/>
                <w:color w:val="auto"/>
                <w:highlight w:val="none"/>
              </w:rPr>
              <w:t>业务政策效应，推进跨境资金集中运营中心集聚发展，探索开展跨境资产管理试点业务，探索医疗教育、深海科技、游艇等租赁业务。开展跨境人民币</w:t>
            </w:r>
            <w:r>
              <w:rPr>
                <w:rFonts w:hint="eastAsia" w:ascii="仿宋_GB2312" w:hAnsi="仿宋_GB2312" w:eastAsia="仿宋_GB2312" w:cs="仿宋_GB2312"/>
                <w:color w:val="auto"/>
                <w:highlight w:val="none"/>
              </w:rPr>
              <w:t>“</w:t>
            </w:r>
            <w:r>
              <w:rPr>
                <w:rFonts w:hint="eastAsia"/>
                <w:color w:val="auto"/>
                <w:highlight w:val="none"/>
              </w:rPr>
              <w:t>首办户</w:t>
            </w:r>
            <w:r>
              <w:rPr>
                <w:rFonts w:hint="eastAsia" w:ascii="仿宋_GB2312" w:hAnsi="仿宋_GB2312" w:eastAsia="仿宋_GB2312" w:cs="仿宋_GB2312"/>
                <w:color w:val="auto"/>
                <w:highlight w:val="none"/>
              </w:rPr>
              <w:t>”</w:t>
            </w:r>
            <w:r>
              <w:rPr>
                <w:rFonts w:hint="eastAsia"/>
                <w:color w:val="auto"/>
                <w:highlight w:val="none"/>
              </w:rPr>
              <w:t>拓展行动，推动银行机构加大对全功能型资金池的业务拓展，完善境外来琼人员支付服务体系供给。</w:t>
            </w:r>
          </w:p>
          <w:p>
            <w:pPr>
              <w:pStyle w:val="33"/>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460" w:lineRule="exact"/>
              <w:ind w:firstLine="562"/>
              <w:textAlignment w:val="auto"/>
              <w:rPr>
                <w:color w:val="auto"/>
                <w:highlight w:val="none"/>
              </w:rPr>
            </w:pPr>
            <w:r>
              <w:rPr>
                <w:rFonts w:hint="default" w:ascii="Times New Roman" w:hAnsi="Times New Roman" w:cs="Times New Roman"/>
                <w:b/>
                <w:bCs/>
                <w:color w:val="auto"/>
                <w:highlight w:val="none"/>
              </w:rPr>
              <w:t>3</w:t>
            </w:r>
            <w:r>
              <w:rPr>
                <w:rFonts w:hint="eastAsia" w:ascii="楷体_GB2312" w:hAnsi="楷体_GB2312" w:eastAsia="楷体_GB2312" w:cs="楷体_GB2312"/>
                <w:b/>
                <w:bCs/>
                <w:color w:val="auto"/>
                <w:highlight w:val="none"/>
                <w:lang w:eastAsia="zh-CN"/>
              </w:rPr>
              <w:t>.</w:t>
            </w:r>
            <w:r>
              <w:rPr>
                <w:rFonts w:hint="eastAsia"/>
                <w:b/>
                <w:bCs/>
                <w:color w:val="auto"/>
                <w:highlight w:val="none"/>
              </w:rPr>
              <w:t>大力推进金融基础设施发展建设。</w:t>
            </w:r>
            <w:r>
              <w:rPr>
                <w:rFonts w:hint="eastAsia"/>
                <w:color w:val="auto"/>
                <w:highlight w:val="none"/>
              </w:rPr>
              <w:t>推进地方交易场所股权结构优化，为地方交易场所的公司治理和业务多元化发展提供强力支撑，发展符合海南实际的差异化、国际化要素市场体系。根据黄金产业发展需要，适时争取将上海黄金交易所主板黄金指定仓库改建升级为具有交割、保管等全功能的国际板交割仓库。</w:t>
            </w:r>
          </w:p>
        </w:tc>
      </w:tr>
    </w:tbl>
    <w:p>
      <w:pPr>
        <w:pStyle w:val="31"/>
        <w:keepNext w:val="0"/>
        <w:keepLines w:val="0"/>
        <w:pageBreakBefore w:val="0"/>
        <w:widowControl w:val="0"/>
        <w:kinsoku/>
        <w:wordWrap/>
        <w:overflowPunct/>
        <w:topLinePunct w:val="0"/>
        <w:autoSpaceDE/>
        <w:autoSpaceDN/>
        <w:bidi w:val="0"/>
        <w:adjustRightInd w:val="0"/>
        <w:snapToGrid w:val="0"/>
        <w:spacing w:before="251" w:beforeLines="80" w:line="576" w:lineRule="exact"/>
        <w:ind w:left="0" w:leftChars="0" w:firstLine="642" w:firstLineChars="200"/>
        <w:textAlignment w:val="auto"/>
        <w:rPr>
          <w:color w:val="auto"/>
          <w:sz w:val="32"/>
          <w:szCs w:val="32"/>
          <w:highlight w:val="none"/>
        </w:rPr>
      </w:pPr>
      <w:r>
        <w:rPr>
          <w:rFonts w:hint="eastAsia"/>
          <w:b/>
          <w:bCs/>
          <w:color w:val="auto"/>
          <w:sz w:val="32"/>
          <w:szCs w:val="32"/>
          <w:highlight w:val="none"/>
        </w:rPr>
        <w:t>提升会展产业规模和能级。</w:t>
      </w:r>
      <w:r>
        <w:rPr>
          <w:rFonts w:hint="eastAsia"/>
          <w:color w:val="auto"/>
          <w:sz w:val="32"/>
          <w:szCs w:val="32"/>
          <w:highlight w:val="none"/>
        </w:rPr>
        <w:t>加强中国海南国际文物艺术品交易中心、海南国际文化交流中心</w:t>
      </w:r>
      <w:r>
        <w:rPr>
          <w:rFonts w:hint="eastAsia"/>
          <w:color w:val="auto"/>
          <w:sz w:val="32"/>
          <w:szCs w:val="32"/>
          <w:highlight w:val="none"/>
          <w:lang w:eastAsia="zh-CN"/>
        </w:rPr>
        <w:t>、三亚国际游艇中心</w:t>
      </w:r>
      <w:r>
        <w:rPr>
          <w:rFonts w:hint="eastAsia"/>
          <w:color w:val="auto"/>
          <w:sz w:val="32"/>
          <w:szCs w:val="32"/>
          <w:highlight w:val="none"/>
        </w:rPr>
        <w:t>等重点场馆</w:t>
      </w:r>
      <w:r>
        <w:rPr>
          <w:rFonts w:hint="eastAsia"/>
          <w:color w:val="auto"/>
          <w:sz w:val="32"/>
          <w:szCs w:val="32"/>
          <w:highlight w:val="none"/>
          <w:lang w:eastAsia="zh-CN"/>
        </w:rPr>
        <w:t>建设和运营</w:t>
      </w:r>
      <w:r>
        <w:rPr>
          <w:rFonts w:hint="eastAsia"/>
          <w:color w:val="auto"/>
          <w:sz w:val="32"/>
          <w:szCs w:val="32"/>
          <w:highlight w:val="none"/>
        </w:rPr>
        <w:t>，着力培育时尚消费、文化艺术、医疗康养</w:t>
      </w:r>
      <w:r>
        <w:rPr>
          <w:rFonts w:hint="eastAsia"/>
          <w:color w:val="auto"/>
          <w:sz w:val="32"/>
          <w:szCs w:val="32"/>
          <w:highlight w:val="none"/>
          <w:lang w:eastAsia="zh-CN"/>
        </w:rPr>
        <w:t>、</w:t>
      </w:r>
      <w:r>
        <w:rPr>
          <w:rFonts w:hint="eastAsia"/>
          <w:color w:val="auto"/>
          <w:sz w:val="32"/>
          <w:szCs w:val="32"/>
          <w:highlight w:val="none"/>
        </w:rPr>
        <w:t>深海科技、南繁</w:t>
      </w:r>
      <w:r>
        <w:rPr>
          <w:rFonts w:hint="eastAsia"/>
          <w:color w:val="auto"/>
          <w:sz w:val="32"/>
          <w:szCs w:val="32"/>
          <w:highlight w:val="none"/>
          <w:lang w:eastAsia="zh-CN"/>
        </w:rPr>
        <w:t>种业</w:t>
      </w:r>
      <w:r>
        <w:rPr>
          <w:rFonts w:hint="eastAsia"/>
          <w:color w:val="auto"/>
          <w:sz w:val="32"/>
          <w:szCs w:val="32"/>
          <w:highlight w:val="none"/>
        </w:rPr>
        <w:t>等五大产业会展集群，提升国际游艇展、热带农业博览会、国际康养</w:t>
      </w:r>
      <w:r>
        <w:rPr>
          <w:rFonts w:hint="eastAsia"/>
          <w:color w:val="auto"/>
          <w:sz w:val="32"/>
          <w:szCs w:val="32"/>
          <w:highlight w:val="none"/>
          <w:lang w:eastAsia="zh-CN"/>
        </w:rPr>
        <w:t>产业</w:t>
      </w:r>
      <w:r>
        <w:rPr>
          <w:rFonts w:hint="eastAsia"/>
          <w:color w:val="auto"/>
          <w:sz w:val="32"/>
          <w:szCs w:val="32"/>
          <w:highlight w:val="none"/>
        </w:rPr>
        <w:t>博览会</w:t>
      </w:r>
      <w:r>
        <w:rPr>
          <w:rFonts w:hint="eastAsia"/>
          <w:color w:val="auto"/>
          <w:sz w:val="32"/>
          <w:szCs w:val="32"/>
          <w:highlight w:val="none"/>
          <w:lang w:eastAsia="zh-CN"/>
        </w:rPr>
        <w:t>、国际文化产业博览交易会</w:t>
      </w:r>
      <w:r>
        <w:rPr>
          <w:rFonts w:hint="eastAsia"/>
          <w:color w:val="auto"/>
          <w:sz w:val="32"/>
          <w:szCs w:val="32"/>
          <w:highlight w:val="none"/>
        </w:rPr>
        <w:t>等</w:t>
      </w:r>
      <w:r>
        <w:rPr>
          <w:rFonts w:hint="eastAsia"/>
          <w:color w:val="auto"/>
          <w:sz w:val="32"/>
          <w:szCs w:val="32"/>
          <w:highlight w:val="none"/>
          <w:lang w:eastAsia="zh-CN"/>
        </w:rPr>
        <w:t>的</w:t>
      </w:r>
      <w:r>
        <w:rPr>
          <w:rFonts w:hint="eastAsia"/>
          <w:color w:val="auto"/>
          <w:sz w:val="32"/>
          <w:szCs w:val="32"/>
          <w:highlight w:val="none"/>
        </w:rPr>
        <w:t>国际影响力，培养一批本土会展企业，承接举办具有全球和全国影响力的高端展会，打造成</w:t>
      </w:r>
      <w:r>
        <w:rPr>
          <w:rFonts w:hint="eastAsia"/>
          <w:color w:val="auto"/>
          <w:sz w:val="32"/>
          <w:szCs w:val="32"/>
          <w:highlight w:val="none"/>
          <w:lang w:eastAsia="zh-CN"/>
        </w:rPr>
        <w:t>极具竞争力的</w:t>
      </w:r>
      <w:r>
        <w:rPr>
          <w:rFonts w:hint="eastAsia"/>
          <w:color w:val="auto"/>
          <w:sz w:val="32"/>
          <w:szCs w:val="32"/>
          <w:highlight w:val="none"/>
        </w:rPr>
        <w:t>会展目的地城市。积极发展会展演艺文体业，鼓励发展海上运动、婚庆、时尚、民俗节庆等主题鲜明的特色会展活动，发展</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会展</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文旅</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lang w:eastAsia="zh-CN"/>
        </w:rPr>
        <w:t>演艺</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会展</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商贸</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会展</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消费</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新模式，为海南建设区域性国际会展中心提供有力支撑</w:t>
      </w:r>
      <w:r>
        <w:rPr>
          <w:rFonts w:hint="eastAsia"/>
          <w:color w:val="auto"/>
          <w:sz w:val="32"/>
          <w:szCs w:val="32"/>
          <w:highlight w:val="none"/>
          <w:lang w:eastAsia="zh-CN"/>
        </w:rPr>
        <w:t>。</w:t>
      </w:r>
      <w:r>
        <w:rPr>
          <w:rFonts w:hint="eastAsia"/>
          <w:color w:val="auto"/>
          <w:sz w:val="32"/>
          <w:szCs w:val="32"/>
          <w:highlight w:val="none"/>
        </w:rPr>
        <w:t>积极参与会展领域国际标准、国家标准研制，唱响三亚会展品牌。</w:t>
      </w: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rPr>
        <w:t>大力发展健康服务产业。</w:t>
      </w:r>
      <w:r>
        <w:rPr>
          <w:rFonts w:hint="eastAsia"/>
          <w:color w:val="auto"/>
          <w:sz w:val="32"/>
          <w:szCs w:val="32"/>
          <w:highlight w:val="none"/>
        </w:rPr>
        <w:t>构建健康服务全产业链</w:t>
      </w:r>
      <w:r>
        <w:rPr>
          <w:rFonts w:hint="eastAsia"/>
          <w:color w:val="auto"/>
          <w:sz w:val="32"/>
          <w:szCs w:val="32"/>
          <w:highlight w:val="none"/>
          <w:lang w:eastAsia="zh-CN"/>
        </w:rPr>
        <w:t>体系</w:t>
      </w:r>
      <w:r>
        <w:rPr>
          <w:rFonts w:hint="eastAsia"/>
          <w:color w:val="auto"/>
          <w:sz w:val="32"/>
          <w:szCs w:val="32"/>
          <w:highlight w:val="none"/>
        </w:rPr>
        <w:t>，优化健康服务供给，创新消费场景。打造</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医、药、养、健、游</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深度融合的产业集聚区，重点发展高端医疗、轻医美和健康养生服务等行业。深度融合中医理疗、气候疗法与滨海度假，加快推进</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医养、医旅、居养、林养</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融合。拓展国际市场，支持建设国家中医药服务出口基地</w:t>
      </w:r>
      <w:r>
        <w:rPr>
          <w:rFonts w:hint="eastAsia"/>
          <w:color w:val="auto"/>
          <w:sz w:val="32"/>
          <w:szCs w:val="32"/>
          <w:highlight w:val="none"/>
          <w:lang w:eastAsia="zh-CN"/>
        </w:rPr>
        <w:t>，</w:t>
      </w:r>
      <w:r>
        <w:rPr>
          <w:rFonts w:hint="eastAsia"/>
          <w:color w:val="auto"/>
          <w:sz w:val="32"/>
          <w:szCs w:val="32"/>
          <w:highlight w:val="none"/>
        </w:rPr>
        <w:t>推动三亚从康养目的地向健康消费</w:t>
      </w:r>
      <w:r>
        <w:rPr>
          <w:rFonts w:hint="eastAsia"/>
          <w:color w:val="auto"/>
          <w:sz w:val="32"/>
          <w:szCs w:val="32"/>
          <w:highlight w:val="none"/>
          <w:lang w:eastAsia="zh-CN"/>
        </w:rPr>
        <w:t>目的</w:t>
      </w:r>
      <w:r>
        <w:rPr>
          <w:rFonts w:hint="eastAsia"/>
          <w:color w:val="auto"/>
          <w:sz w:val="32"/>
          <w:szCs w:val="32"/>
          <w:highlight w:val="none"/>
        </w:rPr>
        <w:t>地转变，全面提升健康服务水平。</w:t>
      </w: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bookmarkStart w:id="513" w:name="OLE_LINK9"/>
      <w:r>
        <w:rPr>
          <w:rFonts w:hint="eastAsia"/>
          <w:b/>
          <w:bCs/>
          <w:color w:val="auto"/>
          <w:sz w:val="32"/>
          <w:szCs w:val="32"/>
          <w:highlight w:val="none"/>
        </w:rPr>
        <w:t>促进物流产业提质增效。</w:t>
      </w:r>
      <w:r>
        <w:rPr>
          <w:rFonts w:hint="eastAsia"/>
          <w:color w:val="auto"/>
          <w:sz w:val="32"/>
          <w:szCs w:val="32"/>
          <w:highlight w:val="none"/>
        </w:rPr>
        <w:t>强化空港型国家物流枢纽功能，完善物流服务体系，</w:t>
      </w:r>
      <w:r>
        <w:rPr>
          <w:rFonts w:hint="eastAsia"/>
          <w:color w:val="auto"/>
          <w:sz w:val="32"/>
          <w:szCs w:val="32"/>
          <w:highlight w:val="none"/>
          <w:lang w:eastAsia="zh-CN"/>
        </w:rPr>
        <w:t>谋划</w:t>
      </w:r>
      <w:r>
        <w:rPr>
          <w:rFonts w:hint="eastAsia"/>
          <w:color w:val="auto"/>
          <w:sz w:val="32"/>
          <w:szCs w:val="32"/>
          <w:highlight w:val="none"/>
        </w:rPr>
        <w:t>物流</w:t>
      </w:r>
      <w:r>
        <w:rPr>
          <w:rFonts w:hint="eastAsia"/>
          <w:color w:val="auto"/>
          <w:sz w:val="32"/>
          <w:szCs w:val="32"/>
          <w:highlight w:val="none"/>
          <w:lang w:eastAsia="zh-CN"/>
        </w:rPr>
        <w:t>（快递）</w:t>
      </w:r>
      <w:r>
        <w:rPr>
          <w:rFonts w:hint="eastAsia"/>
          <w:color w:val="auto"/>
          <w:sz w:val="32"/>
          <w:szCs w:val="32"/>
          <w:highlight w:val="none"/>
        </w:rPr>
        <w:t>园区建设</w:t>
      </w:r>
      <w:r>
        <w:rPr>
          <w:rFonts w:hint="eastAsia"/>
          <w:color w:val="auto"/>
          <w:sz w:val="32"/>
          <w:szCs w:val="32"/>
          <w:highlight w:val="none"/>
          <w:lang w:eastAsia="zh-CN"/>
        </w:rPr>
        <w:t>，</w:t>
      </w:r>
      <w:r>
        <w:rPr>
          <w:rFonts w:hint="eastAsia"/>
          <w:color w:val="auto"/>
          <w:sz w:val="32"/>
          <w:szCs w:val="32"/>
          <w:highlight w:val="none"/>
        </w:rPr>
        <w:t>做强航空货运、冷链运输、跨境寄递等核心业态</w:t>
      </w:r>
      <w:r>
        <w:rPr>
          <w:rFonts w:hint="eastAsia"/>
          <w:color w:val="auto"/>
          <w:sz w:val="32"/>
          <w:szCs w:val="32"/>
          <w:highlight w:val="none"/>
          <w:lang w:eastAsia="zh-CN"/>
        </w:rPr>
        <w:t>。</w:t>
      </w:r>
      <w:r>
        <w:rPr>
          <w:rFonts w:hint="eastAsia"/>
          <w:color w:val="auto"/>
          <w:sz w:val="32"/>
          <w:szCs w:val="32"/>
          <w:highlight w:val="none"/>
        </w:rPr>
        <w:t>完善</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空海联动、水陆协同</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的立体化物流网络，</w:t>
      </w:r>
      <w:r>
        <w:rPr>
          <w:rFonts w:hint="eastAsia"/>
          <w:color w:val="auto"/>
          <w:sz w:val="32"/>
          <w:szCs w:val="32"/>
          <w:highlight w:val="none"/>
          <w:lang w:eastAsia="zh-CN"/>
        </w:rPr>
        <w:t>培育全货机航线。</w:t>
      </w:r>
      <w:r>
        <w:rPr>
          <w:rFonts w:hint="eastAsia"/>
          <w:color w:val="auto"/>
          <w:sz w:val="32"/>
          <w:szCs w:val="32"/>
          <w:highlight w:val="none"/>
        </w:rPr>
        <w:t>积极引进和培育跨境电商物流企业与智慧供应链服务商</w:t>
      </w:r>
      <w:r>
        <w:rPr>
          <w:rFonts w:hint="eastAsia"/>
          <w:color w:val="auto"/>
          <w:sz w:val="32"/>
          <w:szCs w:val="32"/>
          <w:highlight w:val="none"/>
          <w:lang w:eastAsia="zh-CN"/>
        </w:rPr>
        <w:t>，</w:t>
      </w:r>
      <w:r>
        <w:rPr>
          <w:rFonts w:hint="eastAsia"/>
          <w:color w:val="auto"/>
          <w:sz w:val="32"/>
          <w:szCs w:val="32"/>
          <w:highlight w:val="none"/>
        </w:rPr>
        <w:t>大力发展</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特色农产品</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跨境电商</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。支持建设跨境电商</w:t>
      </w:r>
      <w:r>
        <w:rPr>
          <w:rFonts w:hint="eastAsia"/>
          <w:color w:val="auto"/>
          <w:sz w:val="32"/>
          <w:szCs w:val="32"/>
          <w:highlight w:val="none"/>
          <w:lang w:eastAsia="zh-CN"/>
        </w:rPr>
        <w:t>出口</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退换货</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维修</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专用仓，探索保税物流、离岸仓储等新型服务模式。完善智慧口岸信息平台，布局数字化物流新基建，构建互联互通的智慧物流信息系统。</w:t>
      </w:r>
      <w:r>
        <w:rPr>
          <w:rFonts w:hint="eastAsia"/>
          <w:color w:val="auto"/>
          <w:sz w:val="32"/>
          <w:szCs w:val="32"/>
          <w:highlight w:val="none"/>
          <w:lang w:eastAsia="zh-CN"/>
        </w:rPr>
        <w:t>进一步</w:t>
      </w:r>
      <w:r>
        <w:rPr>
          <w:rFonts w:hint="eastAsia"/>
          <w:color w:val="auto"/>
          <w:sz w:val="32"/>
          <w:szCs w:val="32"/>
          <w:highlight w:val="none"/>
        </w:rPr>
        <w:t>优化通关流程，压缩通关时间，为物流产业与跨境电商的融合发展提供高效支撑。</w:t>
      </w:r>
    </w:p>
    <w:bookmarkEnd w:id="513"/>
    <w:p>
      <w:pPr>
        <w:pStyle w:val="4"/>
        <w:keepNext w:val="0"/>
        <w:keepLines w:val="0"/>
        <w:pageBreakBefore w:val="0"/>
        <w:widowControl w:val="0"/>
        <w:shd w:val="clear"/>
        <w:kinsoku/>
        <w:wordWrap/>
        <w:overflowPunct/>
        <w:topLinePunct w:val="0"/>
        <w:autoSpaceDE/>
        <w:autoSpaceDN/>
        <w:bidi w:val="0"/>
        <w:adjustRightInd w:val="0"/>
        <w:snapToGrid w:val="0"/>
        <w:spacing w:line="576" w:lineRule="exact"/>
        <w:ind w:left="0" w:leftChars="0" w:firstLine="0" w:firstLineChars="0"/>
        <w:jc w:val="center"/>
        <w:textAlignment w:val="auto"/>
        <w:rPr>
          <w:rFonts w:hint="eastAsia" w:ascii="黑体" w:hAnsi="黑体" w:eastAsia="黑体" w:cs="黑体"/>
          <w:color w:val="auto"/>
          <w:sz w:val="32"/>
          <w:szCs w:val="32"/>
          <w:highlight w:val="none"/>
        </w:rPr>
      </w:pPr>
      <w:bookmarkStart w:id="514" w:name="_Toc589606459"/>
      <w:bookmarkStart w:id="515" w:name="_Toc32413"/>
      <w:bookmarkStart w:id="516" w:name="_Toc1828445226"/>
      <w:bookmarkStart w:id="517" w:name="_Toc1906003356"/>
      <w:bookmarkStart w:id="518" w:name="_Toc1377864236"/>
      <w:bookmarkStart w:id="519" w:name="_Toc1513812606"/>
      <w:bookmarkStart w:id="520" w:name="_Toc806910928"/>
      <w:bookmarkStart w:id="521" w:name="_Toc1254532677"/>
      <w:bookmarkStart w:id="522" w:name="_Toc213447262"/>
      <w:bookmarkStart w:id="523" w:name="_Toc1317306222"/>
      <w:bookmarkStart w:id="524" w:name="_Toc211243559"/>
      <w:bookmarkStart w:id="525" w:name="_Toc949106323"/>
      <w:bookmarkStart w:id="526" w:name="_Toc1762258954"/>
      <w:bookmarkStart w:id="527" w:name="_Toc20921"/>
      <w:bookmarkStart w:id="528" w:name="_Toc211979439"/>
      <w:bookmarkStart w:id="529" w:name="_Toc1473154561"/>
      <w:bookmarkStart w:id="530" w:name="_Toc208752157"/>
      <w:bookmarkStart w:id="531" w:name="_Toc722178773"/>
    </w:p>
    <w:p>
      <w:pPr>
        <w:pStyle w:val="4"/>
        <w:keepNext w:val="0"/>
        <w:keepLines w:val="0"/>
        <w:pageBreakBefore w:val="0"/>
        <w:widowControl w:val="0"/>
        <w:shd w:val="clear"/>
        <w:kinsoku/>
        <w:wordWrap/>
        <w:overflowPunct/>
        <w:topLinePunct w:val="0"/>
        <w:autoSpaceDE/>
        <w:autoSpaceDN/>
        <w:bidi w:val="0"/>
        <w:adjustRightInd w:val="0"/>
        <w:snapToGrid w:val="0"/>
        <w:spacing w:line="576" w:lineRule="exact"/>
        <w:ind w:left="0" w:leftChars="0" w:firstLine="0" w:firstLineChars="0"/>
        <w:jc w:val="center"/>
        <w:textAlignment w:val="auto"/>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2"/>
          <w:szCs w:val="32"/>
          <w:highlight w:val="none"/>
        </w:rPr>
        <w:t xml:space="preserve">第四节  </w:t>
      </w:r>
      <w:r>
        <w:rPr>
          <w:rFonts w:hint="eastAsia" w:ascii="黑体" w:hAnsi="黑体" w:eastAsia="黑体" w:cs="黑体"/>
          <w:b w:val="0"/>
          <w:bCs/>
          <w:color w:val="auto"/>
          <w:sz w:val="32"/>
          <w:szCs w:val="32"/>
          <w:highlight w:val="none"/>
          <w:lang w:eastAsia="zh-CN"/>
        </w:rPr>
        <w:t>推动产业</w:t>
      </w:r>
      <w:r>
        <w:rPr>
          <w:rFonts w:hint="eastAsia" w:ascii="黑体" w:hAnsi="黑体" w:eastAsia="黑体" w:cs="黑体"/>
          <w:b w:val="0"/>
          <w:bCs/>
          <w:color w:val="auto"/>
          <w:sz w:val="32"/>
          <w:szCs w:val="32"/>
          <w:highlight w:val="none"/>
        </w:rPr>
        <w:t>园区</w:t>
      </w:r>
      <w:r>
        <w:rPr>
          <w:rFonts w:hint="eastAsia" w:ascii="黑体" w:hAnsi="黑体" w:eastAsia="黑体" w:cs="黑体"/>
          <w:b w:val="0"/>
          <w:bCs/>
          <w:color w:val="auto"/>
          <w:sz w:val="32"/>
          <w:szCs w:val="32"/>
          <w:highlight w:val="none"/>
          <w:lang w:eastAsia="zh-CN"/>
        </w:rPr>
        <w:t>提质升级</w:t>
      </w:r>
      <w:bookmarkEnd w:id="514"/>
      <w:bookmarkEnd w:id="515"/>
      <w:bookmarkEnd w:id="516"/>
      <w:bookmarkEnd w:id="517"/>
      <w:bookmarkEnd w:id="518"/>
      <w:bookmarkEnd w:id="519"/>
      <w:bookmarkEnd w:id="520"/>
      <w:bookmarkEnd w:id="521"/>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p>
    <w:p>
      <w:pPr>
        <w:pStyle w:val="31"/>
        <w:keepNext w:val="0"/>
        <w:keepLines w:val="0"/>
        <w:pageBreakBefore w:val="0"/>
        <w:widowControl w:val="0"/>
        <w:kinsoku/>
        <w:wordWrap/>
        <w:overflowPunct/>
        <w:topLinePunct w:val="0"/>
        <w:autoSpaceDE/>
        <w:autoSpaceDN/>
        <w:bidi w:val="0"/>
        <w:adjustRightInd w:val="0"/>
        <w:snapToGrid w:val="0"/>
        <w:spacing w:after="251" w:afterLines="80" w:line="576" w:lineRule="exact"/>
        <w:textAlignment w:val="auto"/>
        <w:rPr>
          <w:rFonts w:hint="eastAsia"/>
          <w:color w:val="auto"/>
          <w:sz w:val="32"/>
          <w:szCs w:val="32"/>
          <w:highlight w:val="none"/>
          <w:lang w:eastAsia="zh-CN"/>
        </w:rPr>
      </w:pPr>
      <w:r>
        <w:rPr>
          <w:rFonts w:hint="eastAsia"/>
          <w:color w:val="auto"/>
          <w:sz w:val="32"/>
          <w:szCs w:val="32"/>
          <w:highlight w:val="none"/>
        </w:rPr>
        <w:t>做大做强做优园区经济，强化园区核心功能和主导产业，</w:t>
      </w:r>
      <w:r>
        <w:rPr>
          <w:rFonts w:hint="eastAsia"/>
          <w:color w:val="auto"/>
          <w:sz w:val="32"/>
          <w:szCs w:val="32"/>
          <w:highlight w:val="none"/>
          <w:lang w:eastAsia="zh-CN"/>
        </w:rPr>
        <w:t>加强</w:t>
      </w:r>
      <w:r>
        <w:rPr>
          <w:rFonts w:hint="eastAsia"/>
          <w:color w:val="auto"/>
          <w:sz w:val="32"/>
          <w:szCs w:val="32"/>
          <w:highlight w:val="none"/>
        </w:rPr>
        <w:t>资金、人才等资源要素配置，探索推进</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一园一院一基金</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模式，提升产业发展核心竞争力，推动园区错位协同发展。推动园区生产、生态、生活融合发展，适度超前规划建设基础设施和公共服务配套，推动园区与重要物流枢纽、交通枢纽等高效连通，打造宜居宜业园区。充分释放</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一园多区</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聚合效能，科学预留产业用地，提升土地资源利用效率。持续深化园区管理体制机制改革，</w:t>
      </w:r>
      <w:r>
        <w:rPr>
          <w:rFonts w:hint="eastAsia" w:ascii="Times New Roman" w:hAnsi="Times New Roman" w:eastAsia="仿宋_GB2312" w:cs="Times New Roman"/>
          <w:i w:val="0"/>
          <w:caps w:val="0"/>
          <w:color w:val="auto"/>
          <w:spacing w:val="0"/>
          <w:kern w:val="0"/>
          <w:sz w:val="32"/>
          <w:szCs w:val="32"/>
          <w:highlight w:val="none"/>
          <w:u w:val="none" w:color="auto"/>
          <w:shd w:val="clear" w:color="auto" w:fill="auto"/>
          <w:lang w:val="en" w:eastAsia="zh-CN" w:bidi="ar"/>
        </w:rPr>
        <w:t>厘清</w:t>
      </w:r>
      <w:r>
        <w:rPr>
          <w:rFonts w:hint="default" w:ascii="Times New Roman" w:hAnsi="Times New Roman" w:eastAsia="仿宋_GB2312" w:cs="Times New Roman"/>
          <w:i w:val="0"/>
          <w:caps w:val="0"/>
          <w:color w:val="auto"/>
          <w:spacing w:val="0"/>
          <w:kern w:val="0"/>
          <w:sz w:val="32"/>
          <w:szCs w:val="32"/>
          <w:highlight w:val="none"/>
          <w:u w:val="none" w:color="auto"/>
          <w:shd w:val="clear" w:color="auto" w:fill="auto"/>
          <w:lang w:val="en" w:eastAsia="zh-CN" w:bidi="ar"/>
        </w:rPr>
        <w:t>园区法定机构</w:t>
      </w:r>
      <w:r>
        <w:rPr>
          <w:rFonts w:hint="eastAsia" w:ascii="Times New Roman" w:hAnsi="Times New Roman" w:eastAsia="仿宋_GB2312" w:cs="Times New Roman"/>
          <w:i w:val="0"/>
          <w:caps w:val="0"/>
          <w:color w:val="auto"/>
          <w:spacing w:val="0"/>
          <w:kern w:val="0"/>
          <w:sz w:val="32"/>
          <w:szCs w:val="32"/>
          <w:highlight w:val="none"/>
          <w:u w:val="none" w:color="auto"/>
          <w:shd w:val="clear" w:color="auto" w:fill="auto"/>
          <w:lang w:val="en" w:eastAsia="zh-CN" w:bidi="ar"/>
        </w:rPr>
        <w:t>、平台机构</w:t>
      </w:r>
      <w:r>
        <w:rPr>
          <w:rFonts w:hint="default" w:ascii="Times New Roman" w:hAnsi="Times New Roman" w:eastAsia="仿宋_GB2312" w:cs="Times New Roman"/>
          <w:i w:val="0"/>
          <w:caps w:val="0"/>
          <w:color w:val="auto"/>
          <w:spacing w:val="0"/>
          <w:kern w:val="0"/>
          <w:sz w:val="32"/>
          <w:szCs w:val="32"/>
          <w:highlight w:val="none"/>
          <w:u w:val="none" w:color="auto"/>
          <w:shd w:val="clear" w:color="auto" w:fill="auto"/>
          <w:lang w:val="en" w:eastAsia="zh-CN" w:bidi="ar"/>
        </w:rPr>
        <w:t>职责边界</w:t>
      </w:r>
      <w:r>
        <w:rPr>
          <w:rFonts w:hint="eastAsia"/>
          <w:color w:val="auto"/>
          <w:sz w:val="32"/>
          <w:szCs w:val="32"/>
          <w:highlight w:val="none"/>
        </w:rPr>
        <w:t>，依法精准放权赋权。推进园区所属国有开发运营主体市场化、专业化改革，积极引入社会资本参与园区建设发展。完善园区综合考核评价与激励机制，着力提升园区服务与管理水平，全面激发园区发展活力。</w:t>
      </w:r>
    </w:p>
    <w:tbl>
      <w:tblPr>
        <w:tblStyle w:val="38"/>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8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suppressLineNumbers w:val="0"/>
              <w:shd w:val="clear"/>
              <w:kinsoku/>
              <w:wordWrap/>
              <w:overflowPunct/>
              <w:topLinePunct w:val="0"/>
              <w:autoSpaceDE/>
              <w:autoSpaceDN/>
              <w:bidi w:val="0"/>
              <w:snapToGrid w:val="0"/>
              <w:spacing w:before="157" w:beforeLines="50" w:beforeAutospacing="0" w:after="157" w:afterLines="50" w:afterAutospacing="0" w:line="440" w:lineRule="exact"/>
              <w:ind w:left="0" w:right="0"/>
              <w:jc w:val="center"/>
              <w:textAlignment w:val="auto"/>
              <w:rPr>
                <w:rFonts w:hint="default" w:ascii="Times New Roman" w:hAnsi="Times New Roman" w:eastAsia="黑体" w:cs="Times New Roman"/>
                <w:color w:val="auto"/>
                <w:kern w:val="2"/>
                <w:sz w:val="30"/>
                <w:szCs w:val="30"/>
                <w:highlight w:val="none"/>
              </w:rPr>
            </w:pPr>
            <w:r>
              <w:rPr>
                <w:rFonts w:hint="eastAsia" w:ascii="黑体" w:hAnsi="宋体" w:eastAsia="黑体" w:cs="黑体"/>
                <w:color w:val="auto"/>
                <w:kern w:val="2"/>
                <w:sz w:val="28"/>
                <w:szCs w:val="28"/>
                <w:highlight w:val="none"/>
                <w:lang w:val="en-US" w:eastAsia="zh-CN" w:bidi="ar"/>
              </w:rPr>
              <w:t>专栏</w:t>
            </w:r>
            <w:r>
              <w:rPr>
                <w:rFonts w:hint="default" w:ascii="Times New Roman" w:hAnsi="Times New Roman" w:eastAsia="黑体" w:cs="Times New Roman"/>
                <w:color w:val="auto"/>
                <w:kern w:val="2"/>
                <w:sz w:val="28"/>
                <w:szCs w:val="28"/>
                <w:highlight w:val="none"/>
                <w:lang w:val="en-US" w:eastAsia="zh-CN" w:bidi="ar"/>
              </w:rPr>
              <w:t>9</w:t>
            </w:r>
            <w:r>
              <w:rPr>
                <w:rFonts w:hint="eastAsia" w:ascii="黑体" w:hAnsi="宋体" w:eastAsia="黑体" w:cs="黑体"/>
                <w:color w:val="auto"/>
                <w:kern w:val="2"/>
                <w:sz w:val="28"/>
                <w:szCs w:val="28"/>
                <w:highlight w:val="none"/>
                <w:lang w:val="en-US" w:eastAsia="zh-CN" w:bidi="ar"/>
              </w:rPr>
              <w:t xml:space="preserve">  重点园区提质升级行动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8854" w:type="dxa"/>
            <w:tcBorders>
              <w:top w:val="single" w:color="auto" w:sz="4" w:space="0"/>
              <w:left w:val="single" w:color="auto" w:sz="4" w:space="0"/>
              <w:bottom w:val="single" w:color="auto" w:sz="4" w:space="0"/>
              <w:right w:val="single" w:color="auto" w:sz="4" w:space="0"/>
            </w:tcBorders>
            <w:shd w:val="clear" w:color="auto" w:fill="auto"/>
            <w:vAlign w:val="top"/>
          </w:tcPr>
          <w:p>
            <w:pPr>
              <w:pStyle w:val="33"/>
              <w:keepNext w:val="0"/>
              <w:keepLines w:val="0"/>
              <w:pageBreakBefore w:val="0"/>
              <w:widowControl/>
              <w:numPr>
                <w:ilvl w:val="-1"/>
                <w:numId w:val="0"/>
              </w:numPr>
              <w:shd w:val="clear"/>
              <w:kinsoku/>
              <w:wordWrap/>
              <w:overflowPunct/>
              <w:topLinePunct w:val="0"/>
              <w:autoSpaceDE/>
              <w:autoSpaceDN/>
              <w:bidi w:val="0"/>
              <w:snapToGrid w:val="0"/>
              <w:spacing w:before="157" w:beforeLines="50" w:beforeAutospacing="0" w:after="157" w:afterLines="50" w:afterAutospacing="0" w:line="440" w:lineRule="exact"/>
              <w:ind w:left="0" w:leftChars="0" w:right="0" w:firstLine="562"/>
              <w:contextualSpacing w:val="0"/>
              <w:textAlignment w:val="auto"/>
              <w:rPr>
                <w:rFonts w:hint="eastAsia" w:ascii="楷体" w:hAnsi="楷体" w:eastAsia="楷体" w:cs="楷体"/>
                <w:color w:val="auto"/>
                <w:kern w:val="2"/>
                <w:sz w:val="28"/>
                <w:szCs w:val="28"/>
                <w:highlight w:val="none"/>
              </w:rPr>
            </w:pPr>
            <w:r>
              <w:rPr>
                <w:rFonts w:hint="default" w:ascii="Times New Roman" w:hAnsi="Times New Roman" w:cs="Times New Roman"/>
                <w:b/>
                <w:color w:val="auto"/>
                <w:kern w:val="2"/>
                <w:sz w:val="28"/>
                <w:szCs w:val="28"/>
                <w:highlight w:val="none"/>
                <w:lang w:val="en-US" w:eastAsia="zh-CN"/>
              </w:rPr>
              <w:t>1</w:t>
            </w:r>
            <w:r>
              <w:rPr>
                <w:rFonts w:hint="eastAsia" w:ascii="楷体_GB2312" w:hAnsi="楷体_GB2312" w:eastAsia="楷体_GB2312" w:cs="楷体_GB2312"/>
                <w:b/>
                <w:color w:val="auto"/>
                <w:kern w:val="2"/>
                <w:sz w:val="28"/>
                <w:szCs w:val="28"/>
                <w:highlight w:val="none"/>
                <w:lang w:val="en-US" w:eastAsia="zh-CN"/>
              </w:rPr>
              <w:t>.</w:t>
            </w:r>
            <w:r>
              <w:rPr>
                <w:rFonts w:hint="eastAsia" w:ascii="楷体" w:hAnsi="楷体" w:eastAsia="楷体" w:cs="楷体"/>
                <w:b/>
                <w:color w:val="auto"/>
                <w:kern w:val="2"/>
                <w:sz w:val="28"/>
                <w:szCs w:val="28"/>
                <w:highlight w:val="none"/>
              </w:rPr>
              <w:t>崖州湾科技城高新区。</w:t>
            </w:r>
            <w:r>
              <w:rPr>
                <w:rFonts w:hint="eastAsia" w:ascii="楷体" w:hAnsi="楷体"/>
                <w:color w:val="auto"/>
                <w:highlight w:val="none"/>
              </w:rPr>
              <w:t>以“南繁种业+深海科技”为核心引擎，构建生物制造、空天信息、生命科学等产业互促共进的现代产业体系，打造千亿级产业园区。强化高能级科研机构与大型科研设施建设，建设开放高效的国际合作平台，健全“科研发现</w:t>
            </w:r>
            <w:r>
              <w:rPr>
                <w:rFonts w:hint="eastAsia" w:ascii="仿宋_GB2312" w:hAnsi="仿宋_GB2312" w:cs="仿宋_GB2312"/>
                <w:color w:val="auto"/>
                <w:highlight w:val="none"/>
                <w:lang w:eastAsia="zh-CN"/>
              </w:rPr>
              <w:t>—</w:t>
            </w:r>
            <w:r>
              <w:rPr>
                <w:rFonts w:hint="eastAsia" w:ascii="楷体" w:hAnsi="楷体"/>
                <w:color w:val="auto"/>
                <w:highlight w:val="none"/>
              </w:rPr>
              <w:t>应用验证</w:t>
            </w:r>
            <w:r>
              <w:rPr>
                <w:rFonts w:hint="eastAsia" w:ascii="仿宋_GB2312" w:hAnsi="仿宋_GB2312" w:cs="仿宋_GB2312"/>
                <w:color w:val="auto"/>
                <w:highlight w:val="none"/>
                <w:lang w:eastAsia="zh-CN"/>
              </w:rPr>
              <w:t>—</w:t>
            </w:r>
            <w:r>
              <w:rPr>
                <w:rFonts w:hint="eastAsia" w:ascii="楷体" w:hAnsi="楷体"/>
                <w:color w:val="auto"/>
                <w:highlight w:val="none"/>
              </w:rPr>
              <w:t>示范推广</w:t>
            </w:r>
            <w:r>
              <w:rPr>
                <w:rFonts w:hint="eastAsia" w:ascii="仿宋_GB2312" w:hAnsi="仿宋_GB2312" w:cs="仿宋_GB2312"/>
                <w:color w:val="auto"/>
                <w:highlight w:val="none"/>
                <w:lang w:eastAsia="zh-CN"/>
              </w:rPr>
              <w:t>—</w:t>
            </w:r>
            <w:r>
              <w:rPr>
                <w:rFonts w:hint="eastAsia" w:ascii="楷体" w:hAnsi="楷体"/>
                <w:color w:val="auto"/>
                <w:highlight w:val="none"/>
              </w:rPr>
              <w:t>成果转化”全链条机制，创建国家高新技术产业开发区。</w:t>
            </w:r>
          </w:p>
          <w:p>
            <w:pPr>
              <w:pStyle w:val="33"/>
              <w:keepNext w:val="0"/>
              <w:keepLines w:val="0"/>
              <w:pageBreakBefore w:val="0"/>
              <w:widowControl/>
              <w:numPr>
                <w:ilvl w:val="-1"/>
                <w:numId w:val="0"/>
              </w:numPr>
              <w:shd w:val="clear"/>
              <w:kinsoku/>
              <w:wordWrap/>
              <w:overflowPunct/>
              <w:topLinePunct w:val="0"/>
              <w:autoSpaceDE/>
              <w:autoSpaceDN/>
              <w:bidi w:val="0"/>
              <w:snapToGrid w:val="0"/>
              <w:spacing w:before="157" w:beforeLines="50" w:beforeAutospacing="0" w:after="157" w:afterLines="50" w:afterAutospacing="0" w:line="440" w:lineRule="exact"/>
              <w:ind w:right="0" w:rightChars="0" w:firstLine="562"/>
              <w:contextualSpacing w:val="0"/>
              <w:textAlignment w:val="auto"/>
              <w:rPr>
                <w:rFonts w:hint="eastAsia" w:ascii="楷体" w:hAnsi="楷体" w:eastAsia="楷体" w:cs="楷体"/>
                <w:color w:val="auto"/>
                <w:kern w:val="2"/>
                <w:sz w:val="28"/>
                <w:szCs w:val="28"/>
                <w:highlight w:val="none"/>
                <w:lang w:bidi="ar"/>
              </w:rPr>
            </w:pPr>
            <w:r>
              <w:rPr>
                <w:rFonts w:hint="default" w:ascii="Times New Roman" w:hAnsi="Times New Roman" w:eastAsia="楷体" w:cs="Times New Roman"/>
                <w:b/>
                <w:color w:val="auto"/>
                <w:kern w:val="2"/>
                <w:sz w:val="28"/>
                <w:szCs w:val="28"/>
                <w:highlight w:val="none"/>
              </w:rPr>
              <w:t>2</w:t>
            </w:r>
            <w:r>
              <w:rPr>
                <w:rFonts w:hint="eastAsia" w:ascii="楷体_GB2312" w:hAnsi="楷体_GB2312" w:eastAsia="楷体_GB2312" w:cs="楷体_GB2312"/>
                <w:color w:val="auto"/>
                <w:kern w:val="2"/>
                <w:sz w:val="28"/>
                <w:szCs w:val="28"/>
                <w:highlight w:val="none"/>
                <w:lang w:eastAsia="zh-CN"/>
              </w:rPr>
              <w:t>.</w:t>
            </w:r>
            <w:r>
              <w:rPr>
                <w:rFonts w:hint="eastAsia" w:ascii="楷体" w:hAnsi="楷体" w:eastAsia="楷体" w:cs="楷体"/>
                <w:b/>
                <w:color w:val="auto"/>
                <w:kern w:val="2"/>
                <w:sz w:val="28"/>
                <w:szCs w:val="28"/>
                <w:highlight w:val="none"/>
              </w:rPr>
              <w:t>中央商务区。</w:t>
            </w:r>
            <w:r>
              <w:rPr>
                <w:rFonts w:hint="eastAsia" w:ascii="楷体" w:hAnsi="楷体"/>
                <w:color w:val="auto"/>
                <w:highlight w:val="none"/>
                <w:lang w:bidi="ar"/>
              </w:rPr>
              <w:t>聚焦以总部经济为核心的外向型经济形态，全力锚定现代金融、现代商贸、邮轮游艇、文化艺术主导支撑产业做优做强，着力推进数字经济、先进制造</w:t>
            </w:r>
            <w:r>
              <w:rPr>
                <w:rFonts w:hint="eastAsia" w:ascii="仿宋_GB2312" w:hAnsi="仿宋_GB2312" w:eastAsia="仿宋_GB2312" w:cs="仿宋_GB2312"/>
                <w:color w:val="auto"/>
                <w:highlight w:val="none"/>
                <w:lang w:bidi="ar"/>
              </w:rPr>
              <w:t>+</w:t>
            </w:r>
            <w:r>
              <w:rPr>
                <w:rFonts w:hint="eastAsia" w:ascii="楷体" w:hAnsi="楷体"/>
                <w:color w:val="auto"/>
                <w:highlight w:val="none"/>
                <w:lang w:bidi="ar"/>
              </w:rPr>
              <w:t>战略新兴产业迭代升级。以</w:t>
            </w:r>
            <w:r>
              <w:rPr>
                <w:rFonts w:hint="eastAsia" w:ascii="仿宋_GB2312" w:hAnsi="仿宋_GB2312" w:eastAsia="仿宋_GB2312" w:cs="仿宋_GB2312"/>
                <w:color w:val="auto"/>
                <w:highlight w:val="none"/>
                <w:lang w:bidi="ar"/>
              </w:rPr>
              <w:t>“</w:t>
            </w:r>
            <w:r>
              <w:rPr>
                <w:rFonts w:hint="eastAsia" w:ascii="楷体" w:hAnsi="楷体"/>
                <w:color w:val="auto"/>
                <w:highlight w:val="none"/>
                <w:lang w:bidi="ar"/>
              </w:rPr>
              <w:t>一心三片</w:t>
            </w:r>
            <w:r>
              <w:rPr>
                <w:rFonts w:hint="eastAsia" w:ascii="仿宋_GB2312" w:hAnsi="仿宋_GB2312" w:eastAsia="仿宋_GB2312" w:cs="仿宋_GB2312"/>
                <w:color w:val="auto"/>
                <w:highlight w:val="none"/>
                <w:lang w:bidi="ar"/>
              </w:rPr>
              <w:t>”</w:t>
            </w:r>
            <w:r>
              <w:rPr>
                <w:rFonts w:hint="eastAsia" w:ascii="楷体" w:hAnsi="楷体"/>
                <w:color w:val="auto"/>
                <w:highlight w:val="none"/>
                <w:lang w:bidi="ar"/>
              </w:rPr>
              <w:t>为载体，强化企业出海服务、跨境投融资便利、数据跨境流动三大平台能级释放，全力</w:t>
            </w:r>
            <w:r>
              <w:rPr>
                <w:rFonts w:hint="eastAsia" w:ascii="楷体" w:hAnsi="楷体"/>
                <w:color w:val="auto"/>
                <w:highlight w:val="none"/>
                <w:lang w:eastAsia="zh-CN" w:bidi="ar"/>
              </w:rPr>
              <w:t>打造</w:t>
            </w:r>
            <w:r>
              <w:rPr>
                <w:rFonts w:hint="eastAsia" w:ascii="楷体" w:hAnsi="楷体"/>
                <w:color w:val="auto"/>
                <w:highlight w:val="none"/>
                <w:lang w:bidi="ar"/>
              </w:rPr>
              <w:t>自贸港现代服务业高质量发展引领区。</w:t>
            </w:r>
          </w:p>
          <w:p>
            <w:pPr>
              <w:pStyle w:val="33"/>
              <w:keepNext w:val="0"/>
              <w:keepLines w:val="0"/>
              <w:pageBreakBefore w:val="0"/>
              <w:widowControl/>
              <w:shd w:val="clear"/>
              <w:kinsoku/>
              <w:wordWrap/>
              <w:overflowPunct/>
              <w:topLinePunct w:val="0"/>
              <w:autoSpaceDE/>
              <w:autoSpaceDN/>
              <w:bidi w:val="0"/>
              <w:snapToGrid w:val="0"/>
              <w:spacing w:before="157" w:beforeLines="50" w:beforeAutospacing="0" w:after="157" w:afterLines="50" w:afterAutospacing="0" w:line="440" w:lineRule="exact"/>
              <w:ind w:left="0" w:right="0" w:firstLine="562"/>
              <w:contextualSpacing w:val="0"/>
              <w:textAlignment w:val="auto"/>
              <w:rPr>
                <w:rFonts w:hint="default" w:ascii="Times New Roman" w:hAnsi="Times New Roman" w:eastAsia="楷体" w:cs="楷体"/>
                <w:color w:val="auto"/>
                <w:kern w:val="2"/>
                <w:sz w:val="28"/>
                <w:szCs w:val="28"/>
                <w:highlight w:val="none"/>
              </w:rPr>
            </w:pPr>
            <w:r>
              <w:rPr>
                <w:rFonts w:hint="default" w:ascii="Times New Roman" w:hAnsi="Times New Roman" w:eastAsia="楷体" w:cs="Times New Roman"/>
                <w:b/>
                <w:color w:val="auto"/>
                <w:kern w:val="2"/>
                <w:sz w:val="28"/>
                <w:szCs w:val="28"/>
                <w:highlight w:val="none"/>
              </w:rPr>
              <w:t>3</w:t>
            </w:r>
            <w:r>
              <w:rPr>
                <w:rFonts w:hint="eastAsia" w:ascii="楷体_GB2312" w:hAnsi="楷体_GB2312" w:eastAsia="楷体_GB2312" w:cs="楷体_GB2312"/>
                <w:color w:val="auto"/>
                <w:kern w:val="2"/>
                <w:sz w:val="28"/>
                <w:szCs w:val="28"/>
                <w:highlight w:val="none"/>
                <w:lang w:eastAsia="zh-CN"/>
              </w:rPr>
              <w:t>.</w:t>
            </w:r>
            <w:r>
              <w:rPr>
                <w:rFonts w:hint="eastAsia" w:ascii="楷体" w:hAnsi="楷体" w:eastAsia="楷体" w:cs="楷体"/>
                <w:b/>
                <w:color w:val="auto"/>
                <w:kern w:val="2"/>
                <w:sz w:val="28"/>
                <w:szCs w:val="28"/>
                <w:highlight w:val="none"/>
              </w:rPr>
              <w:t>现代服务业产业园。</w:t>
            </w:r>
            <w:r>
              <w:rPr>
                <w:rFonts w:hint="eastAsia" w:ascii="楷体" w:hAnsi="楷体"/>
                <w:color w:val="auto"/>
                <w:highlight w:val="none"/>
              </w:rPr>
              <w:t>精准锚定消费升级趋势，全链条提质发展高端酒店、休闲旅游、购物消费、医疗康养、会议会展五大文旅消费关键领域，</w:t>
            </w:r>
            <w:r>
              <w:rPr>
                <w:rFonts w:hint="eastAsia" w:ascii="楷体" w:hAnsi="楷体"/>
                <w:color w:val="auto"/>
                <w:highlight w:val="none"/>
                <w:lang w:eastAsia="zh-CN"/>
              </w:rPr>
              <w:t>推动</w:t>
            </w:r>
            <w:r>
              <w:rPr>
                <w:rFonts w:hint="eastAsia" w:ascii="楷体" w:hAnsi="楷体"/>
                <w:color w:val="auto"/>
                <w:highlight w:val="none"/>
              </w:rPr>
              <w:t>琼港经济合作</w:t>
            </w:r>
            <w:r>
              <w:rPr>
                <w:rFonts w:hint="eastAsia" w:ascii="楷体" w:hAnsi="楷体"/>
                <w:color w:val="auto"/>
                <w:highlight w:val="none"/>
                <w:lang w:eastAsia="zh-CN"/>
              </w:rPr>
              <w:t>三亚</w:t>
            </w:r>
            <w:r>
              <w:rPr>
                <w:rFonts w:hint="eastAsia" w:ascii="楷体" w:hAnsi="楷体"/>
                <w:color w:val="auto"/>
                <w:highlight w:val="none"/>
              </w:rPr>
              <w:t>示范区</w:t>
            </w:r>
            <w:r>
              <w:rPr>
                <w:rFonts w:hint="eastAsia" w:ascii="楷体" w:hAnsi="楷体"/>
                <w:color w:val="auto"/>
                <w:highlight w:val="none"/>
                <w:lang w:eastAsia="zh-CN"/>
              </w:rPr>
              <w:t>建设</w:t>
            </w:r>
            <w:r>
              <w:rPr>
                <w:rFonts w:hint="eastAsia" w:ascii="楷体" w:hAnsi="楷体"/>
                <w:color w:val="auto"/>
                <w:highlight w:val="none"/>
              </w:rPr>
              <w:t>，聚力培育低空经济、低碳经济等新发展动能，高标准谋划实施具有引爆效应的旗舰项目及活动，全力塑造国际旅游消费中心功能引领区。</w:t>
            </w:r>
          </w:p>
        </w:tc>
      </w:tr>
      <w:bookmarkEnd w:id="450"/>
      <w:bookmarkEnd w:id="522"/>
      <w:bookmarkEnd w:id="523"/>
      <w:bookmarkEnd w:id="524"/>
      <w:bookmarkEnd w:id="525"/>
      <w:bookmarkEnd w:id="526"/>
      <w:bookmarkEnd w:id="527"/>
      <w:bookmarkEnd w:id="528"/>
      <w:bookmarkEnd w:id="529"/>
      <w:bookmarkEnd w:id="530"/>
      <w:bookmarkEnd w:id="531"/>
    </w:tbl>
    <w:p>
      <w:pPr>
        <w:pStyle w:val="31"/>
        <w:pageBreakBefore w:val="0"/>
        <w:widowControl w:val="0"/>
        <w:kinsoku/>
        <w:wordWrap/>
        <w:overflowPunct/>
        <w:topLinePunct w:val="0"/>
        <w:autoSpaceDE/>
        <w:autoSpaceDN/>
        <w:bidi w:val="0"/>
        <w:adjustRightInd w:val="0"/>
        <w:snapToGrid w:val="0"/>
        <w:textAlignment w:val="auto"/>
        <w:rPr>
          <w:rFonts w:hint="eastAsia"/>
          <w:color w:val="auto"/>
          <w:highlight w:val="none"/>
        </w:rPr>
      </w:pPr>
      <w:bookmarkStart w:id="532" w:name="_Toc2086667211"/>
      <w:bookmarkStart w:id="533" w:name="_Toc565976083"/>
      <w:bookmarkStart w:id="534" w:name="_Toc1806854247"/>
      <w:bookmarkStart w:id="535" w:name="_Toc948776487"/>
      <w:bookmarkStart w:id="536" w:name="_Toc213447263"/>
      <w:bookmarkStart w:id="537" w:name="_Toc211979444"/>
    </w:p>
    <w:p>
      <w:pPr>
        <w:pStyle w:val="31"/>
        <w:rPr>
          <w:rFonts w:hint="eastAsia"/>
          <w:color w:val="auto"/>
          <w:highlight w:val="none"/>
        </w:rPr>
      </w:pPr>
      <w:bookmarkStart w:id="538" w:name="_Toc1067685560"/>
      <w:bookmarkStart w:id="539" w:name="_Toc1996299249"/>
      <w:bookmarkStart w:id="540" w:name="_Toc1763059816"/>
      <w:bookmarkStart w:id="541" w:name="_Toc297920691"/>
      <w:bookmarkStart w:id="542" w:name="_Toc22185"/>
    </w:p>
    <w:p>
      <w:pPr>
        <w:pStyle w:val="31"/>
        <w:rPr>
          <w:rFonts w:hint="eastAsia"/>
          <w:color w:val="auto"/>
          <w:highlight w:val="none"/>
        </w:rPr>
      </w:pPr>
    </w:p>
    <w:p>
      <w:pPr>
        <w:pStyle w:val="31"/>
        <w:rPr>
          <w:rFonts w:hint="eastAsia"/>
          <w:color w:val="auto"/>
          <w:highlight w:val="none"/>
        </w:rPr>
      </w:pPr>
    </w:p>
    <w:p>
      <w:pPr>
        <w:pStyle w:val="31"/>
        <w:rPr>
          <w:rFonts w:hint="eastAsia"/>
          <w:color w:val="auto"/>
          <w:highlight w:val="none"/>
        </w:rPr>
      </w:pPr>
    </w:p>
    <w:p>
      <w:pPr>
        <w:pStyle w:val="31"/>
        <w:rPr>
          <w:rFonts w:hint="eastAsia"/>
          <w:color w:val="auto"/>
          <w:highlight w:val="none"/>
        </w:rPr>
      </w:pPr>
    </w:p>
    <w:p>
      <w:pPr>
        <w:pStyle w:val="31"/>
        <w:rPr>
          <w:rFonts w:hint="eastAsia"/>
          <w:color w:val="auto"/>
          <w:highlight w:val="none"/>
        </w:rPr>
      </w:pPr>
    </w:p>
    <w:p>
      <w:pPr>
        <w:pStyle w:val="31"/>
        <w:rPr>
          <w:rFonts w:hint="eastAsia"/>
          <w:color w:val="auto"/>
          <w:highlight w:val="none"/>
        </w:rPr>
      </w:pPr>
    </w:p>
    <w:p>
      <w:pPr>
        <w:pStyle w:val="31"/>
        <w:rPr>
          <w:rFonts w:hint="eastAsia"/>
          <w:color w:val="auto"/>
          <w:highlight w:val="none"/>
        </w:rPr>
      </w:pPr>
    </w:p>
    <w:p>
      <w:pPr>
        <w:pStyle w:val="31"/>
        <w:rPr>
          <w:rFonts w:hint="eastAsia"/>
          <w:color w:val="auto"/>
          <w:highlight w:val="none"/>
        </w:rPr>
      </w:pPr>
    </w:p>
    <w:p>
      <w:pPr>
        <w:pStyle w:val="31"/>
        <w:rPr>
          <w:rFonts w:hint="eastAsia"/>
          <w:color w:val="auto"/>
          <w:highlight w:val="none"/>
        </w:rPr>
      </w:pPr>
    </w:p>
    <w:p>
      <w:pPr>
        <w:pStyle w:val="31"/>
        <w:rPr>
          <w:rFonts w:hint="eastAsia"/>
          <w:color w:val="auto"/>
          <w:highlight w:val="none"/>
        </w:rPr>
      </w:pPr>
    </w:p>
    <w:p>
      <w:pPr>
        <w:pStyle w:val="31"/>
        <w:rPr>
          <w:rFonts w:hint="eastAsia"/>
          <w:color w:val="auto"/>
          <w:highlight w:val="none"/>
        </w:rPr>
      </w:pPr>
    </w:p>
    <w:p>
      <w:pPr>
        <w:pStyle w:val="31"/>
        <w:rPr>
          <w:rFonts w:hint="eastAsia"/>
          <w:color w:val="auto"/>
          <w:highlight w:val="none"/>
        </w:rPr>
      </w:pPr>
    </w:p>
    <w:p>
      <w:pPr>
        <w:pStyle w:val="31"/>
        <w:adjustRightInd w:val="0"/>
        <w:snapToGrid w:val="0"/>
        <w:rPr>
          <w:rFonts w:hint="eastAsia"/>
          <w:color w:val="auto"/>
          <w:highlight w:val="none"/>
        </w:rPr>
      </w:pPr>
    </w:p>
    <w:p>
      <w:pPr>
        <w:pStyle w:val="3"/>
        <w:pageBreakBefore w:val="0"/>
        <w:widowControl w:val="0"/>
        <w:shd w:val="clear"/>
        <w:kinsoku/>
        <w:wordWrap/>
        <w:overflowPunct/>
        <w:topLinePunct w:val="0"/>
        <w:autoSpaceDE/>
        <w:autoSpaceDN/>
        <w:bidi w:val="0"/>
        <w:adjustRightInd w:val="0"/>
        <w:snapToGrid w:val="0"/>
        <w:spacing w:line="556" w:lineRule="exact"/>
        <w:textAlignment w:val="auto"/>
        <w:rPr>
          <w:rFonts w:hint="eastAsia"/>
          <w:color w:val="auto"/>
          <w:highlight w:val="none"/>
        </w:rPr>
      </w:pPr>
    </w:p>
    <w:p>
      <w:pPr>
        <w:pStyle w:val="3"/>
        <w:pageBreakBefore w:val="0"/>
        <w:widowControl w:val="0"/>
        <w:shd w:val="clear"/>
        <w:kinsoku/>
        <w:wordWrap/>
        <w:overflowPunct/>
        <w:topLinePunct w:val="0"/>
        <w:autoSpaceDE/>
        <w:autoSpaceDN/>
        <w:bidi w:val="0"/>
        <w:adjustRightInd w:val="0"/>
        <w:snapToGrid w:val="0"/>
        <w:spacing w:line="556" w:lineRule="exact"/>
        <w:textAlignment w:val="auto"/>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sz w:val="40"/>
          <w:szCs w:val="40"/>
          <w:highlight w:val="none"/>
        </w:rPr>
        <w:t>第八章  扎实推进乡村全面振兴</w:t>
      </w:r>
      <w:bookmarkEnd w:id="532"/>
      <w:bookmarkEnd w:id="533"/>
      <w:bookmarkEnd w:id="534"/>
      <w:bookmarkEnd w:id="535"/>
      <w:bookmarkEnd w:id="536"/>
      <w:bookmarkEnd w:id="538"/>
      <w:bookmarkEnd w:id="539"/>
      <w:bookmarkEnd w:id="540"/>
      <w:bookmarkEnd w:id="541"/>
      <w:bookmarkEnd w:id="542"/>
    </w:p>
    <w:p>
      <w:pPr>
        <w:pStyle w:val="31"/>
        <w:pageBreakBefore w:val="0"/>
        <w:widowControl w:val="0"/>
        <w:shd w:val="clear"/>
        <w:kinsoku/>
        <w:wordWrap/>
        <w:overflowPunct/>
        <w:topLinePunct w:val="0"/>
        <w:autoSpaceDE/>
        <w:autoSpaceDN/>
        <w:bidi w:val="0"/>
        <w:adjustRightInd w:val="0"/>
        <w:snapToGrid w:val="0"/>
        <w:spacing w:line="556" w:lineRule="exact"/>
        <w:textAlignment w:val="auto"/>
        <w:rPr>
          <w:rFonts w:hint="eastAsia"/>
          <w:color w:val="auto"/>
          <w:sz w:val="32"/>
          <w:szCs w:val="32"/>
          <w:highlight w:val="none"/>
        </w:rPr>
      </w:pPr>
    </w:p>
    <w:p>
      <w:pPr>
        <w:pStyle w:val="31"/>
        <w:pageBreakBefore w:val="0"/>
        <w:widowControl w:val="0"/>
        <w:shd w:val="clear"/>
        <w:kinsoku/>
        <w:wordWrap/>
        <w:overflowPunct/>
        <w:topLinePunct w:val="0"/>
        <w:autoSpaceDE/>
        <w:autoSpaceDN/>
        <w:bidi w:val="0"/>
        <w:adjustRightInd w:val="0"/>
        <w:snapToGrid w:val="0"/>
        <w:spacing w:line="556" w:lineRule="exact"/>
        <w:textAlignment w:val="auto"/>
        <w:rPr>
          <w:rFonts w:hint="eastAsia"/>
          <w:color w:val="auto"/>
          <w:sz w:val="32"/>
          <w:szCs w:val="32"/>
          <w:highlight w:val="none"/>
        </w:rPr>
      </w:pPr>
    </w:p>
    <w:p>
      <w:pPr>
        <w:pStyle w:val="31"/>
        <w:pageBreakBefore w:val="0"/>
        <w:widowControl w:val="0"/>
        <w:shd w:val="clear"/>
        <w:kinsoku/>
        <w:wordWrap/>
        <w:overflowPunct/>
        <w:topLinePunct w:val="0"/>
        <w:autoSpaceDE/>
        <w:autoSpaceDN/>
        <w:bidi w:val="0"/>
        <w:adjustRightInd w:val="0"/>
        <w:snapToGrid w:val="0"/>
        <w:spacing w:line="556" w:lineRule="exact"/>
        <w:textAlignment w:val="auto"/>
        <w:rPr>
          <w:color w:val="auto"/>
          <w:sz w:val="32"/>
          <w:szCs w:val="32"/>
          <w:highlight w:val="none"/>
        </w:rPr>
      </w:pPr>
      <w:r>
        <w:rPr>
          <w:rFonts w:hint="eastAsia"/>
          <w:color w:val="auto"/>
          <w:sz w:val="32"/>
          <w:szCs w:val="32"/>
          <w:highlight w:val="none"/>
        </w:rPr>
        <w:t>坚持把解决好“三农”问题作为重中之重，持续巩固拓展脱贫攻坚成果，加快农业农村现代化步伐，强化科技、改革、开放三轮驱动，推动农业全面升级、农村全面进步、农民全面发展，打造海南自由贸易港乡村全面振兴“三亚样板”。</w:t>
      </w:r>
    </w:p>
    <w:p>
      <w:pPr>
        <w:pStyle w:val="4"/>
        <w:pageBreakBefore w:val="0"/>
        <w:widowControl w:val="0"/>
        <w:shd w:val="clear"/>
        <w:kinsoku/>
        <w:wordWrap/>
        <w:overflowPunct/>
        <w:topLinePunct w:val="0"/>
        <w:autoSpaceDE/>
        <w:autoSpaceDN/>
        <w:bidi w:val="0"/>
        <w:adjustRightInd w:val="0"/>
        <w:snapToGrid w:val="0"/>
        <w:spacing w:line="556" w:lineRule="exact"/>
        <w:ind w:left="0" w:leftChars="0" w:firstLine="0" w:firstLineChars="0"/>
        <w:textAlignment w:val="auto"/>
        <w:rPr>
          <w:color w:val="auto"/>
          <w:sz w:val="32"/>
          <w:szCs w:val="32"/>
          <w:highlight w:val="none"/>
        </w:rPr>
      </w:pPr>
      <w:bookmarkStart w:id="543" w:name="_Toc1417957099"/>
      <w:bookmarkStart w:id="544" w:name="_Toc1493100019"/>
      <w:bookmarkStart w:id="545" w:name="_Toc1298564070"/>
      <w:bookmarkStart w:id="546" w:name="_Toc1379646266"/>
      <w:bookmarkStart w:id="547" w:name="_Toc2046302753"/>
      <w:bookmarkStart w:id="548" w:name="_Toc32399"/>
      <w:bookmarkStart w:id="549" w:name="_Toc91568412"/>
      <w:bookmarkStart w:id="550" w:name="_Toc343716706"/>
      <w:bookmarkStart w:id="551" w:name="_Toc430433209"/>
      <w:bookmarkStart w:id="552" w:name="_Toc213447264"/>
    </w:p>
    <w:p>
      <w:pPr>
        <w:pStyle w:val="4"/>
        <w:pageBreakBefore w:val="0"/>
        <w:widowControl w:val="0"/>
        <w:shd w:val="clear"/>
        <w:kinsoku/>
        <w:wordWrap/>
        <w:overflowPunct/>
        <w:topLinePunct w:val="0"/>
        <w:autoSpaceDE/>
        <w:autoSpaceDN/>
        <w:bidi w:val="0"/>
        <w:adjustRightInd w:val="0"/>
        <w:snapToGrid w:val="0"/>
        <w:spacing w:line="556"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第一节  壮大热带特色高效农业</w:t>
      </w:r>
      <w:bookmarkEnd w:id="543"/>
      <w:bookmarkEnd w:id="544"/>
      <w:bookmarkEnd w:id="545"/>
      <w:bookmarkEnd w:id="546"/>
      <w:bookmarkEnd w:id="547"/>
      <w:bookmarkEnd w:id="548"/>
      <w:bookmarkEnd w:id="549"/>
      <w:bookmarkEnd w:id="550"/>
      <w:bookmarkEnd w:id="551"/>
      <w:bookmarkEnd w:id="552"/>
    </w:p>
    <w:p>
      <w:pPr>
        <w:pStyle w:val="31"/>
        <w:pageBreakBefore w:val="0"/>
        <w:widowControl w:val="0"/>
        <w:kinsoku/>
        <w:wordWrap/>
        <w:overflowPunct/>
        <w:topLinePunct w:val="0"/>
        <w:autoSpaceDE/>
        <w:autoSpaceDN/>
        <w:bidi w:val="0"/>
        <w:adjustRightInd w:val="0"/>
        <w:snapToGrid w:val="0"/>
        <w:spacing w:line="556" w:lineRule="exact"/>
        <w:textAlignment w:val="auto"/>
        <w:rPr>
          <w:rFonts w:hint="eastAsia"/>
          <w:color w:val="auto"/>
          <w:sz w:val="32"/>
          <w:szCs w:val="32"/>
          <w:highlight w:val="none"/>
        </w:rPr>
      </w:pPr>
    </w:p>
    <w:p>
      <w:pPr>
        <w:pStyle w:val="31"/>
        <w:pageBreakBefore w:val="0"/>
        <w:widowControl w:val="0"/>
        <w:kinsoku/>
        <w:wordWrap/>
        <w:overflowPunct/>
        <w:topLinePunct w:val="0"/>
        <w:autoSpaceDE/>
        <w:autoSpaceDN/>
        <w:bidi w:val="0"/>
        <w:adjustRightInd w:val="0"/>
        <w:snapToGrid w:val="0"/>
        <w:spacing w:line="556" w:lineRule="exact"/>
        <w:textAlignment w:val="auto"/>
        <w:rPr>
          <w:color w:val="auto"/>
          <w:sz w:val="32"/>
          <w:szCs w:val="32"/>
          <w:highlight w:val="none"/>
        </w:rPr>
      </w:pPr>
      <w:r>
        <w:rPr>
          <w:rFonts w:hint="eastAsia"/>
          <w:b/>
          <w:bCs/>
          <w:color w:val="auto"/>
          <w:sz w:val="32"/>
          <w:szCs w:val="32"/>
          <w:highlight w:val="none"/>
        </w:rPr>
        <w:t>守牢粮食安全</w:t>
      </w:r>
      <w:r>
        <w:rPr>
          <w:rFonts w:hint="eastAsia"/>
          <w:b/>
          <w:bCs/>
          <w:color w:val="auto"/>
          <w:sz w:val="32"/>
          <w:szCs w:val="32"/>
          <w:highlight w:val="none"/>
          <w:lang w:val="en-US" w:eastAsia="zh-CN"/>
        </w:rPr>
        <w:t>底</w:t>
      </w:r>
      <w:r>
        <w:rPr>
          <w:rFonts w:hint="eastAsia"/>
          <w:b/>
          <w:bCs/>
          <w:color w:val="auto"/>
          <w:sz w:val="32"/>
          <w:szCs w:val="32"/>
          <w:highlight w:val="none"/>
        </w:rPr>
        <w:t>线。</w:t>
      </w:r>
      <w:r>
        <w:rPr>
          <w:color w:val="auto"/>
          <w:sz w:val="32"/>
          <w:szCs w:val="32"/>
          <w:highlight w:val="none"/>
        </w:rPr>
        <w:t>积极开展</w:t>
      </w:r>
      <w:r>
        <w:rPr>
          <w:rFonts w:hint="eastAsia" w:ascii="仿宋_GB2312" w:hAnsi="仿宋_GB2312" w:eastAsia="仿宋_GB2312" w:cs="仿宋_GB2312"/>
          <w:color w:val="auto"/>
          <w:sz w:val="32"/>
          <w:szCs w:val="32"/>
          <w:highlight w:val="none"/>
        </w:rPr>
        <w:t>“</w:t>
      </w:r>
      <w:r>
        <w:rPr>
          <w:color w:val="auto"/>
          <w:sz w:val="32"/>
          <w:szCs w:val="32"/>
          <w:highlight w:val="none"/>
        </w:rPr>
        <w:t>稳面提产行动</w:t>
      </w:r>
      <w:r>
        <w:rPr>
          <w:rFonts w:hint="eastAsia" w:ascii="仿宋_GB2312" w:hAnsi="仿宋_GB2312" w:eastAsia="仿宋_GB2312" w:cs="仿宋_GB2312"/>
          <w:color w:val="auto"/>
          <w:sz w:val="32"/>
          <w:szCs w:val="32"/>
          <w:highlight w:val="none"/>
        </w:rPr>
        <w:t>”</w:t>
      </w:r>
      <w:r>
        <w:rPr>
          <w:color w:val="auto"/>
          <w:sz w:val="32"/>
          <w:szCs w:val="32"/>
          <w:highlight w:val="none"/>
        </w:rPr>
        <w:t>，</w:t>
      </w:r>
      <w:r>
        <w:rPr>
          <w:rFonts w:hint="eastAsia"/>
          <w:color w:val="auto"/>
          <w:sz w:val="32"/>
          <w:szCs w:val="32"/>
          <w:highlight w:val="none"/>
        </w:rPr>
        <w:t>增强粮食等重要农产品供给保障能力，</w:t>
      </w:r>
      <w:r>
        <w:rPr>
          <w:color w:val="auto"/>
          <w:sz w:val="32"/>
          <w:szCs w:val="32"/>
          <w:highlight w:val="none"/>
        </w:rPr>
        <w:t>确保粮食</w:t>
      </w:r>
      <w:r>
        <w:rPr>
          <w:rFonts w:hint="eastAsia"/>
          <w:color w:val="auto"/>
          <w:sz w:val="32"/>
          <w:szCs w:val="32"/>
          <w:highlight w:val="none"/>
          <w:lang w:eastAsia="zh-CN"/>
        </w:rPr>
        <w:t>种植</w:t>
      </w:r>
      <w:r>
        <w:rPr>
          <w:color w:val="auto"/>
          <w:sz w:val="32"/>
          <w:szCs w:val="32"/>
          <w:highlight w:val="none"/>
        </w:rPr>
        <w:t>面积稳定在</w:t>
      </w:r>
      <w:r>
        <w:rPr>
          <w:rFonts w:hint="default" w:ascii="Times New Roman" w:hAnsi="Times New Roman" w:cs="Times New Roman"/>
          <w:color w:val="auto"/>
          <w:sz w:val="32"/>
          <w:szCs w:val="32"/>
          <w:highlight w:val="none"/>
        </w:rPr>
        <w:t>10</w:t>
      </w:r>
      <w:r>
        <w:rPr>
          <w:color w:val="auto"/>
          <w:sz w:val="32"/>
          <w:szCs w:val="32"/>
          <w:highlight w:val="none"/>
        </w:rPr>
        <w:t>万亩以上，</w:t>
      </w:r>
      <w:r>
        <w:rPr>
          <w:rFonts w:hint="eastAsia"/>
          <w:color w:val="auto"/>
          <w:sz w:val="32"/>
          <w:szCs w:val="32"/>
          <w:highlight w:val="none"/>
        </w:rPr>
        <w:t>大力推广</w:t>
      </w:r>
      <w:r>
        <w:rPr>
          <w:rFonts w:hint="eastAsia"/>
          <w:color w:val="auto"/>
          <w:sz w:val="32"/>
          <w:szCs w:val="32"/>
          <w:highlight w:val="none"/>
          <w:lang w:eastAsia="zh-CN"/>
        </w:rPr>
        <w:t>“</w:t>
      </w:r>
      <w:r>
        <w:rPr>
          <w:color w:val="auto"/>
          <w:sz w:val="32"/>
          <w:szCs w:val="32"/>
          <w:highlight w:val="none"/>
        </w:rPr>
        <w:t>稻菜轮作</w:t>
      </w:r>
      <w:r>
        <w:rPr>
          <w:rFonts w:hint="eastAsia"/>
          <w:color w:val="auto"/>
          <w:sz w:val="32"/>
          <w:szCs w:val="32"/>
          <w:highlight w:val="none"/>
          <w:lang w:eastAsia="zh-CN"/>
        </w:rPr>
        <w:t>”等</w:t>
      </w:r>
      <w:r>
        <w:rPr>
          <w:color w:val="auto"/>
          <w:sz w:val="32"/>
          <w:szCs w:val="32"/>
          <w:highlight w:val="none"/>
        </w:rPr>
        <w:t>模式助力钱粮双丰收</w:t>
      </w:r>
      <w:r>
        <w:rPr>
          <w:rFonts w:hint="eastAsia"/>
          <w:color w:val="auto"/>
          <w:sz w:val="32"/>
          <w:szCs w:val="32"/>
          <w:highlight w:val="none"/>
        </w:rPr>
        <w:t>。落实最严格的耕地保护制度，</w:t>
      </w:r>
      <w:r>
        <w:rPr>
          <w:rFonts w:hint="eastAsia"/>
          <w:color w:val="auto"/>
          <w:sz w:val="32"/>
          <w:szCs w:val="32"/>
          <w:highlight w:val="none"/>
          <w:lang w:eastAsia="zh-CN"/>
        </w:rPr>
        <w:t>坚决</w:t>
      </w:r>
      <w:r>
        <w:rPr>
          <w:rFonts w:hint="eastAsia"/>
          <w:color w:val="auto"/>
          <w:sz w:val="32"/>
          <w:szCs w:val="32"/>
          <w:highlight w:val="none"/>
        </w:rPr>
        <w:t>遏制耕地</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非农化</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，防止永久基本农田</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非粮化</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，系统推进耕地保护与综合治理，实施耕地数量守护、耕地质量提升和耕地生态修复三大行动，确保</w:t>
      </w:r>
      <w:r>
        <w:rPr>
          <w:color w:val="auto"/>
          <w:sz w:val="32"/>
          <w:szCs w:val="32"/>
          <w:highlight w:val="none"/>
        </w:rPr>
        <w:t>耕地保有量稳定在</w:t>
      </w:r>
      <w:r>
        <w:rPr>
          <w:rFonts w:hint="default" w:ascii="Times New Roman" w:hAnsi="Times New Roman" w:cs="Times New Roman"/>
          <w:color w:val="auto"/>
          <w:sz w:val="32"/>
          <w:szCs w:val="32"/>
          <w:highlight w:val="none"/>
        </w:rPr>
        <w:t>22</w:t>
      </w:r>
      <w:r>
        <w:rPr>
          <w:rFonts w:hint="eastAsia"/>
          <w:color w:val="auto"/>
          <w:sz w:val="32"/>
          <w:szCs w:val="32"/>
          <w:highlight w:val="none"/>
        </w:rPr>
        <w:t>.</w:t>
      </w:r>
      <w:r>
        <w:rPr>
          <w:rFonts w:hint="default" w:ascii="Times New Roman" w:hAnsi="Times New Roman" w:cs="Times New Roman"/>
          <w:color w:val="auto"/>
          <w:sz w:val="32"/>
          <w:szCs w:val="32"/>
          <w:highlight w:val="none"/>
        </w:rPr>
        <w:t>98</w:t>
      </w:r>
      <w:r>
        <w:rPr>
          <w:color w:val="auto"/>
          <w:sz w:val="32"/>
          <w:szCs w:val="32"/>
          <w:highlight w:val="none"/>
        </w:rPr>
        <w:t>万亩</w:t>
      </w:r>
      <w:r>
        <w:rPr>
          <w:rFonts w:hint="eastAsia"/>
          <w:color w:val="auto"/>
          <w:sz w:val="32"/>
          <w:szCs w:val="32"/>
          <w:highlight w:val="none"/>
        </w:rPr>
        <w:t>。</w:t>
      </w:r>
      <w:r>
        <w:rPr>
          <w:color w:val="auto"/>
          <w:sz w:val="32"/>
          <w:szCs w:val="32"/>
          <w:highlight w:val="none"/>
        </w:rPr>
        <w:t>落实田长责任制，</w:t>
      </w:r>
      <w:r>
        <w:rPr>
          <w:rFonts w:hint="eastAsia"/>
          <w:color w:val="auto"/>
          <w:sz w:val="32"/>
          <w:szCs w:val="32"/>
          <w:highlight w:val="none"/>
        </w:rPr>
        <w:t>加强撂荒耕地整治</w:t>
      </w:r>
      <w:r>
        <w:rPr>
          <w:rFonts w:hint="eastAsia"/>
          <w:color w:val="auto"/>
          <w:sz w:val="32"/>
          <w:szCs w:val="32"/>
          <w:highlight w:val="none"/>
          <w:lang w:eastAsia="zh-CN"/>
        </w:rPr>
        <w:t>。</w:t>
      </w:r>
      <w:r>
        <w:rPr>
          <w:rFonts w:hint="eastAsia"/>
          <w:color w:val="auto"/>
          <w:sz w:val="32"/>
          <w:szCs w:val="32"/>
          <w:highlight w:val="none"/>
        </w:rPr>
        <w:t>持续推进高标准农田建设，从</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田、土、水、路、林、电、技、管</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lang w:val="en-US" w:eastAsia="zh-CN"/>
        </w:rPr>
        <w:t>等</w:t>
      </w:r>
      <w:r>
        <w:rPr>
          <w:rFonts w:hint="eastAsia"/>
          <w:color w:val="auto"/>
          <w:sz w:val="32"/>
          <w:szCs w:val="32"/>
          <w:highlight w:val="none"/>
        </w:rPr>
        <w:t>方面补齐短板，促进良田良种良机良法集成增效，提高水稻生产效率、产品质量和经济效益</w:t>
      </w:r>
      <w:r>
        <w:rPr>
          <w:rFonts w:hint="eastAsia"/>
          <w:color w:val="auto"/>
          <w:sz w:val="32"/>
          <w:szCs w:val="32"/>
          <w:highlight w:val="none"/>
          <w:lang w:eastAsia="zh-CN"/>
        </w:rPr>
        <w:t>，</w:t>
      </w:r>
      <w:r>
        <w:rPr>
          <w:rFonts w:hint="eastAsia"/>
          <w:color w:val="auto"/>
          <w:sz w:val="32"/>
          <w:szCs w:val="32"/>
          <w:highlight w:val="none"/>
        </w:rPr>
        <w:t>到</w:t>
      </w:r>
      <w:r>
        <w:rPr>
          <w:rFonts w:hint="default" w:ascii="Times New Roman" w:hAnsi="Times New Roman" w:cs="Times New Roman"/>
          <w:color w:val="auto"/>
          <w:sz w:val="32"/>
          <w:szCs w:val="32"/>
          <w:highlight w:val="none"/>
        </w:rPr>
        <w:t>2030</w:t>
      </w:r>
      <w:r>
        <w:rPr>
          <w:rFonts w:hint="eastAsia"/>
          <w:color w:val="auto"/>
          <w:sz w:val="32"/>
          <w:szCs w:val="32"/>
          <w:highlight w:val="none"/>
        </w:rPr>
        <w:t>年</w:t>
      </w:r>
      <w:r>
        <w:rPr>
          <w:rFonts w:hint="eastAsia"/>
          <w:color w:val="auto"/>
          <w:sz w:val="32"/>
          <w:szCs w:val="32"/>
          <w:highlight w:val="none"/>
          <w:lang w:eastAsia="zh-CN"/>
        </w:rPr>
        <w:t>新建</w:t>
      </w:r>
      <w:r>
        <w:rPr>
          <w:rFonts w:hint="eastAsia"/>
          <w:color w:val="auto"/>
          <w:sz w:val="32"/>
          <w:szCs w:val="32"/>
          <w:highlight w:val="none"/>
        </w:rPr>
        <w:t>高标准农田</w:t>
      </w:r>
      <w:r>
        <w:rPr>
          <w:rFonts w:hint="default" w:ascii="Times New Roman" w:hAnsi="Times New Roman" w:cs="Times New Roman"/>
          <w:color w:val="auto"/>
          <w:sz w:val="32"/>
          <w:szCs w:val="32"/>
          <w:highlight w:val="none"/>
          <w:lang w:val="en-US" w:eastAsia="zh-CN"/>
        </w:rPr>
        <w:t>1</w:t>
      </w:r>
      <w:r>
        <w:rPr>
          <w:rFonts w:hint="eastAsia"/>
          <w:color w:val="auto"/>
          <w:sz w:val="32"/>
          <w:szCs w:val="32"/>
          <w:highlight w:val="none"/>
        </w:rPr>
        <w:t>万亩。</w:t>
      </w:r>
    </w:p>
    <w:p>
      <w:pPr>
        <w:pStyle w:val="31"/>
        <w:pageBreakBefore w:val="0"/>
        <w:widowControl w:val="0"/>
        <w:kinsoku/>
        <w:wordWrap/>
        <w:overflowPunct/>
        <w:topLinePunct w:val="0"/>
        <w:autoSpaceDE/>
        <w:autoSpaceDN/>
        <w:bidi w:val="0"/>
        <w:adjustRightInd w:val="0"/>
        <w:snapToGrid w:val="0"/>
        <w:spacing w:line="556" w:lineRule="exact"/>
        <w:textAlignment w:val="auto"/>
        <w:rPr>
          <w:color w:val="auto"/>
          <w:sz w:val="32"/>
          <w:szCs w:val="32"/>
          <w:highlight w:val="none"/>
        </w:rPr>
      </w:pPr>
      <w:r>
        <w:rPr>
          <w:rFonts w:hint="eastAsia"/>
          <w:b/>
          <w:bCs/>
          <w:color w:val="auto"/>
          <w:sz w:val="32"/>
          <w:szCs w:val="32"/>
          <w:highlight w:val="none"/>
        </w:rPr>
        <w:t>大力发展</w:t>
      </w:r>
      <w:r>
        <w:rPr>
          <w:rFonts w:hint="eastAsia"/>
          <w:b/>
          <w:bCs/>
          <w:color w:val="auto"/>
          <w:sz w:val="32"/>
          <w:szCs w:val="32"/>
          <w:highlight w:val="none"/>
          <w:lang w:eastAsia="zh-CN"/>
        </w:rPr>
        <w:t>热带</w:t>
      </w:r>
      <w:r>
        <w:rPr>
          <w:rFonts w:hint="eastAsia"/>
          <w:b/>
          <w:bCs/>
          <w:color w:val="auto"/>
          <w:sz w:val="32"/>
          <w:szCs w:val="32"/>
          <w:highlight w:val="none"/>
        </w:rPr>
        <w:t>优</w:t>
      </w:r>
      <w:r>
        <w:rPr>
          <w:rFonts w:hint="eastAsia"/>
          <w:b/>
          <w:bCs/>
          <w:color w:val="auto"/>
          <w:sz w:val="32"/>
          <w:szCs w:val="32"/>
          <w:highlight w:val="none"/>
          <w:lang w:eastAsia="zh-CN"/>
        </w:rPr>
        <w:t>异</w:t>
      </w:r>
      <w:r>
        <w:rPr>
          <w:rFonts w:hint="eastAsia"/>
          <w:b/>
          <w:bCs/>
          <w:color w:val="auto"/>
          <w:sz w:val="32"/>
          <w:szCs w:val="32"/>
          <w:highlight w:val="none"/>
        </w:rPr>
        <w:t>果蔬产业。</w:t>
      </w:r>
      <w:r>
        <w:rPr>
          <w:rFonts w:hint="eastAsia"/>
          <w:color w:val="auto"/>
          <w:sz w:val="32"/>
          <w:szCs w:val="32"/>
          <w:highlight w:val="none"/>
        </w:rPr>
        <w:t>推动香蕉、芒果、菠萝等传统水果的迭代更新，引进适应市场需求、品质优良的新品种。合理调减芒果等传统产业种植规模，推广</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树上熟</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采摘制度与绿色防控技术，促进芒果种植向</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rPr>
        <w:t>新奇特优</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rPr>
        <w:t>热带水果产业转型。大力引进同纬度热带水果新品，形成</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首种优势</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。加快紫色释迦、榴莲、</w:t>
      </w:r>
      <w:r>
        <w:rPr>
          <w:rFonts w:hint="eastAsia"/>
          <w:color w:val="auto"/>
          <w:sz w:val="32"/>
          <w:szCs w:val="32"/>
          <w:highlight w:val="none"/>
          <w:lang w:eastAsia="zh-CN"/>
        </w:rPr>
        <w:t>水果</w:t>
      </w:r>
      <w:r>
        <w:rPr>
          <w:rFonts w:hint="eastAsia"/>
          <w:color w:val="auto"/>
          <w:sz w:val="32"/>
          <w:szCs w:val="32"/>
          <w:highlight w:val="none"/>
        </w:rPr>
        <w:t>玉米、水果木瓜、黄晶果等新品种推广。发展林下经济和热带花卉苗木等特色产业</w:t>
      </w:r>
      <w:r>
        <w:rPr>
          <w:rFonts w:hint="eastAsia"/>
          <w:color w:val="auto"/>
          <w:sz w:val="32"/>
          <w:szCs w:val="32"/>
          <w:highlight w:val="none"/>
          <w:lang w:eastAsia="zh-CN"/>
        </w:rPr>
        <w:t>。</w:t>
      </w:r>
      <w:r>
        <w:rPr>
          <w:rFonts w:hint="eastAsia"/>
          <w:color w:val="auto"/>
          <w:sz w:val="32"/>
          <w:szCs w:val="32"/>
          <w:highlight w:val="none"/>
        </w:rPr>
        <w:t>开展优质农产品质量提升行动，加大热带</w:t>
      </w:r>
      <w:r>
        <w:rPr>
          <w:rFonts w:hint="eastAsia"/>
          <w:color w:val="auto"/>
          <w:sz w:val="32"/>
          <w:szCs w:val="32"/>
          <w:highlight w:val="none"/>
          <w:lang w:eastAsia="zh-CN"/>
        </w:rPr>
        <w:t>优异</w:t>
      </w:r>
      <w:r>
        <w:rPr>
          <w:rFonts w:hint="eastAsia"/>
          <w:color w:val="auto"/>
          <w:sz w:val="32"/>
          <w:szCs w:val="32"/>
          <w:highlight w:val="none"/>
        </w:rPr>
        <w:t>果蔬品牌扶持。做特做精冬季瓜菜产业，加强冬季瓜菜和常年蔬菜标准化生产基地建设，稳定瓜菜种植面积和产量。</w:t>
      </w:r>
      <w:r>
        <w:rPr>
          <w:color w:val="auto"/>
          <w:sz w:val="32"/>
          <w:szCs w:val="32"/>
          <w:highlight w:val="none"/>
        </w:rPr>
        <w:t>到</w:t>
      </w:r>
      <w:r>
        <w:rPr>
          <w:rFonts w:hint="default" w:ascii="Times New Roman" w:hAnsi="Times New Roman" w:cs="Times New Roman"/>
          <w:color w:val="auto"/>
          <w:sz w:val="32"/>
          <w:szCs w:val="32"/>
          <w:highlight w:val="none"/>
        </w:rPr>
        <w:t>2030</w:t>
      </w:r>
      <w:r>
        <w:rPr>
          <w:color w:val="auto"/>
          <w:sz w:val="32"/>
          <w:szCs w:val="32"/>
          <w:highlight w:val="none"/>
        </w:rPr>
        <w:t>年，力争热带优异果蔬种植面积累计达</w:t>
      </w:r>
      <w:r>
        <w:rPr>
          <w:rFonts w:hint="default" w:ascii="Times New Roman" w:hAnsi="Times New Roman" w:cs="Times New Roman"/>
          <w:color w:val="auto"/>
          <w:sz w:val="32"/>
          <w:szCs w:val="32"/>
          <w:highlight w:val="none"/>
        </w:rPr>
        <w:t>10</w:t>
      </w:r>
      <w:r>
        <w:rPr>
          <w:color w:val="auto"/>
          <w:sz w:val="32"/>
          <w:szCs w:val="32"/>
          <w:highlight w:val="none"/>
        </w:rPr>
        <w:t>万亩</w:t>
      </w:r>
      <w:r>
        <w:rPr>
          <w:rFonts w:hint="eastAsia"/>
          <w:color w:val="auto"/>
          <w:sz w:val="32"/>
          <w:szCs w:val="32"/>
          <w:highlight w:val="none"/>
        </w:rPr>
        <w:t>，打造</w:t>
      </w:r>
      <w:r>
        <w:rPr>
          <w:color w:val="auto"/>
          <w:sz w:val="32"/>
          <w:szCs w:val="32"/>
          <w:highlight w:val="none"/>
        </w:rPr>
        <w:t>千亩以上集中连片的</w:t>
      </w:r>
      <w:r>
        <w:rPr>
          <w:rFonts w:hint="eastAsia" w:ascii="仿宋_GB2312" w:hAnsi="仿宋_GB2312" w:eastAsia="仿宋_GB2312" w:cs="仿宋_GB2312"/>
          <w:color w:val="auto"/>
          <w:sz w:val="32"/>
          <w:szCs w:val="32"/>
          <w:highlight w:val="none"/>
          <w:lang w:eastAsia="zh-CN"/>
        </w:rPr>
        <w:t>“</w:t>
      </w:r>
      <w:r>
        <w:rPr>
          <w:color w:val="auto"/>
          <w:sz w:val="32"/>
          <w:szCs w:val="32"/>
          <w:highlight w:val="none"/>
        </w:rPr>
        <w:t>新奇特优</w:t>
      </w:r>
      <w:r>
        <w:rPr>
          <w:rFonts w:hint="eastAsia" w:ascii="仿宋_GB2312" w:hAnsi="仿宋_GB2312" w:eastAsia="仿宋_GB2312" w:cs="仿宋_GB2312"/>
          <w:color w:val="auto"/>
          <w:sz w:val="32"/>
          <w:szCs w:val="32"/>
          <w:highlight w:val="none"/>
          <w:lang w:eastAsia="zh-CN"/>
        </w:rPr>
        <w:t>”</w:t>
      </w:r>
      <w:r>
        <w:rPr>
          <w:color w:val="auto"/>
          <w:sz w:val="32"/>
          <w:szCs w:val="32"/>
          <w:highlight w:val="none"/>
        </w:rPr>
        <w:t>热带水果基地</w:t>
      </w:r>
      <w:r>
        <w:rPr>
          <w:rFonts w:hint="eastAsia"/>
          <w:color w:val="auto"/>
          <w:sz w:val="32"/>
          <w:szCs w:val="32"/>
          <w:highlight w:val="none"/>
        </w:rPr>
        <w:t>，冬季瓜菜种植面积稳定在</w:t>
      </w:r>
      <w:r>
        <w:rPr>
          <w:rFonts w:hint="default" w:ascii="Times New Roman" w:hAnsi="Times New Roman" w:cs="Times New Roman"/>
          <w:color w:val="auto"/>
          <w:sz w:val="32"/>
          <w:szCs w:val="32"/>
          <w:highlight w:val="none"/>
        </w:rPr>
        <w:t>16</w:t>
      </w:r>
      <w:r>
        <w:rPr>
          <w:rFonts w:hint="eastAsia"/>
          <w:color w:val="auto"/>
          <w:sz w:val="32"/>
          <w:szCs w:val="32"/>
          <w:highlight w:val="none"/>
        </w:rPr>
        <w:t>万亩，常年蔬菜基地保持在</w:t>
      </w:r>
      <w:r>
        <w:rPr>
          <w:rFonts w:hint="default" w:ascii="Times New Roman" w:hAnsi="Times New Roman" w:cs="Times New Roman"/>
          <w:color w:val="auto"/>
          <w:sz w:val="32"/>
          <w:szCs w:val="32"/>
          <w:highlight w:val="none"/>
          <w:lang w:val="en"/>
        </w:rPr>
        <w:t>1</w:t>
      </w:r>
      <w:r>
        <w:rPr>
          <w:color w:val="auto"/>
          <w:sz w:val="32"/>
          <w:szCs w:val="32"/>
          <w:highlight w:val="none"/>
          <w:lang w:val="en"/>
        </w:rPr>
        <w:t>.</w:t>
      </w:r>
      <w:r>
        <w:rPr>
          <w:rFonts w:hint="default" w:ascii="Times New Roman" w:hAnsi="Times New Roman" w:cs="Times New Roman"/>
          <w:color w:val="auto"/>
          <w:sz w:val="32"/>
          <w:szCs w:val="32"/>
          <w:highlight w:val="none"/>
          <w:lang w:val="en"/>
        </w:rPr>
        <w:t>6</w:t>
      </w:r>
      <w:r>
        <w:rPr>
          <w:rFonts w:hint="eastAsia"/>
          <w:color w:val="auto"/>
          <w:sz w:val="32"/>
          <w:szCs w:val="32"/>
          <w:highlight w:val="none"/>
          <w:lang w:val="en"/>
        </w:rPr>
        <w:t>万亩</w:t>
      </w:r>
      <w:r>
        <w:rPr>
          <w:rFonts w:hint="eastAsia"/>
          <w:color w:val="auto"/>
          <w:sz w:val="32"/>
          <w:szCs w:val="32"/>
          <w:highlight w:val="none"/>
          <w:lang w:val="en" w:eastAsia="zh-CN"/>
        </w:rPr>
        <w:t>，农产品质量安全例行监测合格率稳定在</w:t>
      </w:r>
      <w:r>
        <w:rPr>
          <w:rFonts w:hint="default" w:ascii="Times New Roman" w:hAnsi="Times New Roman" w:cs="Times New Roman"/>
          <w:color w:val="auto"/>
          <w:sz w:val="32"/>
          <w:szCs w:val="32"/>
          <w:highlight w:val="none"/>
          <w:lang w:val="en-US" w:eastAsia="zh-CN"/>
        </w:rPr>
        <w:t>98</w:t>
      </w:r>
      <w:r>
        <w:rPr>
          <w:rFonts w:hint="eastAsia" w:cs="Times New Roman"/>
          <w:color w:val="auto"/>
          <w:sz w:val="32"/>
          <w:szCs w:val="32"/>
          <w:highlight w:val="none"/>
          <w:lang w:val="en-US" w:eastAsia="zh-CN"/>
        </w:rPr>
        <w:t>.3</w:t>
      </w:r>
      <w:r>
        <w:rPr>
          <w:rFonts w:hint="eastAsia"/>
          <w:color w:val="auto"/>
          <w:sz w:val="32"/>
          <w:szCs w:val="32"/>
          <w:highlight w:val="none"/>
          <w:lang w:val="en-US" w:eastAsia="zh-CN"/>
        </w:rPr>
        <w:t>%以上</w:t>
      </w:r>
      <w:r>
        <w:rPr>
          <w:rFonts w:hint="eastAsia"/>
          <w:color w:val="auto"/>
          <w:sz w:val="32"/>
          <w:szCs w:val="32"/>
          <w:highlight w:val="none"/>
          <w:lang w:val="en"/>
        </w:rPr>
        <w:t>。</w:t>
      </w:r>
    </w:p>
    <w:p>
      <w:pPr>
        <w:pStyle w:val="31"/>
        <w:pageBreakBefore w:val="0"/>
        <w:widowControl w:val="0"/>
        <w:kinsoku/>
        <w:wordWrap/>
        <w:overflowPunct/>
        <w:topLinePunct w:val="0"/>
        <w:autoSpaceDE/>
        <w:autoSpaceDN/>
        <w:bidi w:val="0"/>
        <w:adjustRightInd w:val="0"/>
        <w:snapToGrid w:val="0"/>
        <w:spacing w:line="556" w:lineRule="exact"/>
        <w:textAlignment w:val="auto"/>
        <w:rPr>
          <w:rFonts w:hint="eastAsia"/>
          <w:color w:val="auto"/>
          <w:sz w:val="32"/>
          <w:szCs w:val="32"/>
          <w:highlight w:val="none"/>
        </w:rPr>
      </w:pPr>
      <w:r>
        <w:rPr>
          <w:rFonts w:hint="eastAsia"/>
          <w:b/>
          <w:bCs/>
          <w:color w:val="auto"/>
          <w:sz w:val="32"/>
          <w:szCs w:val="32"/>
          <w:highlight w:val="none"/>
        </w:rPr>
        <w:t>稳定发展现代生态畜牧业。</w:t>
      </w:r>
      <w:r>
        <w:rPr>
          <w:rFonts w:hint="eastAsia"/>
          <w:color w:val="auto"/>
          <w:sz w:val="32"/>
          <w:szCs w:val="32"/>
          <w:highlight w:val="none"/>
        </w:rPr>
        <w:t>构建标准化、规模化、生态化畜禽养殖体系，重点培育生猪、热带特色家禽等优势养殖产业，稳定生猪产能调控</w:t>
      </w:r>
      <w:r>
        <w:rPr>
          <w:rFonts w:hint="eastAsia"/>
          <w:color w:val="auto"/>
          <w:sz w:val="32"/>
          <w:szCs w:val="32"/>
          <w:highlight w:val="none"/>
          <w:lang w:eastAsia="zh-CN"/>
        </w:rPr>
        <w:t>。</w:t>
      </w:r>
      <w:r>
        <w:rPr>
          <w:rFonts w:hint="eastAsia"/>
          <w:color w:val="auto"/>
          <w:sz w:val="32"/>
          <w:szCs w:val="32"/>
          <w:highlight w:val="none"/>
        </w:rPr>
        <w:t>推动畜牧业生态化、设施化转型升级。推广楼房养猪、林下养禽等生态循环养殖模式，实现畜禽养殖废弃物资源化利用。培育适宜三亚热带气候的优质畜禽品种，提升本土畜禽品种品质与产能，打造区域特色畜禽产品品牌</w:t>
      </w:r>
      <w:r>
        <w:rPr>
          <w:rFonts w:hint="eastAsia"/>
          <w:color w:val="auto"/>
          <w:sz w:val="32"/>
          <w:szCs w:val="32"/>
          <w:highlight w:val="none"/>
          <w:lang w:eastAsia="zh-CN"/>
        </w:rPr>
        <w:t>。</w:t>
      </w:r>
      <w:r>
        <w:rPr>
          <w:rFonts w:hint="eastAsia"/>
          <w:color w:val="auto"/>
          <w:sz w:val="32"/>
          <w:szCs w:val="32"/>
          <w:highlight w:val="none"/>
        </w:rPr>
        <w:t>推动畜牧产业与休闲农业、乡村旅游融合发展。建设三亚市动物隔离交易中心，强化国家动物疫情测报站监测预警能力，完善检疫监督、应急处置、人才队伍</w:t>
      </w:r>
      <w:r>
        <w:rPr>
          <w:rFonts w:hint="eastAsia"/>
          <w:color w:val="auto"/>
          <w:sz w:val="32"/>
          <w:szCs w:val="32"/>
          <w:highlight w:val="none"/>
          <w:lang w:eastAsia="zh-CN"/>
        </w:rPr>
        <w:t>等方面建设</w:t>
      </w:r>
      <w:r>
        <w:rPr>
          <w:rFonts w:hint="eastAsia"/>
          <w:color w:val="auto"/>
          <w:sz w:val="32"/>
          <w:szCs w:val="32"/>
          <w:highlight w:val="none"/>
        </w:rPr>
        <w:t>。</w:t>
      </w:r>
    </w:p>
    <w:p>
      <w:pPr>
        <w:pStyle w:val="31"/>
        <w:pageBreakBefore w:val="0"/>
        <w:widowControl w:val="0"/>
        <w:kinsoku/>
        <w:wordWrap/>
        <w:overflowPunct/>
        <w:topLinePunct w:val="0"/>
        <w:autoSpaceDE/>
        <w:autoSpaceDN/>
        <w:bidi w:val="0"/>
        <w:adjustRightInd w:val="0"/>
        <w:snapToGrid w:val="0"/>
        <w:spacing w:line="556" w:lineRule="exact"/>
        <w:textAlignment w:val="auto"/>
        <w:rPr>
          <w:color w:val="auto"/>
          <w:sz w:val="32"/>
          <w:szCs w:val="32"/>
          <w:highlight w:val="none"/>
        </w:rPr>
      </w:pPr>
      <w:r>
        <w:rPr>
          <w:b/>
          <w:bCs/>
          <w:color w:val="auto"/>
          <w:sz w:val="32"/>
          <w:szCs w:val="32"/>
          <w:highlight w:val="none"/>
        </w:rPr>
        <w:t>加快发展现代渔业。</w:t>
      </w:r>
      <w:r>
        <w:rPr>
          <w:color w:val="auto"/>
          <w:sz w:val="32"/>
          <w:szCs w:val="32"/>
          <w:highlight w:val="none"/>
        </w:rPr>
        <w:t>重点发展水产品精深加工产业，完善初加工及冷藏保鲜设施，建设深海渔业精深加工生产基地。加快海水鱼种苗与鱼卵孵化基地建设，主攻高价值品种培育，</w:t>
      </w:r>
      <w:r>
        <w:rPr>
          <w:rFonts w:hint="eastAsia"/>
          <w:color w:val="auto"/>
          <w:sz w:val="32"/>
          <w:szCs w:val="32"/>
          <w:highlight w:val="none"/>
          <w:lang w:eastAsia="zh-CN"/>
        </w:rPr>
        <w:t>强化</w:t>
      </w:r>
      <w:r>
        <w:rPr>
          <w:color w:val="auto"/>
          <w:sz w:val="32"/>
          <w:szCs w:val="32"/>
          <w:highlight w:val="none"/>
        </w:rPr>
        <w:t>水产苗种繁育。</w:t>
      </w:r>
      <w:r>
        <w:rPr>
          <w:rFonts w:hint="eastAsia"/>
          <w:color w:val="auto"/>
          <w:sz w:val="32"/>
          <w:szCs w:val="32"/>
          <w:highlight w:val="none"/>
        </w:rPr>
        <w:t>发展多营养层次综合海洋养殖业，</w:t>
      </w:r>
      <w:r>
        <w:rPr>
          <w:rFonts w:hint="eastAsia"/>
          <w:color w:val="auto"/>
          <w:sz w:val="32"/>
          <w:szCs w:val="32"/>
          <w:highlight w:val="none"/>
          <w:lang w:eastAsia="zh-CN"/>
        </w:rPr>
        <w:t>建设现代化海洋牧场和渔港经济区，</w:t>
      </w:r>
      <w:r>
        <w:rPr>
          <w:color w:val="auto"/>
          <w:sz w:val="32"/>
          <w:szCs w:val="32"/>
          <w:highlight w:val="none"/>
        </w:rPr>
        <w:t>整合重力式、桁架式网箱等先进装备，实现养殖产能与海洋生态协同发展。深化</w:t>
      </w:r>
      <w:r>
        <w:rPr>
          <w:rFonts w:hint="eastAsia" w:ascii="仿宋_GB2312" w:hAnsi="仿宋_GB2312" w:eastAsia="仿宋_GB2312" w:cs="仿宋_GB2312"/>
          <w:color w:val="auto"/>
          <w:sz w:val="32"/>
          <w:szCs w:val="32"/>
          <w:highlight w:val="none"/>
        </w:rPr>
        <w:t>“</w:t>
      </w:r>
      <w:r>
        <w:rPr>
          <w:color w:val="auto"/>
          <w:sz w:val="32"/>
          <w:szCs w:val="32"/>
          <w:highlight w:val="none"/>
        </w:rPr>
        <w:t>旅游</w:t>
      </w:r>
      <w:r>
        <w:rPr>
          <w:rFonts w:hint="eastAsia" w:ascii="仿宋_GB2312" w:hAnsi="仿宋_GB2312" w:eastAsia="仿宋_GB2312" w:cs="仿宋_GB2312"/>
          <w:color w:val="auto"/>
          <w:sz w:val="32"/>
          <w:szCs w:val="32"/>
          <w:highlight w:val="none"/>
          <w:lang w:val="en-US" w:eastAsia="zh-CN"/>
        </w:rPr>
        <w:t>+</w:t>
      </w:r>
      <w:r>
        <w:rPr>
          <w:color w:val="auto"/>
          <w:sz w:val="32"/>
          <w:szCs w:val="32"/>
          <w:highlight w:val="none"/>
        </w:rPr>
        <w:t>渔业</w:t>
      </w:r>
      <w:r>
        <w:rPr>
          <w:rFonts w:hint="eastAsia" w:ascii="仿宋_GB2312" w:hAnsi="仿宋_GB2312" w:eastAsia="仿宋_GB2312" w:cs="仿宋_GB2312"/>
          <w:color w:val="auto"/>
          <w:sz w:val="32"/>
          <w:szCs w:val="32"/>
          <w:highlight w:val="none"/>
        </w:rPr>
        <w:t>”</w:t>
      </w:r>
      <w:r>
        <w:rPr>
          <w:color w:val="auto"/>
          <w:sz w:val="32"/>
          <w:szCs w:val="32"/>
          <w:highlight w:val="none"/>
        </w:rPr>
        <w:t>融合发展</w:t>
      </w:r>
      <w:r>
        <w:rPr>
          <w:rFonts w:hint="eastAsia"/>
          <w:color w:val="auto"/>
          <w:sz w:val="32"/>
          <w:szCs w:val="32"/>
          <w:highlight w:val="none"/>
          <w:lang w:eastAsia="zh-CN"/>
        </w:rPr>
        <w:t>，</w:t>
      </w:r>
      <w:r>
        <w:rPr>
          <w:color w:val="auto"/>
          <w:sz w:val="32"/>
          <w:szCs w:val="32"/>
          <w:highlight w:val="none"/>
        </w:rPr>
        <w:t>加</w:t>
      </w:r>
      <w:r>
        <w:rPr>
          <w:color w:val="auto"/>
          <w:spacing w:val="-6"/>
          <w:sz w:val="32"/>
          <w:szCs w:val="32"/>
          <w:highlight w:val="none"/>
        </w:rPr>
        <w:t>快休闲渔船建造，开发出海观光、海上垂钓等多元业态，设计</w:t>
      </w:r>
      <w:r>
        <w:rPr>
          <w:color w:val="auto"/>
          <w:sz w:val="32"/>
          <w:szCs w:val="32"/>
          <w:highlight w:val="none"/>
        </w:rPr>
        <w:t>休闲渔业精品旅游路线，促进渔旅深度融合。升级</w:t>
      </w:r>
      <w:r>
        <w:rPr>
          <w:rFonts w:hint="eastAsia"/>
          <w:color w:val="auto"/>
          <w:sz w:val="32"/>
          <w:szCs w:val="32"/>
          <w:highlight w:val="none"/>
          <w:lang w:eastAsia="zh-CN"/>
        </w:rPr>
        <w:t>三亚</w:t>
      </w:r>
      <w:r>
        <w:rPr>
          <w:color w:val="auto"/>
          <w:sz w:val="32"/>
          <w:szCs w:val="32"/>
          <w:highlight w:val="none"/>
        </w:rPr>
        <w:t>崖州中心渔港功能，推进角头湾渔港建设，完善智慧监管平台与综合服务体系。</w:t>
      </w:r>
    </w:p>
    <w:p>
      <w:pPr>
        <w:pStyle w:val="31"/>
        <w:keepNext w:val="0"/>
        <w:keepLines w:val="0"/>
        <w:pageBreakBefore w:val="0"/>
        <w:widowControl w:val="0"/>
        <w:kinsoku/>
        <w:wordWrap/>
        <w:overflowPunct/>
        <w:topLinePunct w:val="0"/>
        <w:autoSpaceDE/>
        <w:autoSpaceDN/>
        <w:bidi w:val="0"/>
        <w:adjustRightInd w:val="0"/>
        <w:snapToGrid w:val="0"/>
        <w:spacing w:line="556" w:lineRule="exact"/>
        <w:textAlignment w:val="auto"/>
        <w:rPr>
          <w:color w:val="auto"/>
          <w:sz w:val="32"/>
          <w:szCs w:val="32"/>
          <w:highlight w:val="none"/>
          <w:lang w:bidi="ar"/>
        </w:rPr>
      </w:pPr>
      <w:r>
        <w:rPr>
          <w:rFonts w:hint="eastAsia"/>
          <w:b/>
          <w:bCs/>
          <w:color w:val="auto"/>
          <w:sz w:val="32"/>
          <w:szCs w:val="32"/>
          <w:highlight w:val="none"/>
        </w:rPr>
        <w:t>延伸拓展农业产业链</w:t>
      </w:r>
      <w:r>
        <w:rPr>
          <w:b/>
          <w:bCs/>
          <w:color w:val="auto"/>
          <w:sz w:val="32"/>
          <w:szCs w:val="32"/>
          <w:highlight w:val="none"/>
        </w:rPr>
        <w:t>。</w:t>
      </w:r>
      <w:r>
        <w:rPr>
          <w:rFonts w:hint="eastAsia"/>
          <w:color w:val="auto"/>
          <w:sz w:val="32"/>
          <w:szCs w:val="32"/>
          <w:highlight w:val="none"/>
        </w:rPr>
        <w:t>深化农业</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接二连三</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行动，打造</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生产</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科研</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加工</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一体化产业生态，推动全产业链升级。聚焦农产品加工优势品类，实施产业链精准招商</w:t>
      </w:r>
      <w:r>
        <w:rPr>
          <w:color w:val="auto"/>
          <w:sz w:val="32"/>
          <w:szCs w:val="32"/>
          <w:highlight w:val="none"/>
        </w:rPr>
        <w:t>，</w:t>
      </w:r>
      <w:r>
        <w:rPr>
          <w:rFonts w:hint="eastAsia"/>
          <w:color w:val="auto"/>
          <w:sz w:val="32"/>
          <w:szCs w:val="32"/>
          <w:highlight w:val="none"/>
          <w:lang w:eastAsia="zh-CN"/>
        </w:rPr>
        <w:t>加强</w:t>
      </w:r>
      <w:r>
        <w:rPr>
          <w:rFonts w:hint="eastAsia"/>
          <w:color w:val="auto"/>
          <w:sz w:val="32"/>
          <w:szCs w:val="32"/>
          <w:highlight w:val="none"/>
        </w:rPr>
        <w:t>仓储物流体系建设</w:t>
      </w:r>
      <w:r>
        <w:rPr>
          <w:color w:val="auto"/>
          <w:sz w:val="32"/>
          <w:szCs w:val="32"/>
          <w:highlight w:val="none"/>
        </w:rPr>
        <w:t>，</w:t>
      </w:r>
      <w:r>
        <w:rPr>
          <w:rFonts w:hint="eastAsia"/>
          <w:color w:val="auto"/>
          <w:sz w:val="32"/>
          <w:szCs w:val="32"/>
          <w:highlight w:val="none"/>
        </w:rPr>
        <w:t>完善乡村电商体系和销售渠道</w:t>
      </w:r>
      <w:r>
        <w:rPr>
          <w:rFonts w:hint="eastAsia"/>
          <w:color w:val="auto"/>
          <w:sz w:val="32"/>
          <w:szCs w:val="32"/>
          <w:highlight w:val="none"/>
          <w:lang w:eastAsia="zh-CN"/>
        </w:rPr>
        <w:t>，</w:t>
      </w:r>
      <w:r>
        <w:rPr>
          <w:color w:val="auto"/>
          <w:sz w:val="32"/>
          <w:szCs w:val="32"/>
          <w:highlight w:val="none"/>
        </w:rPr>
        <w:t>推进农产品加工高质量发展，规划建设集标准化生产、集约化加工等为一体的农产品加工基地。</w:t>
      </w:r>
      <w:r>
        <w:rPr>
          <w:rFonts w:hint="eastAsia"/>
          <w:color w:val="auto"/>
          <w:sz w:val="32"/>
          <w:szCs w:val="32"/>
          <w:highlight w:val="none"/>
        </w:rPr>
        <w:t>发展现代设施农业、智慧农业，</w:t>
      </w:r>
      <w:r>
        <w:rPr>
          <w:color w:val="auto"/>
          <w:sz w:val="32"/>
          <w:szCs w:val="32"/>
          <w:highlight w:val="none"/>
        </w:rPr>
        <w:t>引进培育加工型龙头企业，</w:t>
      </w:r>
      <w:r>
        <w:rPr>
          <w:rFonts w:hint="eastAsia"/>
          <w:color w:val="auto"/>
          <w:sz w:val="32"/>
          <w:szCs w:val="32"/>
          <w:highlight w:val="none"/>
        </w:rPr>
        <w:t>梯次培育农业龙头企业、农业科技领军企业，</w:t>
      </w:r>
      <w:r>
        <w:rPr>
          <w:rFonts w:hint="eastAsia"/>
          <w:color w:val="auto"/>
          <w:sz w:val="32"/>
          <w:szCs w:val="32"/>
          <w:highlight w:val="none"/>
          <w:lang w:eastAsia="zh-CN"/>
        </w:rPr>
        <w:t>发展农业适度规模经营</w:t>
      </w:r>
      <w:r>
        <w:rPr>
          <w:color w:val="auto"/>
          <w:sz w:val="32"/>
          <w:szCs w:val="32"/>
          <w:highlight w:val="none"/>
        </w:rPr>
        <w:t>。推动发展热带果蔬、深海渔业、区域特色农产品等精深加工，提高农产品加工转化率。推动培育认定一批农业产业特色鲜明、文旅融合突出的省级共享农庄</w:t>
      </w:r>
      <w:r>
        <w:rPr>
          <w:rFonts w:hint="eastAsia"/>
          <w:color w:val="auto"/>
          <w:sz w:val="32"/>
          <w:szCs w:val="32"/>
          <w:highlight w:val="none"/>
          <w:lang w:eastAsia="zh-CN"/>
        </w:rPr>
        <w:t>，</w:t>
      </w:r>
      <w:r>
        <w:rPr>
          <w:color w:val="auto"/>
          <w:sz w:val="32"/>
          <w:szCs w:val="32"/>
          <w:highlight w:val="none"/>
        </w:rPr>
        <w:t>打造各具特色的乡村旅游网红打卡地，</w:t>
      </w:r>
      <w:r>
        <w:rPr>
          <w:rFonts w:hint="eastAsia"/>
          <w:color w:val="auto"/>
          <w:sz w:val="32"/>
          <w:szCs w:val="32"/>
          <w:highlight w:val="none"/>
        </w:rPr>
        <w:t>推动“农庄+乡村+景区”联动，</w:t>
      </w:r>
      <w:r>
        <w:rPr>
          <w:color w:val="auto"/>
          <w:sz w:val="32"/>
          <w:szCs w:val="32"/>
          <w:highlight w:val="none"/>
        </w:rPr>
        <w:t>积极构建乡村精品旅游线路。</w:t>
      </w:r>
      <w:r>
        <w:rPr>
          <w:rFonts w:hint="eastAsia"/>
          <w:color w:val="auto"/>
          <w:sz w:val="32"/>
          <w:szCs w:val="32"/>
          <w:highlight w:val="none"/>
        </w:rPr>
        <w:t>做好</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土特产</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文章，增加绿色优质农产品供给，构建三亚市农产品区域公用品牌体系。强化农业防灾减灾体系建设，创新农业保险产品和服务模式。</w:t>
      </w:r>
    </w:p>
    <w:p>
      <w:pPr>
        <w:pStyle w:val="4"/>
        <w:keepNext w:val="0"/>
        <w:keepLines w:val="0"/>
        <w:pageBreakBefore w:val="0"/>
        <w:widowControl w:val="0"/>
        <w:kinsoku/>
        <w:wordWrap/>
        <w:overflowPunct/>
        <w:topLinePunct w:val="0"/>
        <w:autoSpaceDE/>
        <w:autoSpaceDN/>
        <w:bidi w:val="0"/>
        <w:adjustRightInd w:val="0"/>
        <w:snapToGrid w:val="0"/>
        <w:spacing w:line="556" w:lineRule="exact"/>
        <w:ind w:left="0" w:leftChars="0" w:firstLine="0" w:firstLineChars="0"/>
        <w:textAlignment w:val="auto"/>
        <w:rPr>
          <w:rFonts w:hint="eastAsia"/>
          <w:color w:val="auto"/>
          <w:sz w:val="32"/>
          <w:szCs w:val="32"/>
          <w:highlight w:val="none"/>
        </w:rPr>
      </w:pPr>
      <w:bookmarkStart w:id="553" w:name="_Toc574663175"/>
      <w:bookmarkStart w:id="554" w:name="_Toc2028305853"/>
      <w:bookmarkStart w:id="555" w:name="_Toc955550419"/>
      <w:bookmarkStart w:id="556" w:name="_Toc213447265"/>
      <w:bookmarkStart w:id="557" w:name="_Toc672915163"/>
      <w:bookmarkStart w:id="558" w:name="_Toc211243562"/>
      <w:bookmarkStart w:id="559" w:name="_Toc29936"/>
      <w:bookmarkStart w:id="560" w:name="_Toc211979442"/>
      <w:bookmarkStart w:id="561" w:name="_Toc1489522997"/>
      <w:bookmarkStart w:id="562" w:name="_Toc2039007785"/>
      <w:bookmarkStart w:id="563" w:name="_Toc1926570227"/>
      <w:bookmarkStart w:id="564" w:name="_Toc358043117"/>
      <w:bookmarkStart w:id="565" w:name="_Toc29933"/>
      <w:bookmarkStart w:id="566" w:name="_Toc1807013150"/>
      <w:bookmarkStart w:id="567" w:name="_Toc396528710"/>
      <w:bookmarkStart w:id="568" w:name="_Toc1043842403"/>
      <w:bookmarkStart w:id="569" w:name="_Toc1387903160"/>
      <w:bookmarkStart w:id="570" w:name="_Toc1562391447"/>
    </w:p>
    <w:p>
      <w:pPr>
        <w:pStyle w:val="4"/>
        <w:keepNext w:val="0"/>
        <w:keepLines w:val="0"/>
        <w:pageBreakBefore w:val="0"/>
        <w:widowControl w:val="0"/>
        <w:kinsoku/>
        <w:wordWrap/>
        <w:overflowPunct/>
        <w:topLinePunct w:val="0"/>
        <w:autoSpaceDE/>
        <w:autoSpaceDN/>
        <w:bidi w:val="0"/>
        <w:adjustRightInd w:val="0"/>
        <w:snapToGrid w:val="0"/>
        <w:spacing w:line="556"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第二节  建设宜居宜业和美乡村</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pPr>
        <w:pStyle w:val="31"/>
        <w:keepNext w:val="0"/>
        <w:keepLines w:val="0"/>
        <w:pageBreakBefore w:val="0"/>
        <w:widowControl w:val="0"/>
        <w:kinsoku/>
        <w:wordWrap/>
        <w:overflowPunct/>
        <w:topLinePunct w:val="0"/>
        <w:autoSpaceDE/>
        <w:autoSpaceDN/>
        <w:bidi w:val="0"/>
        <w:adjustRightInd w:val="0"/>
        <w:snapToGrid w:val="0"/>
        <w:spacing w:line="556" w:lineRule="exact"/>
        <w:textAlignment w:val="auto"/>
        <w:rPr>
          <w:rFonts w:hint="eastAsia"/>
          <w:color w:val="auto"/>
          <w:sz w:val="32"/>
          <w:szCs w:val="32"/>
          <w:highlight w:val="none"/>
        </w:rPr>
      </w:pPr>
    </w:p>
    <w:p>
      <w:pPr>
        <w:pStyle w:val="31"/>
        <w:keepNext w:val="0"/>
        <w:keepLines w:val="0"/>
        <w:pageBreakBefore w:val="0"/>
        <w:widowControl w:val="0"/>
        <w:kinsoku/>
        <w:wordWrap/>
        <w:overflowPunct/>
        <w:topLinePunct w:val="0"/>
        <w:autoSpaceDE/>
        <w:autoSpaceDN/>
        <w:bidi w:val="0"/>
        <w:adjustRightInd w:val="0"/>
        <w:snapToGrid w:val="0"/>
        <w:spacing w:line="556" w:lineRule="exact"/>
        <w:textAlignment w:val="auto"/>
        <w:rPr>
          <w:rFonts w:hint="eastAsia"/>
          <w:color w:val="auto"/>
          <w:sz w:val="32"/>
          <w:szCs w:val="32"/>
          <w:highlight w:val="none"/>
        </w:rPr>
      </w:pPr>
      <w:r>
        <w:rPr>
          <w:rFonts w:hint="eastAsia"/>
          <w:b/>
          <w:bCs/>
          <w:color w:val="auto"/>
          <w:sz w:val="32"/>
          <w:szCs w:val="32"/>
          <w:highlight w:val="none"/>
        </w:rPr>
        <w:t>因地制宜建设和美乡村。</w:t>
      </w:r>
      <w:r>
        <w:rPr>
          <w:rFonts w:hint="eastAsia"/>
          <w:color w:val="auto"/>
          <w:sz w:val="32"/>
          <w:szCs w:val="32"/>
          <w:highlight w:val="none"/>
        </w:rPr>
        <w:t>学习运用“千万工程”经验，完善乡村建设实施机制。</w:t>
      </w:r>
      <w:r>
        <w:rPr>
          <w:color w:val="auto"/>
          <w:sz w:val="32"/>
          <w:szCs w:val="32"/>
          <w:highlight w:val="none"/>
        </w:rPr>
        <w:t>增强乡村规划引领效能</w:t>
      </w:r>
      <w:r>
        <w:rPr>
          <w:rFonts w:hint="eastAsia"/>
          <w:color w:val="auto"/>
          <w:sz w:val="32"/>
          <w:szCs w:val="32"/>
          <w:highlight w:val="none"/>
        </w:rPr>
        <w:t>，</w:t>
      </w:r>
      <w:r>
        <w:rPr>
          <w:color w:val="auto"/>
          <w:sz w:val="32"/>
          <w:szCs w:val="32"/>
          <w:highlight w:val="none"/>
        </w:rPr>
        <w:t>优化完善全市国土空间规划，有序推进城镇开发边界外全域全要素详细规划，优化村域生产生活生态空间，</w:t>
      </w:r>
      <w:r>
        <w:rPr>
          <w:rFonts w:hint="eastAsia"/>
          <w:color w:val="auto"/>
          <w:sz w:val="32"/>
          <w:szCs w:val="32"/>
          <w:highlight w:val="none"/>
        </w:rPr>
        <w:t>合理确定村庄布局和建设边界，分类推进规划建设和村庄设计</w:t>
      </w:r>
      <w:r>
        <w:rPr>
          <w:color w:val="auto"/>
          <w:sz w:val="32"/>
          <w:szCs w:val="32"/>
          <w:highlight w:val="none"/>
        </w:rPr>
        <w:t>。强化村庄风貌管控，统筹运用</w:t>
      </w:r>
      <w:r>
        <w:rPr>
          <w:rFonts w:hint="eastAsia"/>
          <w:color w:val="auto"/>
          <w:sz w:val="32"/>
          <w:szCs w:val="32"/>
          <w:highlight w:val="none"/>
        </w:rPr>
        <w:t>土地</w:t>
      </w:r>
      <w:r>
        <w:rPr>
          <w:color w:val="auto"/>
          <w:sz w:val="32"/>
          <w:szCs w:val="32"/>
          <w:highlight w:val="none"/>
        </w:rPr>
        <w:t>政策，为塑造特色鲜明的和美乡村提供用地要素保障，打造山海互动和美乡村风景线</w:t>
      </w:r>
      <w:r>
        <w:rPr>
          <w:rFonts w:hint="eastAsia"/>
          <w:color w:val="auto"/>
          <w:sz w:val="32"/>
          <w:szCs w:val="32"/>
          <w:highlight w:val="none"/>
          <w:lang w:eastAsia="zh-CN"/>
        </w:rPr>
        <w:t>，推进</w:t>
      </w:r>
      <w:r>
        <w:rPr>
          <w:rFonts w:hint="eastAsia" w:ascii="仿宋_GB2312" w:hAnsi="仿宋_GB2312" w:eastAsia="仿宋_GB2312" w:cs="仿宋_GB2312"/>
          <w:color w:val="auto"/>
          <w:sz w:val="32"/>
          <w:szCs w:val="32"/>
          <w:highlight w:val="none"/>
        </w:rPr>
        <w:t>“</w:t>
      </w:r>
      <w:r>
        <w:rPr>
          <w:color w:val="auto"/>
          <w:sz w:val="32"/>
          <w:szCs w:val="32"/>
          <w:highlight w:val="none"/>
        </w:rPr>
        <w:t>双环两高两道</w:t>
      </w:r>
      <w:r>
        <w:rPr>
          <w:rFonts w:hint="eastAsia" w:ascii="仿宋_GB2312" w:hAnsi="仿宋_GB2312" w:eastAsia="仿宋_GB2312" w:cs="仿宋_GB2312"/>
          <w:color w:val="auto"/>
          <w:sz w:val="32"/>
          <w:szCs w:val="32"/>
          <w:highlight w:val="none"/>
        </w:rPr>
        <w:t>”</w:t>
      </w:r>
      <w:r>
        <w:rPr>
          <w:rFonts w:hint="eastAsia" w:ascii="仿宋_GB2312" w:hAnsi="仿宋_GB2312" w:cs="仿宋_GB2312"/>
          <w:color w:val="auto"/>
          <w:sz w:val="32"/>
          <w:szCs w:val="32"/>
          <w:highlight w:val="none"/>
          <w:lang w:eastAsia="zh-CN"/>
        </w:rPr>
        <w:t>沿线</w:t>
      </w:r>
      <w:r>
        <w:rPr>
          <w:color w:val="auto"/>
          <w:sz w:val="32"/>
          <w:szCs w:val="32"/>
          <w:highlight w:val="none"/>
        </w:rPr>
        <w:t>和美乡村</w:t>
      </w:r>
      <w:r>
        <w:rPr>
          <w:rFonts w:hint="eastAsia"/>
          <w:color w:val="auto"/>
          <w:sz w:val="32"/>
          <w:szCs w:val="32"/>
          <w:highlight w:val="none"/>
          <w:lang w:eastAsia="zh-CN"/>
        </w:rPr>
        <w:t>建设，</w:t>
      </w:r>
      <w:r>
        <w:rPr>
          <w:rFonts w:hint="eastAsia"/>
          <w:color w:val="auto"/>
          <w:sz w:val="32"/>
          <w:szCs w:val="32"/>
          <w:highlight w:val="none"/>
        </w:rPr>
        <w:t>到</w:t>
      </w:r>
      <w:r>
        <w:rPr>
          <w:rFonts w:hint="default" w:ascii="Times New Roman" w:hAnsi="Times New Roman" w:cs="Times New Roman"/>
          <w:color w:val="auto"/>
          <w:sz w:val="32"/>
          <w:szCs w:val="32"/>
          <w:highlight w:val="none"/>
        </w:rPr>
        <w:t>2030</w:t>
      </w:r>
      <w:r>
        <w:rPr>
          <w:rFonts w:hint="eastAsia"/>
          <w:color w:val="auto"/>
          <w:sz w:val="32"/>
          <w:szCs w:val="32"/>
          <w:highlight w:val="none"/>
        </w:rPr>
        <w:t>年累计创建</w:t>
      </w:r>
      <w:r>
        <w:rPr>
          <w:rFonts w:hint="default" w:ascii="Times New Roman" w:hAnsi="Times New Roman" w:cs="Times New Roman"/>
          <w:color w:val="auto"/>
          <w:sz w:val="32"/>
          <w:szCs w:val="32"/>
          <w:highlight w:val="none"/>
        </w:rPr>
        <w:t>50</w:t>
      </w:r>
      <w:r>
        <w:rPr>
          <w:rFonts w:hint="eastAsia"/>
          <w:color w:val="auto"/>
          <w:sz w:val="32"/>
          <w:szCs w:val="32"/>
          <w:highlight w:val="none"/>
        </w:rPr>
        <w:t>个省级和美乡村。率先支持崖州湾和美乡村示范带打造成为农业科技强、农村容貌美的农业硅谷。健全建管并重长效机制，巩固和美乡村建设成效。</w:t>
      </w:r>
    </w:p>
    <w:p>
      <w:pPr>
        <w:pStyle w:val="31"/>
        <w:keepNext w:val="0"/>
        <w:keepLines w:val="0"/>
        <w:pageBreakBefore w:val="0"/>
        <w:widowControl w:val="0"/>
        <w:kinsoku/>
        <w:wordWrap/>
        <w:overflowPunct/>
        <w:topLinePunct w:val="0"/>
        <w:autoSpaceDE/>
        <w:autoSpaceDN/>
        <w:bidi w:val="0"/>
        <w:adjustRightInd w:val="0"/>
        <w:snapToGrid w:val="0"/>
        <w:spacing w:line="556" w:lineRule="exact"/>
        <w:textAlignment w:val="auto"/>
        <w:rPr>
          <w:color w:val="auto"/>
          <w:sz w:val="32"/>
          <w:szCs w:val="32"/>
          <w:highlight w:val="none"/>
        </w:rPr>
      </w:pPr>
      <w:r>
        <w:rPr>
          <w:rFonts w:hint="eastAsia"/>
          <w:b/>
          <w:bCs/>
          <w:color w:val="auto"/>
          <w:sz w:val="32"/>
          <w:szCs w:val="32"/>
          <w:highlight w:val="none"/>
          <w:lang w:eastAsia="zh-CN"/>
        </w:rPr>
        <w:t>持续</w:t>
      </w:r>
      <w:r>
        <w:rPr>
          <w:rFonts w:hint="eastAsia"/>
          <w:b/>
          <w:bCs/>
          <w:color w:val="auto"/>
          <w:sz w:val="32"/>
          <w:szCs w:val="32"/>
          <w:highlight w:val="none"/>
        </w:rPr>
        <w:t>提升农村人居环境。</w:t>
      </w:r>
      <w:r>
        <w:rPr>
          <w:rFonts w:hint="eastAsia"/>
          <w:color w:val="auto"/>
          <w:sz w:val="32"/>
          <w:szCs w:val="32"/>
          <w:highlight w:val="none"/>
        </w:rPr>
        <w:t>常态化开展村庄清洁行动，突出清脏治乱，促进村庄干净整洁有序。在人居环境整治中积极吸纳群众参与，规范畜禽养殖，引导农户圈养畜禽，及时清理畜禽粪污。推进农村厕所革命，持续</w:t>
      </w:r>
      <w:r>
        <w:rPr>
          <w:rFonts w:hint="default"/>
          <w:color w:val="auto"/>
          <w:sz w:val="32"/>
          <w:szCs w:val="32"/>
          <w:highlight w:val="none"/>
          <w:lang w:val="en-US"/>
        </w:rPr>
        <w:t>完成</w:t>
      </w:r>
      <w:r>
        <w:rPr>
          <w:rFonts w:hint="eastAsia"/>
          <w:color w:val="auto"/>
          <w:sz w:val="32"/>
          <w:szCs w:val="32"/>
          <w:highlight w:val="none"/>
        </w:rPr>
        <w:t>农村渗漏厕所改造，确保农村户用卫生厕所应建尽建，加强农村公厕建设和管护，推进农村厕所粪污资源化利用。按照</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村收集、区转运、市处理</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模式</w:t>
      </w:r>
      <w:r>
        <w:rPr>
          <w:rFonts w:hint="eastAsia"/>
          <w:color w:val="auto"/>
          <w:sz w:val="32"/>
          <w:szCs w:val="32"/>
          <w:highlight w:val="none"/>
          <w:lang w:eastAsia="zh-CN"/>
        </w:rPr>
        <w:t>，完善</w:t>
      </w:r>
      <w:r>
        <w:rPr>
          <w:rFonts w:hint="eastAsia"/>
          <w:color w:val="auto"/>
          <w:sz w:val="32"/>
          <w:szCs w:val="32"/>
          <w:highlight w:val="none"/>
        </w:rPr>
        <w:t>垃圾处理体系。因地制宜推进农村生活污水治理</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rPr>
        <w:t>建、管、用</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rPr>
        <w:t>一体化，持续提高农村生活污水治理率</w:t>
      </w:r>
      <w:r>
        <w:rPr>
          <w:rFonts w:hint="eastAsia"/>
          <w:color w:val="auto"/>
          <w:sz w:val="32"/>
          <w:szCs w:val="32"/>
          <w:highlight w:val="none"/>
          <w:lang w:eastAsia="zh-CN"/>
        </w:rPr>
        <w:t>，</w:t>
      </w:r>
      <w:r>
        <w:rPr>
          <w:rFonts w:hint="eastAsia"/>
          <w:color w:val="auto"/>
          <w:sz w:val="32"/>
          <w:szCs w:val="32"/>
          <w:highlight w:val="none"/>
        </w:rPr>
        <w:t>常态化监管农村黑臭水体治理成效。</w:t>
      </w:r>
    </w:p>
    <w:p>
      <w:pPr>
        <w:pStyle w:val="31"/>
        <w:keepNext w:val="0"/>
        <w:keepLines w:val="0"/>
        <w:pageBreakBefore w:val="0"/>
        <w:widowControl w:val="0"/>
        <w:kinsoku/>
        <w:wordWrap/>
        <w:overflowPunct/>
        <w:topLinePunct w:val="0"/>
        <w:autoSpaceDE/>
        <w:autoSpaceDN/>
        <w:bidi w:val="0"/>
        <w:adjustRightInd w:val="0"/>
        <w:snapToGrid w:val="0"/>
        <w:spacing w:line="556" w:lineRule="exact"/>
        <w:textAlignment w:val="auto"/>
        <w:rPr>
          <w:color w:val="auto"/>
          <w:sz w:val="32"/>
          <w:szCs w:val="32"/>
          <w:highlight w:val="none"/>
        </w:rPr>
      </w:pPr>
      <w:r>
        <w:rPr>
          <w:rFonts w:hint="eastAsia"/>
          <w:b/>
          <w:bCs/>
          <w:color w:val="auto"/>
          <w:sz w:val="32"/>
          <w:szCs w:val="32"/>
          <w:highlight w:val="none"/>
        </w:rPr>
        <w:t>完善农村基础设施建设。</w:t>
      </w:r>
      <w:r>
        <w:rPr>
          <w:rFonts w:hint="eastAsia"/>
          <w:color w:val="auto"/>
          <w:sz w:val="32"/>
          <w:szCs w:val="32"/>
          <w:highlight w:val="none"/>
        </w:rPr>
        <w:t>推进</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四好农村路</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建设，加密农村路网，提升道路等级和通达能力，实现自然村通硬化路全覆盖。实施农村饮水安全巩固提升工程，保障村民饮水安全。推进灌区工程和农业水利基础设施现代化建设改造，增强乡村振兴水利支撑能力</w:t>
      </w:r>
      <w:r>
        <w:rPr>
          <w:rFonts w:hint="eastAsia"/>
          <w:color w:val="auto"/>
          <w:sz w:val="32"/>
          <w:szCs w:val="32"/>
          <w:highlight w:val="none"/>
          <w:lang w:eastAsia="zh-CN"/>
        </w:rPr>
        <w:t>。</w:t>
      </w:r>
      <w:r>
        <w:rPr>
          <w:rFonts w:hint="eastAsia"/>
          <w:color w:val="auto"/>
          <w:sz w:val="32"/>
          <w:szCs w:val="32"/>
          <w:highlight w:val="none"/>
        </w:rPr>
        <w:t>加快农村电网改造升级，提高供电可靠性和电能质量。完善农村通信网络，实现</w:t>
      </w:r>
      <w:r>
        <w:rPr>
          <w:rFonts w:hint="default" w:ascii="Times New Roman" w:hAnsi="Times New Roman" w:cs="Times New Roman"/>
          <w:color w:val="auto"/>
          <w:sz w:val="32"/>
          <w:szCs w:val="32"/>
          <w:highlight w:val="none"/>
        </w:rPr>
        <w:t>5G</w:t>
      </w:r>
      <w:r>
        <w:rPr>
          <w:rFonts w:hint="eastAsia"/>
          <w:color w:val="auto"/>
          <w:sz w:val="32"/>
          <w:szCs w:val="32"/>
          <w:highlight w:val="none"/>
        </w:rPr>
        <w:t>网络和光纤宽带全覆盖。推动农村燃气覆盖率进一步提升。</w:t>
      </w:r>
      <w:r>
        <w:rPr>
          <w:rFonts w:hint="eastAsia"/>
          <w:color w:val="auto"/>
          <w:sz w:val="32"/>
          <w:szCs w:val="32"/>
          <w:highlight w:val="none"/>
          <w:lang w:eastAsia="zh-CN"/>
        </w:rPr>
        <w:t>加快补齐农村现代生活条件短板，创造乡村优质生活空间。</w:t>
      </w: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bookmarkStart w:id="571" w:name="_Toc1151015618"/>
      <w:bookmarkStart w:id="572" w:name="_Toc703600055"/>
      <w:bookmarkStart w:id="573" w:name="_Toc211979443"/>
      <w:bookmarkStart w:id="574" w:name="_Toc1035946790"/>
      <w:bookmarkStart w:id="575" w:name="_Toc32599"/>
      <w:bookmarkStart w:id="576" w:name="_Toc66665373"/>
      <w:bookmarkStart w:id="577" w:name="_Toc211243563"/>
      <w:bookmarkStart w:id="578" w:name="_Toc1713877882"/>
      <w:r>
        <w:rPr>
          <w:rFonts w:hint="eastAsia"/>
          <w:b/>
          <w:bCs/>
          <w:color w:val="auto"/>
          <w:sz w:val="32"/>
          <w:szCs w:val="32"/>
          <w:highlight w:val="none"/>
        </w:rPr>
        <w:t>构建乡村治理现代化体系。</w:t>
      </w:r>
      <w:r>
        <w:rPr>
          <w:rFonts w:hint="eastAsia" w:ascii="Times New Roman" w:hAnsi="Times New Roman" w:eastAsia="仿宋_GB2312" w:cs="Times New Roman"/>
          <w:color w:val="auto"/>
          <w:kern w:val="2"/>
          <w:sz w:val="32"/>
          <w:szCs w:val="32"/>
          <w:highlight w:val="none"/>
          <w:u w:val="none"/>
          <w:shd w:val="clear" w:color="auto" w:fill="FFFFFF"/>
          <w:lang w:val="en-US" w:eastAsia="zh-CN" w:bidi="ar-SA"/>
        </w:rPr>
        <w:t>健全党组织领导的自治、法治、德治相结合的乡村治理体系</w:t>
      </w:r>
      <w:r>
        <w:rPr>
          <w:rFonts w:hint="eastAsia" w:ascii="Times New Roman" w:hAnsi="Times New Roman" w:cs="Times New Roman"/>
          <w:color w:val="auto"/>
          <w:kern w:val="2"/>
          <w:sz w:val="32"/>
          <w:szCs w:val="32"/>
          <w:highlight w:val="none"/>
          <w:u w:val="none"/>
          <w:shd w:val="clear" w:color="auto" w:fill="FFFFFF"/>
          <w:lang w:val="en-US" w:eastAsia="zh-CN" w:bidi="ar-SA"/>
        </w:rPr>
        <w:t>，</w:t>
      </w:r>
      <w:r>
        <w:rPr>
          <w:rFonts w:hint="eastAsia"/>
          <w:color w:val="auto"/>
          <w:sz w:val="32"/>
          <w:szCs w:val="32"/>
          <w:highlight w:val="none"/>
        </w:rPr>
        <w:t>加强农村基层党组织建设，选优配强村</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两委</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班子。健全村民自治制度，完善民主决策机制，推进村务公开和民主管理。</w:t>
      </w:r>
      <w:r>
        <w:rPr>
          <w:rFonts w:hint="eastAsia"/>
          <w:color w:val="auto"/>
          <w:sz w:val="32"/>
          <w:szCs w:val="32"/>
          <w:highlight w:val="none"/>
          <w:lang w:eastAsia="zh-CN"/>
        </w:rPr>
        <w:t>推广</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机器管公章</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经验，探索数字化乡村治理新模式。</w:t>
      </w:r>
      <w:r>
        <w:rPr>
          <w:rFonts w:hint="eastAsia"/>
          <w:color w:val="auto"/>
          <w:sz w:val="32"/>
          <w:szCs w:val="32"/>
          <w:highlight w:val="none"/>
        </w:rPr>
        <w:t>加强农村思想道德</w:t>
      </w:r>
      <w:r>
        <w:rPr>
          <w:rFonts w:hint="eastAsia"/>
          <w:color w:val="auto"/>
          <w:sz w:val="32"/>
          <w:szCs w:val="32"/>
          <w:highlight w:val="none"/>
          <w:lang w:eastAsia="zh-CN"/>
        </w:rPr>
        <w:t>、村规民约、</w:t>
      </w:r>
      <w:r>
        <w:rPr>
          <w:rFonts w:hint="eastAsia"/>
          <w:color w:val="auto"/>
          <w:sz w:val="32"/>
          <w:szCs w:val="32"/>
          <w:highlight w:val="none"/>
        </w:rPr>
        <w:t>文明乡风建设，深化移风易俗工作，破除农村婚丧大操大办、厚葬薄养等陈规陋习，倡导勤俭节约、健康和谐的生活方式‌‌。推进乡村法治建设，持续推动法治宣传教育进村入户，打击整治农村赌博，深化农村毒品治理，建设平安乡村。</w:t>
      </w:r>
    </w:p>
    <w:p>
      <w:pPr>
        <w:pStyle w:val="4"/>
        <w:keepNext w:val="0"/>
        <w:keepLines w:val="0"/>
        <w:pageBreakBefore w:val="0"/>
        <w:widowControl w:val="0"/>
        <w:shd w:val="clear"/>
        <w:kinsoku/>
        <w:wordWrap/>
        <w:overflowPunct/>
        <w:topLinePunct w:val="0"/>
        <w:autoSpaceDE/>
        <w:autoSpaceDN/>
        <w:bidi w:val="0"/>
        <w:adjustRightInd w:val="0"/>
        <w:snapToGrid w:val="0"/>
        <w:spacing w:line="576" w:lineRule="exact"/>
        <w:ind w:left="0" w:leftChars="0" w:firstLine="0" w:firstLineChars="0"/>
        <w:textAlignment w:val="auto"/>
        <w:rPr>
          <w:rFonts w:hint="eastAsia"/>
          <w:color w:val="auto"/>
          <w:sz w:val="32"/>
          <w:szCs w:val="32"/>
          <w:highlight w:val="none"/>
        </w:rPr>
      </w:pPr>
      <w:bookmarkStart w:id="579" w:name="_Toc883938107"/>
      <w:bookmarkStart w:id="580" w:name="_Toc3332"/>
      <w:bookmarkStart w:id="581" w:name="_Toc561965615"/>
      <w:bookmarkStart w:id="582" w:name="_Toc1398511369"/>
      <w:bookmarkStart w:id="583" w:name="_Toc1405641502"/>
      <w:bookmarkStart w:id="584" w:name="_Toc1895591962"/>
      <w:bookmarkStart w:id="585" w:name="_Toc394282686"/>
      <w:bookmarkStart w:id="586" w:name="_Toc213447266"/>
      <w:bookmarkStart w:id="587" w:name="_Toc2028233990"/>
      <w:bookmarkStart w:id="588" w:name="_Toc212837689"/>
    </w:p>
    <w:p>
      <w:pPr>
        <w:pStyle w:val="4"/>
        <w:keepNext w:val="0"/>
        <w:keepLines w:val="0"/>
        <w:pageBreakBefore w:val="0"/>
        <w:widowControl w:val="0"/>
        <w:shd w:val="clear"/>
        <w:kinsoku/>
        <w:wordWrap/>
        <w:overflowPunct/>
        <w:topLinePunct w:val="0"/>
        <w:autoSpaceDE/>
        <w:autoSpaceDN/>
        <w:bidi w:val="0"/>
        <w:adjustRightInd w:val="0"/>
        <w:snapToGrid w:val="0"/>
        <w:spacing w:line="576"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第三节  建立健全强农惠农富农体制机制</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w w:val="99"/>
          <w:sz w:val="32"/>
          <w:szCs w:val="32"/>
          <w:highlight w:val="none"/>
        </w:rPr>
        <w:t>深化农村土地制度改革。</w:t>
      </w:r>
      <w:r>
        <w:rPr>
          <w:rFonts w:hint="eastAsia"/>
          <w:color w:val="auto"/>
          <w:w w:val="99"/>
          <w:sz w:val="32"/>
          <w:szCs w:val="32"/>
          <w:highlight w:val="none"/>
        </w:rPr>
        <w:t>进一步深化农村土地制度改革，</w:t>
      </w:r>
      <w:r>
        <w:rPr>
          <w:rFonts w:hint="eastAsia"/>
          <w:color w:val="auto"/>
          <w:w w:val="99"/>
          <w:sz w:val="32"/>
          <w:szCs w:val="32"/>
          <w:highlight w:val="none"/>
          <w:lang w:eastAsia="zh-CN"/>
        </w:rPr>
        <w:t>拓展</w:t>
      </w:r>
      <w:r>
        <w:rPr>
          <w:rFonts w:hint="eastAsia"/>
          <w:color w:val="auto"/>
          <w:w w:val="99"/>
          <w:sz w:val="32"/>
          <w:szCs w:val="32"/>
          <w:highlight w:val="none"/>
        </w:rPr>
        <w:t>第二轮土地承包到期后再延长</w:t>
      </w:r>
      <w:r>
        <w:rPr>
          <w:rFonts w:hint="default" w:ascii="Times New Roman" w:hAnsi="Times New Roman" w:cs="Times New Roman"/>
          <w:color w:val="auto"/>
          <w:w w:val="99"/>
          <w:sz w:val="32"/>
          <w:szCs w:val="32"/>
          <w:highlight w:val="none"/>
        </w:rPr>
        <w:t>30</w:t>
      </w:r>
      <w:r>
        <w:rPr>
          <w:rFonts w:hint="eastAsia"/>
          <w:color w:val="auto"/>
          <w:w w:val="99"/>
          <w:sz w:val="32"/>
          <w:szCs w:val="32"/>
          <w:highlight w:val="none"/>
        </w:rPr>
        <w:t>年试点</w:t>
      </w:r>
      <w:r>
        <w:rPr>
          <w:rFonts w:hint="eastAsia"/>
          <w:color w:val="auto"/>
          <w:w w:val="99"/>
          <w:sz w:val="32"/>
          <w:szCs w:val="32"/>
          <w:highlight w:val="none"/>
          <w:lang w:eastAsia="zh-CN"/>
        </w:rPr>
        <w:t>范围</w:t>
      </w:r>
      <w:r>
        <w:rPr>
          <w:rFonts w:hint="eastAsia"/>
          <w:color w:val="auto"/>
          <w:w w:val="99"/>
          <w:sz w:val="32"/>
          <w:szCs w:val="32"/>
          <w:highlight w:val="none"/>
        </w:rPr>
        <w:t>，稳定农村土地承包关系并长久不变，完善土地经营权流转制度，规范土地流转程序和农村承包地经营权流转管理，推动土地承包合同管理与不动产登记有序衔接。加强耕地用途管制和土地流转用途监管，坚决遏制各类破坏耕地行为。创新农村土地集约利用模式，开展全域土地综合整治试点，在耕地集中区域统筹推进农用地整理、建设用地整理、生态保护修复，通过</w:t>
      </w:r>
      <w:r>
        <w:rPr>
          <w:rFonts w:hint="eastAsia" w:ascii="仿宋_GB2312" w:hAnsi="仿宋_GB2312" w:eastAsia="仿宋_GB2312" w:cs="仿宋_GB2312"/>
          <w:color w:val="auto"/>
          <w:w w:val="99"/>
          <w:sz w:val="32"/>
          <w:szCs w:val="32"/>
          <w:highlight w:val="none"/>
        </w:rPr>
        <w:t>“</w:t>
      </w:r>
      <w:r>
        <w:rPr>
          <w:rFonts w:hint="eastAsia"/>
          <w:color w:val="auto"/>
          <w:w w:val="99"/>
          <w:sz w:val="32"/>
          <w:szCs w:val="32"/>
          <w:highlight w:val="none"/>
        </w:rPr>
        <w:t>小地块合并、零散地整合</w:t>
      </w:r>
      <w:r>
        <w:rPr>
          <w:rFonts w:hint="eastAsia" w:ascii="仿宋_GB2312" w:hAnsi="仿宋_GB2312" w:eastAsia="仿宋_GB2312" w:cs="仿宋_GB2312"/>
          <w:color w:val="auto"/>
          <w:w w:val="99"/>
          <w:sz w:val="32"/>
          <w:szCs w:val="32"/>
          <w:highlight w:val="none"/>
        </w:rPr>
        <w:t>”</w:t>
      </w:r>
      <w:r>
        <w:rPr>
          <w:rFonts w:hint="eastAsia"/>
          <w:color w:val="auto"/>
          <w:w w:val="99"/>
          <w:sz w:val="32"/>
          <w:szCs w:val="32"/>
          <w:highlight w:val="none"/>
        </w:rPr>
        <w:t>新增耕地，盘活闲置农房、集体经营性建设用地，优先用于乡村产业发展和公共服务设施建设。探索</w:t>
      </w:r>
      <w:r>
        <w:rPr>
          <w:rFonts w:hint="eastAsia"/>
          <w:color w:val="auto"/>
          <w:w w:val="99"/>
          <w:sz w:val="32"/>
          <w:szCs w:val="32"/>
          <w:highlight w:val="none"/>
          <w:lang w:eastAsia="zh-CN"/>
        </w:rPr>
        <w:t>建立</w:t>
      </w:r>
      <w:r>
        <w:rPr>
          <w:rFonts w:hint="eastAsia"/>
          <w:color w:val="auto"/>
          <w:w w:val="99"/>
          <w:sz w:val="32"/>
          <w:szCs w:val="32"/>
          <w:highlight w:val="none"/>
        </w:rPr>
        <w:t>耕地保护补偿机制，对永久基本农田保护责任主体给予合理补偿，激发基层保护积极性。</w:t>
      </w:r>
    </w:p>
    <w:p>
      <w:pPr>
        <w:pStyle w:val="31"/>
        <w:keepNext w:val="0"/>
        <w:keepLines w:val="0"/>
        <w:pageBreakBefore w:val="0"/>
        <w:widowControl w:val="0"/>
        <w:kinsoku/>
        <w:wordWrap/>
        <w:overflowPunct/>
        <w:topLinePunct w:val="0"/>
        <w:autoSpaceDE/>
        <w:autoSpaceDN/>
        <w:bidi w:val="0"/>
        <w:adjustRightInd w:val="0"/>
        <w:snapToGrid w:val="0"/>
        <w:spacing w:line="556" w:lineRule="exact"/>
        <w:textAlignment w:val="auto"/>
        <w:rPr>
          <w:color w:val="auto"/>
          <w:sz w:val="32"/>
          <w:szCs w:val="32"/>
          <w:highlight w:val="none"/>
        </w:rPr>
      </w:pPr>
      <w:r>
        <w:rPr>
          <w:rFonts w:hint="eastAsia"/>
          <w:b/>
          <w:bCs/>
          <w:color w:val="auto"/>
          <w:sz w:val="32"/>
          <w:szCs w:val="32"/>
          <w:highlight w:val="none"/>
        </w:rPr>
        <w:t>深化农村集体产权制度改革。</w:t>
      </w:r>
      <w:r>
        <w:rPr>
          <w:rFonts w:hint="eastAsia"/>
          <w:color w:val="auto"/>
          <w:sz w:val="32"/>
          <w:szCs w:val="32"/>
          <w:highlight w:val="none"/>
        </w:rPr>
        <w:t>强化农村</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三资</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管理，建立健全集体资产监管长效机制。加快推进农村集体财产管理立法工作，维护农村集体经济组织及其成员合法权益。</w:t>
      </w:r>
      <w:r>
        <w:rPr>
          <w:rFonts w:hint="eastAsia"/>
          <w:color w:val="auto"/>
          <w:sz w:val="32"/>
          <w:szCs w:val="32"/>
          <w:highlight w:val="none"/>
          <w:lang w:eastAsia="zh-CN"/>
        </w:rPr>
        <w:t>全面</w:t>
      </w:r>
      <w:r>
        <w:rPr>
          <w:rFonts w:hint="eastAsia"/>
          <w:color w:val="auto"/>
          <w:sz w:val="32"/>
          <w:szCs w:val="32"/>
          <w:highlight w:val="none"/>
        </w:rPr>
        <w:t>推进农村集体经营性建设用地入市改革，健全收益分配和权益保护机制。</w:t>
      </w:r>
      <w:r>
        <w:rPr>
          <w:rFonts w:hint="eastAsia"/>
          <w:color w:val="auto"/>
          <w:sz w:val="32"/>
          <w:szCs w:val="32"/>
          <w:highlight w:val="none"/>
          <w:lang w:eastAsia="zh-CN"/>
        </w:rPr>
        <w:t>深化集体林权制度改革和用水权改革。</w:t>
      </w:r>
      <w:r>
        <w:rPr>
          <w:rFonts w:hint="eastAsia"/>
          <w:color w:val="auto"/>
          <w:sz w:val="32"/>
          <w:szCs w:val="32"/>
          <w:highlight w:val="none"/>
        </w:rPr>
        <w:t>强化海南（三亚）农村产权交易服务中心平台作用，积极拓展平台交易品种及衍生服务，</w:t>
      </w:r>
      <w:r>
        <w:rPr>
          <w:rFonts w:hint="eastAsia"/>
          <w:color w:val="auto"/>
          <w:sz w:val="32"/>
          <w:szCs w:val="32"/>
          <w:highlight w:val="none"/>
          <w:lang w:eastAsia="zh-CN"/>
        </w:rPr>
        <w:t>同步</w:t>
      </w:r>
      <w:r>
        <w:rPr>
          <w:rFonts w:hint="eastAsia"/>
          <w:color w:val="auto"/>
          <w:sz w:val="32"/>
          <w:szCs w:val="32"/>
          <w:highlight w:val="none"/>
        </w:rPr>
        <w:t>探索与</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三亚市基层公权力监督平台</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的融合，有效激活农村资金、资产、资源要素。</w:t>
      </w:r>
    </w:p>
    <w:p>
      <w:pPr>
        <w:pStyle w:val="31"/>
        <w:keepNext w:val="0"/>
        <w:keepLines w:val="0"/>
        <w:pageBreakBefore w:val="0"/>
        <w:widowControl w:val="0"/>
        <w:kinsoku/>
        <w:wordWrap/>
        <w:overflowPunct/>
        <w:topLinePunct w:val="0"/>
        <w:autoSpaceDE/>
        <w:autoSpaceDN/>
        <w:bidi w:val="0"/>
        <w:adjustRightInd w:val="0"/>
        <w:snapToGrid w:val="0"/>
        <w:spacing w:line="556" w:lineRule="exact"/>
        <w:textAlignment w:val="auto"/>
        <w:rPr>
          <w:color w:val="auto"/>
          <w:sz w:val="32"/>
          <w:szCs w:val="32"/>
          <w:highlight w:val="none"/>
        </w:rPr>
      </w:pPr>
      <w:r>
        <w:rPr>
          <w:b/>
          <w:bCs/>
          <w:color w:val="auto"/>
          <w:sz w:val="32"/>
          <w:szCs w:val="32"/>
          <w:highlight w:val="none"/>
        </w:rPr>
        <w:t>发展壮大新型农村集体经济</w:t>
      </w:r>
      <w:r>
        <w:rPr>
          <w:rFonts w:hint="eastAsia"/>
          <w:b/>
          <w:bCs/>
          <w:color w:val="auto"/>
          <w:sz w:val="32"/>
          <w:szCs w:val="32"/>
          <w:highlight w:val="none"/>
        </w:rPr>
        <w:t>。</w:t>
      </w:r>
      <w:r>
        <w:rPr>
          <w:rFonts w:hint="eastAsia"/>
          <w:color w:val="auto"/>
          <w:sz w:val="32"/>
          <w:szCs w:val="32"/>
          <w:highlight w:val="none"/>
          <w:lang w:eastAsia="zh-CN"/>
        </w:rPr>
        <w:t>探索开展农村集体经济经理人试点工作，完善</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lang w:eastAsia="zh-CN"/>
        </w:rPr>
        <w:t>村集体</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lang w:eastAsia="zh-CN"/>
        </w:rPr>
        <w:t>利益连接机制、</w:t>
      </w:r>
      <w:r>
        <w:rPr>
          <w:rFonts w:hint="eastAsia"/>
          <w:color w:val="auto"/>
          <w:sz w:val="32"/>
          <w:szCs w:val="32"/>
          <w:highlight w:val="none"/>
        </w:rPr>
        <w:t>乡村振兴多元化投入机制。鼓励民营企业参与乡村振兴、光彩事业等项目，健全联农带农机制，引导鼓励农民发展多种经营，促进农民稳定增收</w:t>
      </w:r>
      <w:r>
        <w:rPr>
          <w:rFonts w:hint="eastAsia"/>
          <w:color w:val="auto"/>
          <w:sz w:val="32"/>
          <w:szCs w:val="32"/>
          <w:highlight w:val="none"/>
          <w:lang w:eastAsia="zh-CN"/>
        </w:rPr>
        <w:t>。</w:t>
      </w:r>
      <w:r>
        <w:rPr>
          <w:rFonts w:hint="eastAsia"/>
          <w:color w:val="auto"/>
          <w:sz w:val="32"/>
          <w:szCs w:val="32"/>
          <w:highlight w:val="none"/>
        </w:rPr>
        <w:t>提升农业组织化水平，加强现代农事综合服务中心建设，深化供销社综合改革</w:t>
      </w:r>
      <w:r>
        <w:rPr>
          <w:rFonts w:hint="eastAsia"/>
          <w:color w:val="auto"/>
          <w:sz w:val="32"/>
          <w:szCs w:val="32"/>
          <w:highlight w:val="none"/>
          <w:lang w:eastAsia="zh-CN"/>
        </w:rPr>
        <w:t>，</w:t>
      </w:r>
      <w:r>
        <w:rPr>
          <w:rFonts w:hint="eastAsia"/>
          <w:color w:val="auto"/>
          <w:sz w:val="32"/>
          <w:szCs w:val="32"/>
          <w:highlight w:val="none"/>
        </w:rPr>
        <w:t>培育壮大农民合作社、家庭农场等新型经营主体，</w:t>
      </w:r>
      <w:r>
        <w:rPr>
          <w:rFonts w:hint="eastAsia"/>
          <w:color w:val="auto"/>
          <w:sz w:val="32"/>
          <w:szCs w:val="32"/>
          <w:highlight w:val="none"/>
          <w:lang w:eastAsia="zh-CN"/>
        </w:rPr>
        <w:t>推动农业社会化服务向产前、产后等环节及配套服务延伸。</w:t>
      </w:r>
      <w:r>
        <w:rPr>
          <w:rFonts w:hint="eastAsia"/>
          <w:color w:val="auto"/>
          <w:sz w:val="32"/>
          <w:szCs w:val="32"/>
          <w:highlight w:val="none"/>
        </w:rPr>
        <w:t>探索村村联合、村企联合、片区组团等多种</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跨村联建</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新模式，形成跨地域、跨行业、跨所有制等新型集体经济组织。推动行政村（含涉农社区）村集体经济稳步提升。</w:t>
      </w:r>
    </w:p>
    <w:p>
      <w:pPr>
        <w:pStyle w:val="31"/>
        <w:keepNext w:val="0"/>
        <w:keepLines w:val="0"/>
        <w:pageBreakBefore w:val="0"/>
        <w:widowControl w:val="0"/>
        <w:kinsoku/>
        <w:wordWrap/>
        <w:overflowPunct/>
        <w:topLinePunct w:val="0"/>
        <w:autoSpaceDE/>
        <w:autoSpaceDN/>
        <w:bidi w:val="0"/>
        <w:adjustRightInd w:val="0"/>
        <w:snapToGrid w:val="0"/>
        <w:spacing w:line="556" w:lineRule="exact"/>
        <w:textAlignment w:val="auto"/>
        <w:rPr>
          <w:rFonts w:hint="eastAsia"/>
          <w:color w:val="auto"/>
          <w:sz w:val="32"/>
          <w:szCs w:val="32"/>
          <w:highlight w:val="none"/>
        </w:rPr>
      </w:pPr>
      <w:r>
        <w:rPr>
          <w:rFonts w:hint="eastAsia"/>
          <w:b/>
          <w:bCs/>
          <w:color w:val="auto"/>
          <w:sz w:val="32"/>
          <w:szCs w:val="32"/>
          <w:highlight w:val="none"/>
        </w:rPr>
        <w:t>完善常态化防止返贫致贫机制。</w:t>
      </w:r>
      <w:r>
        <w:rPr>
          <w:rFonts w:hint="eastAsia"/>
          <w:color w:val="auto"/>
          <w:sz w:val="32"/>
          <w:szCs w:val="32"/>
          <w:highlight w:val="none"/>
        </w:rPr>
        <w:t>建立健全统一规范、精准识别、动态调整的常态化防止返贫致贫监测体系，及时将存在返贫致贫风险农户纳入帮扶范围。健全防止返贫致贫对象帮扶政策体系，分类精准落实常态化帮扶措施，完善兜底式保障，强化开发式帮扶，及时发现和</w:t>
      </w:r>
      <w:r>
        <w:rPr>
          <w:rFonts w:hint="eastAsia"/>
          <w:color w:val="auto"/>
          <w:sz w:val="32"/>
          <w:szCs w:val="32"/>
          <w:highlight w:val="none"/>
          <w:lang w:eastAsia="zh-CN"/>
        </w:rPr>
        <w:t>化解</w:t>
      </w:r>
      <w:r>
        <w:rPr>
          <w:rFonts w:hint="eastAsia"/>
          <w:color w:val="auto"/>
          <w:sz w:val="32"/>
          <w:szCs w:val="32"/>
          <w:highlight w:val="none"/>
        </w:rPr>
        <w:t>返贫致贫风险，增强内生发展动力，确保不发生规模性返贫致贫。</w:t>
      </w:r>
      <w:bookmarkEnd w:id="537"/>
      <w:bookmarkStart w:id="589" w:name="_Toc529161357"/>
      <w:bookmarkStart w:id="590" w:name="_Toc1929904698"/>
      <w:bookmarkStart w:id="591" w:name="_Toc717649106"/>
      <w:bookmarkStart w:id="592" w:name="_Toc1873714982"/>
      <w:bookmarkStart w:id="593" w:name="_Toc213447267"/>
      <w:bookmarkStart w:id="594" w:name="_Toc1915963547"/>
      <w:bookmarkStart w:id="595" w:name="_Toc381926909"/>
      <w:bookmarkStart w:id="596" w:name="_Toc1959575919"/>
    </w:p>
    <w:p>
      <w:pPr>
        <w:pStyle w:val="3"/>
        <w:pageBreakBefore w:val="0"/>
        <w:widowControl w:val="0"/>
        <w:shd w:val="clear"/>
        <w:kinsoku/>
        <w:wordWrap/>
        <w:overflowPunct/>
        <w:topLinePunct w:val="0"/>
        <w:autoSpaceDE/>
        <w:autoSpaceDN/>
        <w:bidi w:val="0"/>
        <w:adjustRightInd w:val="0"/>
        <w:snapToGrid w:val="0"/>
        <w:spacing w:line="576" w:lineRule="exact"/>
        <w:jc w:val="both"/>
        <w:textAlignment w:val="auto"/>
        <w:rPr>
          <w:rFonts w:hint="eastAsia"/>
          <w:color w:val="auto"/>
          <w:sz w:val="32"/>
          <w:szCs w:val="32"/>
          <w:highlight w:val="none"/>
        </w:rPr>
      </w:pPr>
      <w:bookmarkStart w:id="597" w:name="_Toc17102"/>
      <w:bookmarkStart w:id="598" w:name="_Toc1465897069"/>
      <w:bookmarkStart w:id="599" w:name="_Toc1474209393"/>
      <w:bookmarkStart w:id="600" w:name="_Toc649246695"/>
      <w:bookmarkStart w:id="601" w:name="_Toc1999391864"/>
    </w:p>
    <w:p>
      <w:pPr>
        <w:pStyle w:val="3"/>
        <w:pageBreakBefore w:val="0"/>
        <w:widowControl w:val="0"/>
        <w:shd w:val="clear"/>
        <w:kinsoku/>
        <w:wordWrap/>
        <w:overflowPunct/>
        <w:topLinePunct w:val="0"/>
        <w:autoSpaceDE/>
        <w:autoSpaceDN/>
        <w:bidi w:val="0"/>
        <w:adjustRightInd w:val="0"/>
        <w:snapToGrid w:val="0"/>
        <w:spacing w:line="576" w:lineRule="exact"/>
        <w:jc w:val="center"/>
        <w:textAlignment w:val="auto"/>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sz w:val="40"/>
          <w:szCs w:val="40"/>
          <w:highlight w:val="none"/>
        </w:rPr>
        <w:t>第九章  建设现代化基础设施体系</w:t>
      </w:r>
      <w:bookmarkEnd w:id="589"/>
      <w:bookmarkEnd w:id="590"/>
      <w:bookmarkEnd w:id="591"/>
      <w:bookmarkEnd w:id="592"/>
      <w:bookmarkEnd w:id="593"/>
      <w:bookmarkEnd w:id="597"/>
      <w:bookmarkEnd w:id="598"/>
      <w:bookmarkEnd w:id="599"/>
      <w:bookmarkEnd w:id="600"/>
      <w:bookmarkEnd w:id="601"/>
    </w:p>
    <w:p>
      <w:pPr>
        <w:pStyle w:val="31"/>
        <w:pageBreakBefore w:val="0"/>
        <w:widowControl w:val="0"/>
        <w:shd w:val="clear"/>
        <w:kinsoku/>
        <w:wordWrap/>
        <w:overflowPunct/>
        <w:topLinePunct w:val="0"/>
        <w:autoSpaceDE/>
        <w:autoSpaceDN/>
        <w:bidi w:val="0"/>
        <w:adjustRightInd w:val="0"/>
        <w:snapToGrid w:val="0"/>
        <w:spacing w:line="576" w:lineRule="exact"/>
        <w:ind w:left="0" w:leftChars="0" w:firstLine="0" w:firstLineChars="0"/>
        <w:textAlignment w:val="auto"/>
        <w:rPr>
          <w:rFonts w:hint="eastAsia"/>
          <w:color w:val="auto"/>
          <w:sz w:val="32"/>
          <w:szCs w:val="32"/>
          <w:highlight w:val="none"/>
        </w:rPr>
      </w:pPr>
    </w:p>
    <w:p>
      <w:pPr>
        <w:pStyle w:val="31"/>
        <w:pageBreakBefore w:val="0"/>
        <w:widowControl w:val="0"/>
        <w:shd w:val="clear"/>
        <w:kinsoku/>
        <w:wordWrap/>
        <w:overflowPunct/>
        <w:topLinePunct w:val="0"/>
        <w:autoSpaceDE/>
        <w:autoSpaceDN/>
        <w:bidi w:val="0"/>
        <w:adjustRightInd w:val="0"/>
        <w:snapToGrid w:val="0"/>
        <w:spacing w:line="576" w:lineRule="exact"/>
        <w:ind w:left="0" w:leftChars="0" w:firstLine="0" w:firstLineChars="0"/>
        <w:textAlignment w:val="auto"/>
        <w:rPr>
          <w:rFonts w:hint="eastAsia"/>
          <w:color w:val="auto"/>
          <w:sz w:val="32"/>
          <w:szCs w:val="32"/>
          <w:highlight w:val="none"/>
        </w:rPr>
      </w:pPr>
    </w:p>
    <w:p>
      <w:pPr>
        <w:pStyle w:val="31"/>
        <w:keepNext w:val="0"/>
        <w:keepLines w:val="0"/>
        <w:pageBreakBefore w:val="0"/>
        <w:widowControl w:val="0"/>
        <w:shd w:val="clear"/>
        <w:kinsoku/>
        <w:wordWrap/>
        <w:overflowPunct/>
        <w:topLinePunct w:val="0"/>
        <w:autoSpaceDE/>
        <w:autoSpaceDN/>
        <w:bidi w:val="0"/>
        <w:adjustRightInd w:val="0"/>
        <w:snapToGrid w:val="0"/>
        <w:spacing w:line="576" w:lineRule="exact"/>
        <w:ind w:left="0" w:leftChars="0" w:firstLine="640" w:firstLineChars="200"/>
        <w:textAlignment w:val="auto"/>
        <w:rPr>
          <w:color w:val="auto"/>
          <w:sz w:val="32"/>
          <w:szCs w:val="32"/>
          <w:highlight w:val="none"/>
        </w:rPr>
      </w:pPr>
      <w:r>
        <w:rPr>
          <w:rFonts w:hint="eastAsia"/>
          <w:color w:val="auto"/>
          <w:sz w:val="32"/>
          <w:szCs w:val="32"/>
          <w:highlight w:val="none"/>
        </w:rPr>
        <w:t>加强基础设施供给能力和稳定性建设，适度超前建设交通、电力、天然气管网等基础设施，加快构建</w:t>
      </w:r>
      <w:bookmarkStart w:id="602" w:name="OLE_LINK7"/>
      <w:r>
        <w:rPr>
          <w:rFonts w:hint="eastAsia"/>
          <w:color w:val="auto"/>
          <w:sz w:val="32"/>
          <w:szCs w:val="32"/>
          <w:highlight w:val="none"/>
        </w:rPr>
        <w:t>系统完备、高效实用、智能绿色、安全可靠的现代化基础设施体系</w:t>
      </w:r>
      <w:bookmarkEnd w:id="602"/>
      <w:r>
        <w:rPr>
          <w:rFonts w:hint="eastAsia"/>
          <w:color w:val="auto"/>
          <w:sz w:val="32"/>
          <w:szCs w:val="32"/>
          <w:highlight w:val="none"/>
        </w:rPr>
        <w:t>。</w:t>
      </w:r>
    </w:p>
    <w:p>
      <w:pPr>
        <w:pStyle w:val="4"/>
        <w:keepNext w:val="0"/>
        <w:keepLines w:val="0"/>
        <w:pageBreakBefore w:val="0"/>
        <w:widowControl w:val="0"/>
        <w:shd w:val="clear"/>
        <w:kinsoku/>
        <w:wordWrap/>
        <w:overflowPunct/>
        <w:topLinePunct w:val="0"/>
        <w:autoSpaceDE/>
        <w:autoSpaceDN/>
        <w:bidi w:val="0"/>
        <w:adjustRightInd w:val="0"/>
        <w:snapToGrid w:val="0"/>
        <w:spacing w:line="576" w:lineRule="exact"/>
        <w:ind w:left="0" w:leftChars="0" w:firstLine="0" w:firstLineChars="0"/>
        <w:textAlignment w:val="auto"/>
        <w:rPr>
          <w:rFonts w:hint="eastAsia"/>
          <w:color w:val="auto"/>
          <w:sz w:val="32"/>
          <w:szCs w:val="32"/>
          <w:highlight w:val="none"/>
        </w:rPr>
      </w:pPr>
      <w:bookmarkStart w:id="603" w:name="_Toc1062969492"/>
      <w:bookmarkStart w:id="604" w:name="_Toc16965519"/>
      <w:bookmarkStart w:id="605" w:name="_Toc151701154"/>
      <w:bookmarkStart w:id="606" w:name="_Toc772837200"/>
      <w:bookmarkStart w:id="607" w:name="_Toc175295369"/>
      <w:bookmarkStart w:id="608" w:name="_Toc6218"/>
      <w:bookmarkStart w:id="609" w:name="_Toc514570048"/>
      <w:bookmarkStart w:id="610" w:name="_Toc213447268"/>
      <w:bookmarkStart w:id="611" w:name="_Toc650466323"/>
      <w:bookmarkStart w:id="612" w:name="_Toc1232844831"/>
      <w:bookmarkStart w:id="613" w:name="_Toc743781950"/>
      <w:bookmarkStart w:id="614" w:name="_Toc17114"/>
      <w:bookmarkStart w:id="615" w:name="_Toc61838311"/>
      <w:bookmarkStart w:id="616" w:name="_Toc577828343"/>
      <w:bookmarkStart w:id="617" w:name="_Toc211979445"/>
      <w:bookmarkStart w:id="618" w:name="_Toc202970344"/>
      <w:bookmarkStart w:id="619" w:name="_Toc298720773"/>
      <w:bookmarkStart w:id="620" w:name="_Toc108526549"/>
      <w:bookmarkStart w:id="621" w:name="_Toc2064007234"/>
      <w:bookmarkStart w:id="622" w:name="_Toc517638796"/>
    </w:p>
    <w:p>
      <w:pPr>
        <w:pStyle w:val="4"/>
        <w:keepNext w:val="0"/>
        <w:keepLines w:val="0"/>
        <w:pageBreakBefore w:val="0"/>
        <w:widowControl w:val="0"/>
        <w:shd w:val="clear"/>
        <w:kinsoku/>
        <w:wordWrap/>
        <w:overflowPunct/>
        <w:topLinePunct w:val="0"/>
        <w:autoSpaceDE/>
        <w:autoSpaceDN/>
        <w:bidi w:val="0"/>
        <w:adjustRightInd w:val="0"/>
        <w:snapToGrid w:val="0"/>
        <w:spacing w:line="576" w:lineRule="exact"/>
        <w:ind w:left="0" w:leftChars="0" w:firstLine="0" w:firstLineChars="0"/>
        <w:jc w:val="center"/>
        <w:textAlignment w:val="auto"/>
        <w:rPr>
          <w:b w:val="0"/>
          <w:bCs/>
          <w:color w:val="auto"/>
          <w:sz w:val="32"/>
          <w:szCs w:val="32"/>
          <w:highlight w:val="none"/>
        </w:rPr>
      </w:pPr>
      <w:r>
        <w:rPr>
          <w:rFonts w:hint="eastAsia" w:ascii="黑体" w:hAnsi="黑体" w:eastAsia="黑体" w:cs="黑体"/>
          <w:b w:val="0"/>
          <w:bCs/>
          <w:color w:val="auto"/>
          <w:sz w:val="32"/>
          <w:szCs w:val="32"/>
          <w:highlight w:val="none"/>
        </w:rPr>
        <w:t>第一节  完善现代化综合交通运输体系</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r>
        <w:rPr>
          <w:rFonts w:hint="eastAsia"/>
          <w:b/>
          <w:bCs/>
          <w:color w:val="auto"/>
          <w:sz w:val="32"/>
          <w:szCs w:val="32"/>
          <w:highlight w:val="none"/>
        </w:rPr>
        <w:t>强化国际门户枢纽地位。</w:t>
      </w:r>
      <w:r>
        <w:rPr>
          <w:rFonts w:hint="eastAsia"/>
          <w:color w:val="auto"/>
          <w:sz w:val="32"/>
          <w:szCs w:val="32"/>
          <w:highlight w:val="none"/>
        </w:rPr>
        <w:t>加快</w:t>
      </w:r>
      <w:r>
        <w:rPr>
          <w:rFonts w:hint="eastAsia"/>
          <w:color w:val="auto"/>
          <w:sz w:val="32"/>
          <w:szCs w:val="32"/>
          <w:highlight w:val="none"/>
          <w:lang w:eastAsia="zh-CN"/>
        </w:rPr>
        <w:t>提升</w:t>
      </w:r>
      <w:r>
        <w:rPr>
          <w:rFonts w:hint="eastAsia"/>
          <w:color w:val="auto"/>
          <w:sz w:val="32"/>
          <w:szCs w:val="32"/>
          <w:highlight w:val="none"/>
        </w:rPr>
        <w:t>国际空港、国际海港运输能力，打造</w:t>
      </w:r>
      <w:r>
        <w:rPr>
          <w:rFonts w:hint="eastAsia"/>
          <w:color w:val="auto"/>
          <w:sz w:val="32"/>
          <w:szCs w:val="32"/>
          <w:highlight w:val="none"/>
          <w:lang w:eastAsia="zh-CN"/>
        </w:rPr>
        <w:t>全国性</w:t>
      </w:r>
      <w:r>
        <w:rPr>
          <w:rFonts w:hint="eastAsia"/>
          <w:color w:val="auto"/>
          <w:sz w:val="32"/>
          <w:szCs w:val="32"/>
          <w:highlight w:val="none"/>
        </w:rPr>
        <w:t>综合交通枢纽城市。提升三亚凤凰</w:t>
      </w:r>
      <w:r>
        <w:rPr>
          <w:rFonts w:hint="eastAsia"/>
          <w:color w:val="auto"/>
          <w:sz w:val="32"/>
          <w:szCs w:val="32"/>
          <w:highlight w:val="none"/>
          <w:lang w:eastAsia="zh-CN"/>
        </w:rPr>
        <w:t>国际</w:t>
      </w:r>
      <w:r>
        <w:rPr>
          <w:rFonts w:hint="eastAsia"/>
          <w:color w:val="auto"/>
          <w:sz w:val="32"/>
          <w:szCs w:val="32"/>
          <w:highlight w:val="none"/>
        </w:rPr>
        <w:t>机场综合服务保障能力，完善机场交通集疏运体系，</w:t>
      </w:r>
      <w:r>
        <w:rPr>
          <w:color w:val="auto"/>
          <w:sz w:val="32"/>
          <w:szCs w:val="32"/>
          <w:highlight w:val="none"/>
        </w:rPr>
        <w:t>开辟和</w:t>
      </w:r>
      <w:r>
        <w:rPr>
          <w:rFonts w:hint="eastAsia"/>
          <w:color w:val="auto"/>
          <w:sz w:val="32"/>
          <w:szCs w:val="32"/>
          <w:highlight w:val="none"/>
        </w:rPr>
        <w:t>加密国际客运航线，逐步增加国际货运航线，加快建设空港型国家物流枢纽。推动三亚新机场及临空经济区建设，同步</w:t>
      </w:r>
      <w:r>
        <w:rPr>
          <w:rFonts w:hint="eastAsia"/>
          <w:color w:val="auto"/>
          <w:sz w:val="32"/>
          <w:szCs w:val="32"/>
          <w:highlight w:val="none"/>
          <w:lang w:val="en-US" w:eastAsia="zh-CN"/>
        </w:rPr>
        <w:t>谋</w:t>
      </w:r>
      <w:r>
        <w:rPr>
          <w:rFonts w:hint="eastAsia"/>
          <w:color w:val="auto"/>
          <w:sz w:val="32"/>
          <w:szCs w:val="32"/>
          <w:highlight w:val="none"/>
        </w:rPr>
        <w:t>划</w:t>
      </w:r>
      <w:r>
        <w:rPr>
          <w:rFonts w:hint="eastAsia"/>
          <w:color w:val="auto"/>
          <w:sz w:val="32"/>
          <w:szCs w:val="32"/>
          <w:highlight w:val="none"/>
          <w:lang w:val="en-US" w:eastAsia="zh-CN"/>
        </w:rPr>
        <w:t>环岛高铁新</w:t>
      </w:r>
      <w:r>
        <w:rPr>
          <w:rFonts w:hint="eastAsia"/>
          <w:color w:val="auto"/>
          <w:sz w:val="32"/>
          <w:szCs w:val="32"/>
          <w:highlight w:val="none"/>
        </w:rPr>
        <w:t>机场支线、</w:t>
      </w:r>
      <w:r>
        <w:rPr>
          <w:rFonts w:hint="eastAsia"/>
          <w:color w:val="auto"/>
          <w:sz w:val="32"/>
          <w:szCs w:val="32"/>
          <w:highlight w:val="none"/>
          <w:lang w:val="en-US" w:eastAsia="zh-CN"/>
        </w:rPr>
        <w:t>三亚至乐东城际铁路新机场支线、新</w:t>
      </w:r>
      <w:r>
        <w:rPr>
          <w:rFonts w:hint="eastAsia"/>
          <w:color w:val="auto"/>
          <w:sz w:val="32"/>
          <w:szCs w:val="32"/>
          <w:highlight w:val="none"/>
        </w:rPr>
        <w:t>机场高速、</w:t>
      </w:r>
      <w:r>
        <w:rPr>
          <w:rFonts w:hint="eastAsia"/>
          <w:color w:val="auto"/>
          <w:sz w:val="32"/>
          <w:szCs w:val="32"/>
          <w:highlight w:val="none"/>
          <w:lang w:val="en-US" w:eastAsia="zh-CN"/>
        </w:rPr>
        <w:t>新机场物流枢纽</w:t>
      </w:r>
      <w:r>
        <w:rPr>
          <w:rFonts w:hint="eastAsia"/>
          <w:color w:val="auto"/>
          <w:sz w:val="32"/>
          <w:szCs w:val="32"/>
          <w:highlight w:val="none"/>
          <w:lang w:eastAsia="zh-CN"/>
        </w:rPr>
        <w:t>。鼓励</w:t>
      </w:r>
      <w:r>
        <w:rPr>
          <w:color w:val="auto"/>
          <w:sz w:val="32"/>
          <w:szCs w:val="32"/>
          <w:highlight w:val="none"/>
        </w:rPr>
        <w:t>基地航空公司构建以三亚为核心的国际客货运网络，</w:t>
      </w:r>
      <w:r>
        <w:rPr>
          <w:rFonts w:hint="eastAsia"/>
          <w:color w:val="auto"/>
          <w:sz w:val="32"/>
          <w:szCs w:val="32"/>
          <w:highlight w:val="none"/>
        </w:rPr>
        <w:t>打造面向</w:t>
      </w:r>
      <w:r>
        <w:rPr>
          <w:rFonts w:hint="eastAsia"/>
          <w:color w:val="auto"/>
          <w:sz w:val="32"/>
          <w:szCs w:val="32"/>
          <w:highlight w:val="none"/>
          <w:lang w:val="en-US" w:eastAsia="zh-CN"/>
        </w:rPr>
        <w:t>太平洋、印度洋</w:t>
      </w:r>
      <w:r>
        <w:rPr>
          <w:rFonts w:hint="eastAsia"/>
          <w:color w:val="auto"/>
          <w:sz w:val="32"/>
          <w:szCs w:val="32"/>
          <w:highlight w:val="none"/>
        </w:rPr>
        <w:t>的航空区域门户枢纽。加快建设三亚国际邮轮港，</w:t>
      </w:r>
      <w:r>
        <w:rPr>
          <w:color w:val="auto"/>
          <w:sz w:val="32"/>
          <w:szCs w:val="32"/>
          <w:highlight w:val="none"/>
        </w:rPr>
        <w:t>积极引进</w:t>
      </w:r>
      <w:r>
        <w:rPr>
          <w:rFonts w:hint="eastAsia"/>
          <w:color w:val="auto"/>
          <w:sz w:val="32"/>
          <w:szCs w:val="32"/>
          <w:highlight w:val="none"/>
        </w:rPr>
        <w:t>国际邮轮公司在三亚设立区域性运营基地，强化邮轮港服务功能。高标准规划建设运营南山科考港，推进港产城一体化发展。增强铁路</w:t>
      </w:r>
      <w:r>
        <w:rPr>
          <w:rFonts w:hint="eastAsia"/>
          <w:color w:val="auto"/>
          <w:sz w:val="32"/>
          <w:szCs w:val="32"/>
          <w:highlight w:val="none"/>
          <w:lang w:eastAsia="zh-CN"/>
        </w:rPr>
        <w:t>客运</w:t>
      </w:r>
      <w:r>
        <w:rPr>
          <w:rFonts w:hint="eastAsia"/>
          <w:color w:val="auto"/>
          <w:sz w:val="32"/>
          <w:szCs w:val="32"/>
          <w:highlight w:val="none"/>
        </w:rPr>
        <w:t>枢纽中转换乘功能，推进环岛高铁三亚站升级改造，增设环岛高铁海棠湾站，促进枢纽周边用地综合利用开发。</w:t>
      </w: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r>
        <w:rPr>
          <w:rFonts w:hint="eastAsia"/>
          <w:b/>
          <w:bCs/>
          <w:color w:val="auto"/>
          <w:sz w:val="32"/>
          <w:szCs w:val="32"/>
          <w:highlight w:val="none"/>
        </w:rPr>
        <w:t>完善市域综合立体交通网。</w:t>
      </w:r>
      <w:r>
        <w:rPr>
          <w:rFonts w:hint="eastAsia"/>
          <w:color w:val="auto"/>
          <w:sz w:val="32"/>
          <w:szCs w:val="32"/>
          <w:highlight w:val="none"/>
        </w:rPr>
        <w:t>畅通对外骨干通道，研究利用环岛高铁开行三亚至陵水的城际列车，适时启动三亚至陵水城际轨道交通新线建设，与三亚至乐东城际轨道形成</w:t>
      </w:r>
      <w:r>
        <w:rPr>
          <w:rFonts w:hint="eastAsia"/>
          <w:color w:val="auto"/>
          <w:sz w:val="32"/>
          <w:szCs w:val="32"/>
          <w:highlight w:val="none"/>
          <w:lang w:eastAsia="zh-CN"/>
        </w:rPr>
        <w:t>“</w:t>
      </w:r>
      <w:r>
        <w:rPr>
          <w:rFonts w:hint="eastAsia"/>
          <w:color w:val="auto"/>
          <w:sz w:val="32"/>
          <w:szCs w:val="32"/>
          <w:highlight w:val="none"/>
        </w:rPr>
        <w:t>东西贯通</w:t>
      </w:r>
      <w:r>
        <w:rPr>
          <w:rFonts w:hint="eastAsia"/>
          <w:color w:val="auto"/>
          <w:sz w:val="32"/>
          <w:szCs w:val="32"/>
          <w:highlight w:val="none"/>
          <w:lang w:eastAsia="zh-CN"/>
        </w:rPr>
        <w:t>”</w:t>
      </w:r>
      <w:r>
        <w:rPr>
          <w:rFonts w:hint="eastAsia"/>
          <w:color w:val="auto"/>
          <w:sz w:val="32"/>
          <w:szCs w:val="32"/>
          <w:highlight w:val="none"/>
        </w:rPr>
        <w:t>的城际轨道网络</w:t>
      </w:r>
      <w:r>
        <w:rPr>
          <w:rFonts w:hint="eastAsia"/>
          <w:color w:val="auto"/>
          <w:sz w:val="32"/>
          <w:szCs w:val="32"/>
          <w:highlight w:val="none"/>
          <w:lang w:val="en-US" w:eastAsia="zh-CN"/>
        </w:rPr>
        <w:t>。</w:t>
      </w:r>
      <w:r>
        <w:rPr>
          <w:rFonts w:hint="eastAsia"/>
          <w:color w:val="auto"/>
          <w:sz w:val="32"/>
          <w:szCs w:val="32"/>
          <w:highlight w:val="none"/>
        </w:rPr>
        <w:t>加快建设</w:t>
      </w:r>
      <w:r>
        <w:rPr>
          <w:rFonts w:hint="default" w:ascii="Times New Roman" w:hAnsi="Times New Roman" w:cs="Times New Roman"/>
          <w:color w:val="auto"/>
          <w:sz w:val="32"/>
          <w:szCs w:val="32"/>
          <w:highlight w:val="none"/>
        </w:rPr>
        <w:t>G98</w:t>
      </w:r>
      <w:r>
        <w:rPr>
          <w:rFonts w:hint="eastAsia"/>
          <w:color w:val="auto"/>
          <w:sz w:val="32"/>
          <w:szCs w:val="32"/>
          <w:highlight w:val="none"/>
        </w:rPr>
        <w:t>环岛高速公路</w:t>
      </w:r>
      <w:r>
        <w:rPr>
          <w:color w:val="auto"/>
          <w:sz w:val="32"/>
          <w:szCs w:val="32"/>
          <w:highlight w:val="none"/>
        </w:rPr>
        <w:t>大</w:t>
      </w:r>
      <w:r>
        <w:rPr>
          <w:rFonts w:hint="eastAsia"/>
          <w:color w:val="auto"/>
          <w:sz w:val="32"/>
          <w:szCs w:val="32"/>
          <w:highlight w:val="none"/>
        </w:rPr>
        <w:t>三亚段扩容工程</w:t>
      </w:r>
      <w:r>
        <w:rPr>
          <w:rFonts w:hint="eastAsia"/>
          <w:color w:val="auto"/>
          <w:sz w:val="32"/>
          <w:szCs w:val="32"/>
          <w:highlight w:val="none"/>
          <w:lang w:val="en-US" w:eastAsia="zh-CN"/>
        </w:rPr>
        <w:t>及吉阳、亚龙湾北、火车站、南山等四条连接线，研究</w:t>
      </w:r>
      <w:r>
        <w:rPr>
          <w:rFonts w:hint="default" w:ascii="Times New Roman" w:hAnsi="Times New Roman" w:cs="Times New Roman"/>
          <w:color w:val="auto"/>
          <w:sz w:val="32"/>
          <w:szCs w:val="32"/>
          <w:highlight w:val="none"/>
          <w:lang w:val="en-US" w:eastAsia="zh-CN"/>
        </w:rPr>
        <w:t>G98</w:t>
      </w:r>
      <w:r>
        <w:rPr>
          <w:rFonts w:hint="eastAsia"/>
          <w:color w:val="auto"/>
          <w:sz w:val="32"/>
          <w:szCs w:val="32"/>
          <w:highlight w:val="none"/>
          <w:lang w:val="en-US" w:eastAsia="zh-CN"/>
        </w:rPr>
        <w:t>环岛高速公路大三亚段扩容工程红塘湾、海棠湾、凤凰机场等三条连接线建设及</w:t>
      </w:r>
      <w:r>
        <w:rPr>
          <w:rFonts w:hint="default" w:ascii="Times New Roman" w:hAnsi="Times New Roman" w:cs="Times New Roman"/>
          <w:color w:val="auto"/>
          <w:sz w:val="32"/>
          <w:szCs w:val="32"/>
          <w:highlight w:val="none"/>
          <w:lang w:val="en-US" w:eastAsia="zh-CN"/>
        </w:rPr>
        <w:t>G98</w:t>
      </w:r>
      <w:r>
        <w:rPr>
          <w:rFonts w:hint="eastAsia"/>
          <w:color w:val="auto"/>
          <w:sz w:val="32"/>
          <w:szCs w:val="32"/>
          <w:highlight w:val="none"/>
          <w:lang w:val="en-US" w:eastAsia="zh-CN"/>
        </w:rPr>
        <w:t>环岛高速三亚绕城段快速化改造，谋划建设北横通道及北部片区路网，加快形成</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五横五纵十一联</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的市域“丰”字型快速骨干路网，逐步构建</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外联内畅、快进快出</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cs="仿宋_GB2312"/>
          <w:color w:val="auto"/>
          <w:sz w:val="32"/>
          <w:szCs w:val="32"/>
          <w:highlight w:val="none"/>
          <w:lang w:val="en-US" w:eastAsia="zh-CN"/>
        </w:rPr>
        <w:t>的路网格局</w:t>
      </w:r>
      <w:r>
        <w:rPr>
          <w:rFonts w:hint="eastAsia"/>
          <w:color w:val="auto"/>
          <w:sz w:val="32"/>
          <w:szCs w:val="32"/>
          <w:highlight w:val="none"/>
          <w:lang w:val="en-US" w:eastAsia="zh-CN"/>
        </w:rPr>
        <w:t>。</w:t>
      </w:r>
      <w:r>
        <w:rPr>
          <w:rFonts w:hint="eastAsia"/>
          <w:color w:val="auto"/>
          <w:sz w:val="32"/>
          <w:szCs w:val="32"/>
          <w:highlight w:val="none"/>
        </w:rPr>
        <w:t>因地制宜升级改造国道</w:t>
      </w:r>
      <w:r>
        <w:rPr>
          <w:rFonts w:hint="default" w:ascii="Times New Roman" w:hAnsi="Times New Roman" w:cs="Times New Roman"/>
          <w:color w:val="auto"/>
          <w:sz w:val="32"/>
          <w:szCs w:val="32"/>
          <w:highlight w:val="none"/>
        </w:rPr>
        <w:t>G223</w:t>
      </w:r>
      <w:r>
        <w:rPr>
          <w:rFonts w:hint="eastAsia"/>
          <w:color w:val="auto"/>
          <w:sz w:val="32"/>
          <w:szCs w:val="32"/>
          <w:highlight w:val="none"/>
        </w:rPr>
        <w:t>、</w:t>
      </w:r>
      <w:r>
        <w:rPr>
          <w:rFonts w:hint="default" w:ascii="Times New Roman" w:hAnsi="Times New Roman" w:cs="Times New Roman"/>
          <w:color w:val="auto"/>
          <w:sz w:val="32"/>
          <w:szCs w:val="32"/>
          <w:highlight w:val="none"/>
        </w:rPr>
        <w:t>G224</w:t>
      </w:r>
      <w:r>
        <w:rPr>
          <w:rFonts w:hint="eastAsia"/>
          <w:color w:val="auto"/>
          <w:sz w:val="32"/>
          <w:szCs w:val="32"/>
          <w:highlight w:val="none"/>
        </w:rPr>
        <w:t>、</w:t>
      </w:r>
      <w:r>
        <w:rPr>
          <w:rFonts w:hint="default" w:ascii="Times New Roman" w:hAnsi="Times New Roman" w:cs="Times New Roman"/>
          <w:color w:val="auto"/>
          <w:sz w:val="32"/>
          <w:szCs w:val="32"/>
          <w:highlight w:val="none"/>
        </w:rPr>
        <w:t>G225</w:t>
      </w:r>
      <w:r>
        <w:rPr>
          <w:rFonts w:hint="eastAsia"/>
          <w:color w:val="auto"/>
          <w:sz w:val="32"/>
          <w:szCs w:val="32"/>
          <w:highlight w:val="none"/>
        </w:rPr>
        <w:t>等部分建设较早、标准较低、路面破损严重的路段。实施新一轮农村公路提升行动，加强薄弱地区覆盖和通达保障。推进三亚天涯通用机场改扩建</w:t>
      </w:r>
      <w:r>
        <w:rPr>
          <w:rFonts w:hint="eastAsia"/>
          <w:color w:val="auto"/>
          <w:sz w:val="32"/>
          <w:szCs w:val="32"/>
          <w:highlight w:val="none"/>
          <w:lang w:eastAsia="zh-CN"/>
        </w:rPr>
        <w:t>，</w:t>
      </w:r>
      <w:r>
        <w:rPr>
          <w:rFonts w:hint="eastAsia"/>
          <w:color w:val="auto"/>
          <w:sz w:val="32"/>
          <w:szCs w:val="32"/>
          <w:highlight w:val="none"/>
          <w:lang w:val="en-US" w:eastAsia="zh-CN"/>
        </w:rPr>
        <w:t>推动</w:t>
      </w:r>
      <w:r>
        <w:rPr>
          <w:rFonts w:hint="eastAsia"/>
          <w:color w:val="auto"/>
          <w:sz w:val="32"/>
          <w:szCs w:val="32"/>
          <w:highlight w:val="none"/>
        </w:rPr>
        <w:t>开设低空货运专线，布局建设低空飞行器起降点、设置低空飞行航线、划设低空飞行空域。建设</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rPr>
        <w:t>铁水公空</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高效衔接的现代化城市综合交通体系，构建中心城区</w:t>
      </w:r>
      <w:r>
        <w:rPr>
          <w:rFonts w:hint="eastAsia" w:ascii="仿宋_GB2312" w:hAnsi="仿宋_GB2312" w:eastAsia="仿宋_GB2312" w:cs="仿宋_GB2312"/>
          <w:color w:val="auto"/>
          <w:sz w:val="32"/>
          <w:szCs w:val="32"/>
          <w:highlight w:val="none"/>
        </w:rPr>
        <w:t>“</w:t>
      </w:r>
      <w:r>
        <w:rPr>
          <w:rFonts w:hint="default" w:ascii="Times New Roman" w:hAnsi="Times New Roman" w:cs="Times New Roman"/>
          <w:color w:val="auto"/>
          <w:sz w:val="32"/>
          <w:szCs w:val="32"/>
          <w:highlight w:val="none"/>
        </w:rPr>
        <w:t>30</w:t>
      </w:r>
      <w:r>
        <w:rPr>
          <w:rFonts w:hint="eastAsia"/>
          <w:color w:val="auto"/>
          <w:sz w:val="32"/>
          <w:szCs w:val="32"/>
          <w:highlight w:val="none"/>
        </w:rPr>
        <w:t>分钟出行圈</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w:t>
      </w: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rPr>
        <w:t>提升综合运输服务品质。</w:t>
      </w:r>
      <w:r>
        <w:rPr>
          <w:rFonts w:hint="eastAsia"/>
          <w:color w:val="auto"/>
          <w:sz w:val="32"/>
          <w:szCs w:val="32"/>
          <w:highlight w:val="none"/>
        </w:rPr>
        <w:t>推动综合交通一体化发展，优化进出站和安检流程，缩短换乘距离和时间，争取实现多种交通方式间的无缝衔接。推动跨方式运输组织模式创新，</w:t>
      </w:r>
      <w:r>
        <w:rPr>
          <w:rFonts w:hint="eastAsia"/>
          <w:color w:val="auto"/>
          <w:sz w:val="32"/>
          <w:szCs w:val="32"/>
          <w:highlight w:val="none"/>
          <w:lang w:eastAsia="zh-CN"/>
        </w:rPr>
        <w:t>提高</w:t>
      </w:r>
      <w:r>
        <w:rPr>
          <w:rFonts w:hint="eastAsia"/>
          <w:color w:val="auto"/>
          <w:sz w:val="32"/>
          <w:szCs w:val="32"/>
          <w:highlight w:val="none"/>
        </w:rPr>
        <w:t>空铁联运覆盖面和服务水平。优化完善三亚</w:t>
      </w:r>
      <w:r>
        <w:rPr>
          <w:rFonts w:hint="eastAsia" w:ascii="仿宋_GB2312" w:hAnsi="仿宋_GB2312" w:cs="仿宋_GB2312"/>
          <w:color w:val="auto"/>
          <w:sz w:val="32"/>
          <w:szCs w:val="32"/>
          <w:highlight w:val="none"/>
          <w:lang w:eastAsia="zh-CN"/>
        </w:rPr>
        <w:t>—</w:t>
      </w:r>
      <w:r>
        <w:rPr>
          <w:rFonts w:hint="eastAsia"/>
          <w:color w:val="auto"/>
          <w:sz w:val="32"/>
          <w:szCs w:val="32"/>
          <w:highlight w:val="none"/>
        </w:rPr>
        <w:t>乐东旅游铁路公交化运营</w:t>
      </w:r>
      <w:r>
        <w:rPr>
          <w:rFonts w:hint="eastAsia"/>
          <w:color w:val="auto"/>
          <w:sz w:val="32"/>
          <w:szCs w:val="32"/>
          <w:highlight w:val="none"/>
          <w:lang w:eastAsia="zh-CN"/>
        </w:rPr>
        <w:t>水平</w:t>
      </w:r>
      <w:r>
        <w:rPr>
          <w:rFonts w:hint="eastAsia"/>
          <w:color w:val="auto"/>
          <w:sz w:val="32"/>
          <w:szCs w:val="32"/>
          <w:highlight w:val="none"/>
        </w:rPr>
        <w:t>，提升可持续运营能力。推动道路客运转型，</w:t>
      </w:r>
      <w:r>
        <w:rPr>
          <w:color w:val="auto"/>
          <w:sz w:val="32"/>
          <w:szCs w:val="32"/>
          <w:highlight w:val="none"/>
        </w:rPr>
        <w:t>鼓励发展旅游专线</w:t>
      </w:r>
      <w:r>
        <w:rPr>
          <w:rFonts w:hint="eastAsia"/>
          <w:color w:val="auto"/>
          <w:sz w:val="32"/>
          <w:szCs w:val="32"/>
          <w:highlight w:val="none"/>
        </w:rPr>
        <w:t>、</w:t>
      </w:r>
      <w:r>
        <w:rPr>
          <w:color w:val="auto"/>
          <w:sz w:val="32"/>
          <w:szCs w:val="32"/>
          <w:highlight w:val="none"/>
        </w:rPr>
        <w:t>商务快线等道路客运定制服务</w:t>
      </w:r>
      <w:r>
        <w:rPr>
          <w:rFonts w:hint="eastAsia"/>
          <w:color w:val="auto"/>
          <w:sz w:val="32"/>
          <w:szCs w:val="32"/>
          <w:highlight w:val="none"/>
        </w:rPr>
        <w:t>。加快推进三亚</w:t>
      </w:r>
      <w:r>
        <w:rPr>
          <w:rFonts w:hint="eastAsia"/>
          <w:color w:val="auto"/>
          <w:sz w:val="32"/>
          <w:szCs w:val="32"/>
          <w:highlight w:val="none"/>
          <w:lang w:eastAsia="zh-CN"/>
        </w:rPr>
        <w:t>市</w:t>
      </w:r>
      <w:r>
        <w:rPr>
          <w:rFonts w:hint="eastAsia"/>
          <w:color w:val="auto"/>
          <w:sz w:val="32"/>
          <w:szCs w:val="32"/>
          <w:highlight w:val="none"/>
        </w:rPr>
        <w:t>国家综合货运枢纽补链强链建设，完善物流枢纽功能布局及配套设施建设，推动多式联运发展</w:t>
      </w:r>
      <w:r>
        <w:rPr>
          <w:color w:val="auto"/>
          <w:sz w:val="32"/>
          <w:szCs w:val="32"/>
          <w:highlight w:val="none"/>
        </w:rPr>
        <w:t>，</w:t>
      </w:r>
      <w:r>
        <w:rPr>
          <w:rFonts w:hint="eastAsia"/>
          <w:color w:val="auto"/>
          <w:sz w:val="32"/>
          <w:szCs w:val="32"/>
          <w:highlight w:val="none"/>
        </w:rPr>
        <w:t>推动</w:t>
      </w:r>
      <w:r>
        <w:rPr>
          <w:color w:val="auto"/>
          <w:sz w:val="32"/>
          <w:szCs w:val="32"/>
          <w:highlight w:val="none"/>
        </w:rPr>
        <w:t>交通</w:t>
      </w:r>
      <w:r>
        <w:rPr>
          <w:rFonts w:hint="eastAsia"/>
          <w:color w:val="auto"/>
          <w:sz w:val="32"/>
          <w:szCs w:val="32"/>
          <w:highlight w:val="none"/>
        </w:rPr>
        <w:t>物流降本提质</w:t>
      </w:r>
      <w:r>
        <w:rPr>
          <w:color w:val="auto"/>
          <w:sz w:val="32"/>
          <w:szCs w:val="32"/>
          <w:highlight w:val="none"/>
        </w:rPr>
        <w:t>增效</w:t>
      </w:r>
      <w:r>
        <w:rPr>
          <w:rFonts w:hint="eastAsia"/>
          <w:color w:val="auto"/>
          <w:sz w:val="32"/>
          <w:szCs w:val="32"/>
          <w:highlight w:val="none"/>
        </w:rPr>
        <w:t>。大力推进区域冷链等专业化物流设施建设。加强对南繁种业、深海科技、跨境电商、装备制造等产业的物流服务支持力度</w:t>
      </w:r>
      <w:r>
        <w:rPr>
          <w:rFonts w:hint="eastAsia"/>
          <w:color w:val="auto"/>
          <w:sz w:val="32"/>
          <w:szCs w:val="32"/>
          <w:highlight w:val="none"/>
          <w:lang w:eastAsia="zh-CN"/>
        </w:rPr>
        <w:t>，</w:t>
      </w:r>
      <w:r>
        <w:rPr>
          <w:rFonts w:hint="eastAsia"/>
          <w:color w:val="auto"/>
          <w:sz w:val="32"/>
          <w:szCs w:val="32"/>
          <w:highlight w:val="none"/>
        </w:rPr>
        <w:t>创新城市末端无人配送模式，推广无人配送车在大型社区、商业中心等场景的应用。</w:t>
      </w:r>
    </w:p>
    <w:p>
      <w:pPr>
        <w:pStyle w:val="31"/>
        <w:keepNext w:val="0"/>
        <w:keepLines w:val="0"/>
        <w:pageBreakBefore w:val="0"/>
        <w:widowControl w:val="0"/>
        <w:kinsoku/>
        <w:wordWrap/>
        <w:overflowPunct/>
        <w:topLinePunct w:val="0"/>
        <w:autoSpaceDE/>
        <w:autoSpaceDN/>
        <w:bidi w:val="0"/>
        <w:adjustRightInd w:val="0"/>
        <w:snapToGrid w:val="0"/>
        <w:spacing w:line="550" w:lineRule="exact"/>
        <w:textAlignment w:val="auto"/>
        <w:rPr>
          <w:color w:val="auto"/>
          <w:sz w:val="32"/>
          <w:szCs w:val="32"/>
          <w:highlight w:val="none"/>
        </w:rPr>
      </w:pPr>
      <w:r>
        <w:rPr>
          <w:rFonts w:hint="eastAsia"/>
          <w:b/>
          <w:bCs/>
          <w:color w:val="auto"/>
          <w:sz w:val="32"/>
          <w:szCs w:val="32"/>
          <w:highlight w:val="none"/>
        </w:rPr>
        <w:t>打造</w:t>
      </w:r>
      <w:r>
        <w:rPr>
          <w:rFonts w:hint="eastAsia"/>
          <w:b/>
          <w:bCs/>
          <w:color w:val="auto"/>
          <w:sz w:val="32"/>
          <w:szCs w:val="32"/>
          <w:highlight w:val="none"/>
          <w:lang w:eastAsia="zh-CN"/>
        </w:rPr>
        <w:t>交旅</w:t>
      </w:r>
      <w:r>
        <w:rPr>
          <w:rFonts w:hint="eastAsia"/>
          <w:b/>
          <w:bCs/>
          <w:color w:val="auto"/>
          <w:sz w:val="32"/>
          <w:szCs w:val="32"/>
          <w:highlight w:val="none"/>
        </w:rPr>
        <w:t>融合的旅游交通网。</w:t>
      </w:r>
      <w:r>
        <w:rPr>
          <w:rFonts w:hint="eastAsia"/>
          <w:color w:val="auto"/>
          <w:sz w:val="32"/>
          <w:szCs w:val="32"/>
          <w:highlight w:val="none"/>
        </w:rPr>
        <w:t>优化升级环岛旅游公路，推进环热带雨林国家公园旅游公路</w:t>
      </w:r>
      <w:r>
        <w:rPr>
          <w:color w:val="auto"/>
          <w:sz w:val="32"/>
          <w:szCs w:val="32"/>
          <w:highlight w:val="none"/>
        </w:rPr>
        <w:t>三亚支线</w:t>
      </w:r>
      <w:r>
        <w:rPr>
          <w:rFonts w:hint="eastAsia"/>
          <w:color w:val="auto"/>
          <w:sz w:val="32"/>
          <w:szCs w:val="32"/>
          <w:highlight w:val="none"/>
        </w:rPr>
        <w:t>建设，推动直通景区景点的旅游支线、联络线等建设，提升乡村旅游公路通行能力，完善乡村旅游公路网络。结合山海林旅游资源构建特色服务区、公路驿站，打造文化旅游精品线路。优化全市游船游艇码头功能布局，提升码头设施服务能力。</w:t>
      </w:r>
    </w:p>
    <w:p>
      <w:pPr>
        <w:pStyle w:val="4"/>
        <w:keepNext w:val="0"/>
        <w:keepLines w:val="0"/>
        <w:pageBreakBefore w:val="0"/>
        <w:widowControl w:val="0"/>
        <w:shd w:val="clear"/>
        <w:kinsoku/>
        <w:wordWrap/>
        <w:overflowPunct/>
        <w:topLinePunct w:val="0"/>
        <w:autoSpaceDE/>
        <w:autoSpaceDN/>
        <w:bidi w:val="0"/>
        <w:adjustRightInd w:val="0"/>
        <w:snapToGrid w:val="0"/>
        <w:spacing w:line="550" w:lineRule="exact"/>
        <w:ind w:left="0" w:leftChars="0" w:firstLine="0" w:firstLineChars="0"/>
        <w:textAlignment w:val="auto"/>
        <w:rPr>
          <w:rFonts w:hint="eastAsia"/>
          <w:color w:val="auto"/>
          <w:sz w:val="32"/>
          <w:szCs w:val="32"/>
          <w:highlight w:val="none"/>
        </w:rPr>
      </w:pPr>
      <w:bookmarkStart w:id="623" w:name="_Toc302539734"/>
      <w:bookmarkStart w:id="624" w:name="_Toc8314"/>
      <w:bookmarkStart w:id="625" w:name="_Toc213447269"/>
      <w:bookmarkStart w:id="626" w:name="_Toc1500175858"/>
      <w:bookmarkStart w:id="627" w:name="_Toc1934955919"/>
      <w:bookmarkStart w:id="628" w:name="_Toc103143696"/>
      <w:bookmarkStart w:id="629" w:name="_Toc1760016062"/>
      <w:bookmarkStart w:id="630" w:name="_Toc1870660280"/>
      <w:bookmarkStart w:id="631" w:name="_Toc633357566"/>
      <w:bookmarkStart w:id="632" w:name="_Toc1991512690"/>
    </w:p>
    <w:p>
      <w:pPr>
        <w:pStyle w:val="4"/>
        <w:keepNext w:val="0"/>
        <w:keepLines w:val="0"/>
        <w:pageBreakBefore w:val="0"/>
        <w:widowControl w:val="0"/>
        <w:shd w:val="clear"/>
        <w:kinsoku/>
        <w:wordWrap/>
        <w:overflowPunct/>
        <w:topLinePunct w:val="0"/>
        <w:autoSpaceDE/>
        <w:autoSpaceDN/>
        <w:bidi w:val="0"/>
        <w:adjustRightInd w:val="0"/>
        <w:snapToGrid w:val="0"/>
        <w:spacing w:line="550"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第二节  加快构建新型能源体系</w:t>
      </w:r>
      <w:bookmarkEnd w:id="623"/>
      <w:bookmarkEnd w:id="624"/>
      <w:bookmarkEnd w:id="625"/>
      <w:bookmarkEnd w:id="626"/>
      <w:bookmarkEnd w:id="627"/>
      <w:bookmarkEnd w:id="628"/>
      <w:bookmarkEnd w:id="629"/>
      <w:bookmarkEnd w:id="630"/>
      <w:bookmarkEnd w:id="631"/>
      <w:bookmarkEnd w:id="632"/>
    </w:p>
    <w:p>
      <w:pPr>
        <w:pStyle w:val="31"/>
        <w:keepNext w:val="0"/>
        <w:keepLines w:val="0"/>
        <w:pageBreakBefore w:val="0"/>
        <w:widowControl w:val="0"/>
        <w:kinsoku/>
        <w:wordWrap/>
        <w:overflowPunct/>
        <w:topLinePunct w:val="0"/>
        <w:autoSpaceDE/>
        <w:autoSpaceDN/>
        <w:bidi w:val="0"/>
        <w:adjustRightInd w:val="0"/>
        <w:snapToGrid w:val="0"/>
        <w:spacing w:line="550" w:lineRule="exact"/>
        <w:textAlignment w:val="auto"/>
        <w:rPr>
          <w:rFonts w:hint="eastAsia"/>
          <w:color w:val="auto"/>
          <w:sz w:val="32"/>
          <w:szCs w:val="32"/>
          <w:highlight w:val="none"/>
        </w:rPr>
      </w:pPr>
    </w:p>
    <w:p>
      <w:pPr>
        <w:pStyle w:val="31"/>
        <w:keepNext w:val="0"/>
        <w:keepLines w:val="0"/>
        <w:pageBreakBefore w:val="0"/>
        <w:widowControl w:val="0"/>
        <w:kinsoku/>
        <w:wordWrap/>
        <w:overflowPunct/>
        <w:topLinePunct w:val="0"/>
        <w:autoSpaceDE/>
        <w:autoSpaceDN/>
        <w:bidi w:val="0"/>
        <w:adjustRightInd w:val="0"/>
        <w:snapToGrid w:val="0"/>
        <w:spacing w:line="550" w:lineRule="exact"/>
        <w:textAlignment w:val="auto"/>
        <w:rPr>
          <w:rFonts w:hint="eastAsia"/>
          <w:color w:val="auto"/>
          <w:sz w:val="32"/>
          <w:szCs w:val="32"/>
          <w:highlight w:val="none"/>
        </w:rPr>
      </w:pPr>
      <w:r>
        <w:rPr>
          <w:rFonts w:hint="eastAsia"/>
          <w:b/>
          <w:bCs/>
          <w:color w:val="auto"/>
          <w:sz w:val="32"/>
          <w:szCs w:val="32"/>
          <w:highlight w:val="none"/>
        </w:rPr>
        <w:t>构建清洁能源服务体系。</w:t>
      </w:r>
      <w:r>
        <w:rPr>
          <w:rFonts w:hint="eastAsia"/>
          <w:color w:val="auto"/>
          <w:sz w:val="32"/>
          <w:szCs w:val="32"/>
          <w:highlight w:val="none"/>
          <w:lang w:eastAsia="zh-CN"/>
        </w:rPr>
        <w:t>积极推动</w:t>
      </w:r>
      <w:r>
        <w:rPr>
          <w:rFonts w:hint="eastAsia"/>
          <w:color w:val="auto"/>
          <w:sz w:val="32"/>
          <w:szCs w:val="32"/>
          <w:highlight w:val="none"/>
        </w:rPr>
        <w:t>羊林抽水蓄能电站</w:t>
      </w:r>
      <w:r>
        <w:rPr>
          <w:rFonts w:hint="eastAsia"/>
          <w:color w:val="auto"/>
          <w:sz w:val="32"/>
          <w:szCs w:val="32"/>
          <w:highlight w:val="none"/>
          <w:lang w:eastAsia="zh-CN"/>
        </w:rPr>
        <w:t>前期工作</w:t>
      </w:r>
      <w:r>
        <w:rPr>
          <w:rFonts w:hint="eastAsia"/>
          <w:color w:val="auto"/>
          <w:sz w:val="32"/>
          <w:szCs w:val="32"/>
          <w:highlight w:val="none"/>
        </w:rPr>
        <w:t>，推进</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新能源</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储能</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、源网荷储一体化和多源互补、多能互补，支持分布式新能源合理配置储能系统。推进交通能源融合发展，在高速公路服务区、港口码头、枢纽场站等场景建设</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分布式新能源</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储能</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微电网</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智慧能源系统工程，提升就地开发利用比例，鼓励光储充换一体化开发。推进建筑光伏一体化发展，推进建筑低碳用能，建设</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光储直柔</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新型建筑。有序推进充换电、加注（气）、加氢、港口机场岸电等基础设施建设，构建</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油、电、气、氢</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综合</w:t>
      </w:r>
      <w:r>
        <w:rPr>
          <w:rFonts w:hint="eastAsia"/>
          <w:color w:val="auto"/>
          <w:sz w:val="32"/>
          <w:szCs w:val="32"/>
          <w:highlight w:val="none"/>
          <w:lang w:eastAsia="zh-CN"/>
        </w:rPr>
        <w:t>能源补给网络</w:t>
      </w:r>
      <w:r>
        <w:rPr>
          <w:rFonts w:hint="eastAsia"/>
          <w:color w:val="auto"/>
          <w:sz w:val="32"/>
          <w:szCs w:val="32"/>
          <w:highlight w:val="none"/>
        </w:rPr>
        <w:t>。</w:t>
      </w: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rPr>
        <w:t>加快智能</w:t>
      </w:r>
      <w:r>
        <w:rPr>
          <w:rFonts w:hint="eastAsia"/>
          <w:b/>
          <w:bCs/>
          <w:color w:val="auto"/>
          <w:sz w:val="32"/>
          <w:szCs w:val="32"/>
          <w:highlight w:val="none"/>
          <w:lang w:eastAsia="zh-CN"/>
        </w:rPr>
        <w:t>韧性</w:t>
      </w:r>
      <w:r>
        <w:rPr>
          <w:rFonts w:hint="eastAsia"/>
          <w:b/>
          <w:bCs/>
          <w:color w:val="auto"/>
          <w:sz w:val="32"/>
          <w:szCs w:val="32"/>
          <w:highlight w:val="none"/>
        </w:rPr>
        <w:t>电网系统建设。</w:t>
      </w:r>
      <w:r>
        <w:rPr>
          <w:rFonts w:hint="eastAsia"/>
          <w:color w:val="auto"/>
          <w:sz w:val="32"/>
          <w:szCs w:val="32"/>
          <w:highlight w:val="none"/>
        </w:rPr>
        <w:t>优化区域电力资源配置，持续提升电网对高比例新能源和新型负荷的适应与消纳能力</w:t>
      </w:r>
      <w:r>
        <w:rPr>
          <w:color w:val="auto"/>
          <w:sz w:val="32"/>
          <w:szCs w:val="32"/>
          <w:highlight w:val="none"/>
        </w:rPr>
        <w:t>，增强供电</w:t>
      </w:r>
      <w:r>
        <w:rPr>
          <w:rFonts w:hint="eastAsia"/>
          <w:color w:val="auto"/>
          <w:sz w:val="32"/>
          <w:szCs w:val="32"/>
          <w:highlight w:val="none"/>
        </w:rPr>
        <w:t>保障能力。推进智能变电站建设，提升输配电线路智能化运维水平。推进城乡配电网升级改造，完成新一轮农村电网改造升级，打造现代农村电网。推动充电基础设施与智能电网、分布式光伏、智能交通融合发展，加强电力市场建设，实施需求侧响应能力提升工程。全面建成保底电网，提升电网抗灾能力</w:t>
      </w:r>
      <w:r>
        <w:rPr>
          <w:color w:val="auto"/>
          <w:sz w:val="32"/>
          <w:szCs w:val="32"/>
          <w:highlight w:val="none"/>
        </w:rPr>
        <w:t>。</w:t>
      </w:r>
    </w:p>
    <w:p>
      <w:pPr>
        <w:pStyle w:val="31"/>
        <w:keepNext w:val="0"/>
        <w:keepLines w:val="0"/>
        <w:pageBreakBefore w:val="0"/>
        <w:widowControl w:val="0"/>
        <w:kinsoku/>
        <w:wordWrap/>
        <w:overflowPunct/>
        <w:topLinePunct w:val="0"/>
        <w:autoSpaceDE/>
        <w:autoSpaceDN/>
        <w:bidi w:val="0"/>
        <w:adjustRightInd w:val="0"/>
        <w:snapToGrid w:val="0"/>
        <w:spacing w:line="550" w:lineRule="exact"/>
        <w:textAlignment w:val="auto"/>
        <w:rPr>
          <w:color w:val="auto"/>
          <w:sz w:val="32"/>
          <w:szCs w:val="32"/>
          <w:highlight w:val="none"/>
        </w:rPr>
      </w:pPr>
      <w:r>
        <w:rPr>
          <w:rFonts w:hint="eastAsia"/>
          <w:b/>
          <w:bCs/>
          <w:color w:val="auto"/>
          <w:sz w:val="32"/>
          <w:szCs w:val="32"/>
          <w:highlight w:val="none"/>
        </w:rPr>
        <w:t>加强油气供应输配网络建设。</w:t>
      </w:r>
      <w:r>
        <w:rPr>
          <w:rFonts w:hint="eastAsia"/>
          <w:color w:val="auto"/>
          <w:sz w:val="32"/>
          <w:szCs w:val="32"/>
          <w:highlight w:val="none"/>
        </w:rPr>
        <w:t>开展环岛天然气主干管道改造升级，完善市区及周边地区天然气输配管线，进一步完善城乡燃气基础设施</w:t>
      </w:r>
      <w:r>
        <w:rPr>
          <w:rFonts w:hint="eastAsia"/>
          <w:color w:val="auto"/>
          <w:sz w:val="32"/>
          <w:szCs w:val="32"/>
          <w:highlight w:val="none"/>
          <w:lang w:eastAsia="zh-CN"/>
        </w:rPr>
        <w:t>建设</w:t>
      </w:r>
      <w:r>
        <w:rPr>
          <w:rFonts w:hint="eastAsia"/>
          <w:color w:val="auto"/>
          <w:sz w:val="32"/>
          <w:szCs w:val="32"/>
          <w:highlight w:val="none"/>
        </w:rPr>
        <w:t>，推动燃气管网由主城区向农村延伸。规范农村地区沼气利用，提高农村清洁用能水平。规范入网天然气气质，加快南山终端脱碳等设施改造。</w:t>
      </w:r>
    </w:p>
    <w:p>
      <w:pPr>
        <w:pStyle w:val="4"/>
        <w:keepNext w:val="0"/>
        <w:keepLines w:val="0"/>
        <w:pageBreakBefore w:val="0"/>
        <w:widowControl w:val="0"/>
        <w:shd w:val="clear"/>
        <w:kinsoku/>
        <w:wordWrap/>
        <w:overflowPunct/>
        <w:topLinePunct w:val="0"/>
        <w:autoSpaceDE/>
        <w:autoSpaceDN/>
        <w:bidi w:val="0"/>
        <w:adjustRightInd w:val="0"/>
        <w:snapToGrid w:val="0"/>
        <w:spacing w:line="550" w:lineRule="exact"/>
        <w:ind w:left="0" w:leftChars="0" w:firstLine="0" w:firstLineChars="0"/>
        <w:textAlignment w:val="auto"/>
        <w:rPr>
          <w:rFonts w:hint="eastAsia"/>
          <w:color w:val="auto"/>
          <w:sz w:val="32"/>
          <w:szCs w:val="32"/>
          <w:highlight w:val="none"/>
        </w:rPr>
      </w:pPr>
      <w:bookmarkStart w:id="633" w:name="_Toc80034808"/>
      <w:bookmarkStart w:id="634" w:name="_Toc1749683694"/>
      <w:bookmarkStart w:id="635" w:name="_Toc202970346"/>
      <w:bookmarkStart w:id="636" w:name="_Toc1047609279"/>
      <w:bookmarkStart w:id="637" w:name="_Toc26224"/>
      <w:bookmarkStart w:id="638" w:name="_Toc33244256"/>
      <w:bookmarkStart w:id="639" w:name="_Toc701028515"/>
      <w:bookmarkStart w:id="640" w:name="_Toc1375021119"/>
      <w:bookmarkStart w:id="641" w:name="_Toc3309"/>
      <w:bookmarkStart w:id="642" w:name="_Toc1036243893"/>
      <w:bookmarkStart w:id="643" w:name="_Toc1214991832"/>
      <w:bookmarkStart w:id="644" w:name="_Toc1159530897"/>
      <w:bookmarkStart w:id="645" w:name="_Toc213447270"/>
      <w:bookmarkStart w:id="646" w:name="_Toc211979447"/>
      <w:bookmarkStart w:id="647" w:name="_Toc27064159"/>
      <w:bookmarkStart w:id="648" w:name="_Toc190349664"/>
      <w:bookmarkStart w:id="649" w:name="_Toc969872519"/>
      <w:bookmarkStart w:id="650" w:name="_Toc298635808"/>
      <w:bookmarkStart w:id="651" w:name="_Toc2040118410"/>
      <w:bookmarkStart w:id="652" w:name="_Toc328850937"/>
    </w:p>
    <w:p>
      <w:pPr>
        <w:pStyle w:val="4"/>
        <w:keepNext w:val="0"/>
        <w:keepLines w:val="0"/>
        <w:pageBreakBefore w:val="0"/>
        <w:widowControl w:val="0"/>
        <w:shd w:val="clear"/>
        <w:kinsoku/>
        <w:wordWrap/>
        <w:overflowPunct/>
        <w:topLinePunct w:val="0"/>
        <w:autoSpaceDE/>
        <w:autoSpaceDN/>
        <w:bidi w:val="0"/>
        <w:adjustRightInd w:val="0"/>
        <w:snapToGrid w:val="0"/>
        <w:spacing w:line="550"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第三节  提升城乡水安全保障能力</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p>
    <w:p>
      <w:pPr>
        <w:pStyle w:val="31"/>
        <w:keepNext w:val="0"/>
        <w:keepLines w:val="0"/>
        <w:pageBreakBefore w:val="0"/>
        <w:widowControl w:val="0"/>
        <w:kinsoku/>
        <w:wordWrap/>
        <w:overflowPunct/>
        <w:topLinePunct w:val="0"/>
        <w:autoSpaceDE/>
        <w:autoSpaceDN/>
        <w:bidi w:val="0"/>
        <w:adjustRightInd w:val="0"/>
        <w:snapToGrid w:val="0"/>
        <w:spacing w:line="550" w:lineRule="exact"/>
        <w:textAlignment w:val="auto"/>
        <w:rPr>
          <w:rFonts w:hint="eastAsia"/>
          <w:color w:val="auto"/>
          <w:sz w:val="32"/>
          <w:szCs w:val="32"/>
          <w:highlight w:val="none"/>
        </w:rPr>
      </w:pPr>
    </w:p>
    <w:p>
      <w:pPr>
        <w:pStyle w:val="31"/>
        <w:keepNext w:val="0"/>
        <w:keepLines w:val="0"/>
        <w:pageBreakBefore w:val="0"/>
        <w:widowControl w:val="0"/>
        <w:kinsoku/>
        <w:wordWrap/>
        <w:overflowPunct/>
        <w:topLinePunct w:val="0"/>
        <w:autoSpaceDE/>
        <w:autoSpaceDN/>
        <w:bidi w:val="0"/>
        <w:adjustRightInd w:val="0"/>
        <w:snapToGrid w:val="0"/>
        <w:spacing w:line="550" w:lineRule="exact"/>
        <w:textAlignment w:val="auto"/>
        <w:rPr>
          <w:color w:val="auto"/>
          <w:sz w:val="32"/>
          <w:szCs w:val="32"/>
          <w:highlight w:val="none"/>
        </w:rPr>
      </w:pPr>
      <w:r>
        <w:rPr>
          <w:rFonts w:hint="eastAsia"/>
          <w:b/>
          <w:bCs/>
          <w:color w:val="auto"/>
          <w:sz w:val="32"/>
          <w:szCs w:val="32"/>
          <w:highlight w:val="none"/>
        </w:rPr>
        <w:t>建设安全韧性现代化水网。</w:t>
      </w:r>
      <w:r>
        <w:rPr>
          <w:rFonts w:hint="eastAsia"/>
          <w:color w:val="auto"/>
          <w:sz w:val="32"/>
          <w:szCs w:val="32"/>
          <w:highlight w:val="none"/>
        </w:rPr>
        <w:t>优化区域水资源配置，积极融入省级水网骨干布局，借力昌化江水资源配置工程</w:t>
      </w:r>
      <w:r>
        <w:rPr>
          <w:rFonts w:hint="eastAsia"/>
          <w:color w:val="auto"/>
          <w:sz w:val="32"/>
          <w:szCs w:val="32"/>
          <w:highlight w:val="none"/>
          <w:lang w:eastAsia="zh-CN"/>
        </w:rPr>
        <w:t>。</w:t>
      </w:r>
      <w:r>
        <w:rPr>
          <w:rFonts w:hint="eastAsia"/>
          <w:color w:val="auto"/>
          <w:sz w:val="32"/>
          <w:szCs w:val="32"/>
          <w:highlight w:val="none"/>
        </w:rPr>
        <w:t>用好</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外调水</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，推进新民水库、龙潭水库建设</w:t>
      </w:r>
      <w:r>
        <w:rPr>
          <w:rFonts w:hint="eastAsia"/>
          <w:color w:val="auto"/>
          <w:sz w:val="32"/>
          <w:szCs w:val="32"/>
          <w:highlight w:val="none"/>
          <w:lang w:eastAsia="zh-CN"/>
        </w:rPr>
        <w:t>。</w:t>
      </w:r>
      <w:r>
        <w:rPr>
          <w:rFonts w:hint="eastAsia"/>
          <w:color w:val="auto"/>
          <w:sz w:val="32"/>
          <w:szCs w:val="32"/>
          <w:highlight w:val="none"/>
        </w:rPr>
        <w:t>挖潜</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本地水</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全面提升三亚水资源调蓄与供给能力。推进水厂扩建、厂网互联互通、环状干管建设、老旧管网更新改造、二次供水设施改造、农村饮水巩固提升、高品质饮用水建设等，提升城乡韧性安全供水体系水平。持续推进大隆、赤田等灌区升级改造</w:t>
      </w:r>
      <w:r>
        <w:rPr>
          <w:rFonts w:hint="eastAsia"/>
          <w:color w:val="auto"/>
          <w:sz w:val="32"/>
          <w:szCs w:val="32"/>
          <w:highlight w:val="none"/>
          <w:lang w:eastAsia="zh-CN"/>
        </w:rPr>
        <w:t>，</w:t>
      </w:r>
      <w:r>
        <w:rPr>
          <w:rFonts w:hint="eastAsia"/>
          <w:color w:val="auto"/>
          <w:sz w:val="32"/>
          <w:szCs w:val="32"/>
          <w:highlight w:val="none"/>
        </w:rPr>
        <w:t>筑牢国家种业安全水利根基。加强水资源节约集约利用，实施节水行动，确保再生水回用率达到</w:t>
      </w:r>
      <w:r>
        <w:rPr>
          <w:rFonts w:hint="default" w:ascii="Times New Roman" w:hAnsi="Times New Roman" w:cs="Times New Roman"/>
          <w:color w:val="auto"/>
          <w:sz w:val="32"/>
          <w:szCs w:val="32"/>
          <w:highlight w:val="none"/>
        </w:rPr>
        <w:t>25</w:t>
      </w:r>
      <w:r>
        <w:rPr>
          <w:color w:val="auto"/>
          <w:sz w:val="32"/>
          <w:szCs w:val="32"/>
          <w:highlight w:val="none"/>
        </w:rPr>
        <w:t>%</w:t>
      </w:r>
      <w:r>
        <w:rPr>
          <w:rFonts w:hint="eastAsia"/>
          <w:color w:val="auto"/>
          <w:sz w:val="32"/>
          <w:szCs w:val="32"/>
          <w:highlight w:val="none"/>
        </w:rPr>
        <w:t>以上。</w:t>
      </w:r>
    </w:p>
    <w:p>
      <w:pPr>
        <w:pStyle w:val="31"/>
        <w:keepNext w:val="0"/>
        <w:keepLines w:val="0"/>
        <w:pageBreakBefore w:val="0"/>
        <w:widowControl w:val="0"/>
        <w:kinsoku/>
        <w:wordWrap/>
        <w:overflowPunct/>
        <w:topLinePunct w:val="0"/>
        <w:autoSpaceDE/>
        <w:autoSpaceDN/>
        <w:bidi w:val="0"/>
        <w:adjustRightInd w:val="0"/>
        <w:snapToGrid w:val="0"/>
        <w:spacing w:line="556" w:lineRule="exact"/>
        <w:textAlignment w:val="auto"/>
        <w:rPr>
          <w:color w:val="auto"/>
          <w:sz w:val="32"/>
          <w:szCs w:val="32"/>
          <w:highlight w:val="none"/>
        </w:rPr>
      </w:pPr>
      <w:r>
        <w:rPr>
          <w:rFonts w:hint="eastAsia"/>
          <w:b/>
          <w:bCs/>
          <w:color w:val="auto"/>
          <w:sz w:val="32"/>
          <w:szCs w:val="32"/>
          <w:highlight w:val="none"/>
        </w:rPr>
        <w:t>加强防洪排涝</w:t>
      </w:r>
      <w:r>
        <w:rPr>
          <w:rFonts w:hint="eastAsia"/>
          <w:b/>
          <w:bCs/>
          <w:color w:val="auto"/>
          <w:sz w:val="32"/>
          <w:szCs w:val="32"/>
          <w:highlight w:val="none"/>
          <w:lang w:eastAsia="zh-CN"/>
        </w:rPr>
        <w:t>管网和</w:t>
      </w:r>
      <w:r>
        <w:rPr>
          <w:rFonts w:hint="eastAsia"/>
          <w:b/>
          <w:bCs/>
          <w:color w:val="auto"/>
          <w:sz w:val="32"/>
          <w:szCs w:val="32"/>
          <w:highlight w:val="none"/>
        </w:rPr>
        <w:t>减灾</w:t>
      </w:r>
      <w:r>
        <w:rPr>
          <w:rFonts w:hint="eastAsia"/>
          <w:b/>
          <w:bCs/>
          <w:color w:val="auto"/>
          <w:sz w:val="32"/>
          <w:szCs w:val="32"/>
          <w:highlight w:val="none"/>
          <w:lang w:eastAsia="zh-CN"/>
        </w:rPr>
        <w:t>救灾</w:t>
      </w:r>
      <w:r>
        <w:rPr>
          <w:rFonts w:hint="eastAsia"/>
          <w:b/>
          <w:bCs/>
          <w:color w:val="auto"/>
          <w:sz w:val="32"/>
          <w:szCs w:val="32"/>
          <w:highlight w:val="none"/>
        </w:rPr>
        <w:t>体系建设。</w:t>
      </w:r>
      <w:r>
        <w:rPr>
          <w:rFonts w:hint="eastAsia"/>
          <w:color w:val="auto"/>
          <w:sz w:val="32"/>
          <w:szCs w:val="32"/>
          <w:highlight w:val="none"/>
        </w:rPr>
        <w:t>完善洪水风险防控体系，增强洪水风险防控及应急处置能力。开展三亚河、藤桥河、宁远河、大茅水等河道综合治理工程，优化防洪排泄通道，提升河道行洪能力。加强堤防、水闸、水库、山塘等水利工程设施监测评估，消除工程安全隐患</w:t>
      </w:r>
      <w:r>
        <w:rPr>
          <w:rFonts w:hint="default"/>
          <w:color w:val="auto"/>
          <w:sz w:val="32"/>
          <w:szCs w:val="32"/>
          <w:highlight w:val="none"/>
          <w:lang w:val="en-US"/>
        </w:rPr>
        <w:t>，推进中小型病险水库、水闸除险加固</w:t>
      </w:r>
      <w:r>
        <w:rPr>
          <w:rFonts w:hint="eastAsia"/>
          <w:color w:val="auto"/>
          <w:sz w:val="32"/>
          <w:szCs w:val="32"/>
          <w:highlight w:val="none"/>
        </w:rPr>
        <w:t>，完善配套管理设施，提升水库防洪防御能力。推进南丁岭、金鸡岭等山体截洪工程，提升城市山洪灾害防御能力。加强城市雨水排水设施建设管理，打造韧性安全、绿色循环、智慧高效的一流排水系统。</w:t>
      </w:r>
    </w:p>
    <w:p>
      <w:pPr>
        <w:pStyle w:val="4"/>
        <w:keepNext w:val="0"/>
        <w:keepLines w:val="0"/>
        <w:pageBreakBefore w:val="0"/>
        <w:widowControl w:val="0"/>
        <w:shd w:val="clear"/>
        <w:kinsoku/>
        <w:wordWrap/>
        <w:overflowPunct/>
        <w:topLinePunct w:val="0"/>
        <w:autoSpaceDE/>
        <w:autoSpaceDN/>
        <w:bidi w:val="0"/>
        <w:adjustRightInd w:val="0"/>
        <w:snapToGrid w:val="0"/>
        <w:spacing w:line="556" w:lineRule="exact"/>
        <w:ind w:left="0" w:leftChars="0" w:firstLine="0" w:firstLineChars="0"/>
        <w:textAlignment w:val="auto"/>
        <w:rPr>
          <w:rFonts w:hint="eastAsia"/>
          <w:color w:val="auto"/>
          <w:sz w:val="32"/>
          <w:szCs w:val="32"/>
          <w:highlight w:val="none"/>
        </w:rPr>
      </w:pPr>
      <w:bookmarkStart w:id="653" w:name="_Toc1642560821"/>
      <w:bookmarkStart w:id="654" w:name="_Toc1382057370"/>
      <w:bookmarkStart w:id="655" w:name="_Toc209220905"/>
      <w:bookmarkStart w:id="656" w:name="_Toc1607254387"/>
      <w:bookmarkStart w:id="657" w:name="_Toc20398"/>
      <w:bookmarkStart w:id="658" w:name="_Toc708949128"/>
      <w:bookmarkStart w:id="659" w:name="_Toc213447271"/>
      <w:bookmarkStart w:id="660" w:name="_Toc25086"/>
      <w:bookmarkStart w:id="661" w:name="_Toc514188474"/>
      <w:bookmarkStart w:id="662" w:name="_Toc211979448"/>
      <w:bookmarkStart w:id="663" w:name="_Toc1816798168"/>
      <w:bookmarkStart w:id="664" w:name="_Toc1556531286"/>
      <w:bookmarkStart w:id="665" w:name="_Toc1574681247"/>
      <w:bookmarkStart w:id="666" w:name="_Toc1953838125"/>
      <w:bookmarkStart w:id="667" w:name="_Toc1392657151"/>
      <w:bookmarkStart w:id="668" w:name="_Toc514529580"/>
      <w:bookmarkStart w:id="669" w:name="_Toc1022469356"/>
      <w:bookmarkStart w:id="670" w:name="_Toc202970347"/>
      <w:bookmarkStart w:id="671" w:name="_Toc575407706"/>
      <w:bookmarkStart w:id="672" w:name="_Toc2119518660"/>
    </w:p>
    <w:p>
      <w:pPr>
        <w:pStyle w:val="4"/>
        <w:keepNext w:val="0"/>
        <w:keepLines w:val="0"/>
        <w:pageBreakBefore w:val="0"/>
        <w:widowControl w:val="0"/>
        <w:shd w:val="clear"/>
        <w:kinsoku/>
        <w:wordWrap/>
        <w:overflowPunct/>
        <w:topLinePunct w:val="0"/>
        <w:autoSpaceDE/>
        <w:autoSpaceDN/>
        <w:bidi w:val="0"/>
        <w:adjustRightInd w:val="0"/>
        <w:snapToGrid w:val="0"/>
        <w:spacing w:line="556"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第四节  布局建设新型基础设施</w:t>
      </w:r>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p>
    <w:p>
      <w:pPr>
        <w:pStyle w:val="31"/>
        <w:keepNext w:val="0"/>
        <w:keepLines w:val="0"/>
        <w:pageBreakBefore w:val="0"/>
        <w:widowControl w:val="0"/>
        <w:kinsoku/>
        <w:wordWrap/>
        <w:overflowPunct/>
        <w:topLinePunct w:val="0"/>
        <w:autoSpaceDE/>
        <w:autoSpaceDN/>
        <w:bidi w:val="0"/>
        <w:adjustRightInd w:val="0"/>
        <w:snapToGrid w:val="0"/>
        <w:spacing w:line="556" w:lineRule="exact"/>
        <w:textAlignment w:val="auto"/>
        <w:rPr>
          <w:rFonts w:hint="eastAsia"/>
          <w:color w:val="auto"/>
          <w:sz w:val="32"/>
          <w:szCs w:val="32"/>
          <w:highlight w:val="none"/>
        </w:rPr>
      </w:pPr>
    </w:p>
    <w:p>
      <w:pPr>
        <w:pStyle w:val="31"/>
        <w:keepNext w:val="0"/>
        <w:keepLines w:val="0"/>
        <w:pageBreakBefore w:val="0"/>
        <w:widowControl w:val="0"/>
        <w:kinsoku/>
        <w:wordWrap/>
        <w:overflowPunct/>
        <w:topLinePunct w:val="0"/>
        <w:autoSpaceDE/>
        <w:autoSpaceDN/>
        <w:bidi w:val="0"/>
        <w:adjustRightInd w:val="0"/>
        <w:snapToGrid w:val="0"/>
        <w:spacing w:line="556" w:lineRule="exact"/>
        <w:textAlignment w:val="auto"/>
        <w:rPr>
          <w:rFonts w:hint="eastAsia"/>
          <w:color w:val="auto"/>
          <w:sz w:val="32"/>
          <w:szCs w:val="32"/>
          <w:highlight w:val="none"/>
        </w:rPr>
      </w:pPr>
      <w:r>
        <w:rPr>
          <w:rFonts w:hint="eastAsia"/>
          <w:b/>
          <w:bCs/>
          <w:color w:val="auto"/>
          <w:sz w:val="32"/>
          <w:szCs w:val="32"/>
          <w:highlight w:val="none"/>
        </w:rPr>
        <w:t>加强通信基础设施网络建设。</w:t>
      </w:r>
      <w:r>
        <w:rPr>
          <w:rFonts w:hint="eastAsia"/>
          <w:color w:val="auto"/>
          <w:sz w:val="32"/>
          <w:szCs w:val="32"/>
          <w:highlight w:val="none"/>
        </w:rPr>
        <w:t>实施信息基础设施高质量发展专项行动。提升千兆光网覆盖能力，积极开展万兆光网试点建设。有序推进</w:t>
      </w:r>
      <w:r>
        <w:rPr>
          <w:rFonts w:hint="default" w:ascii="Times New Roman" w:hAnsi="Times New Roman" w:cs="Times New Roman"/>
          <w:color w:val="auto"/>
          <w:sz w:val="32"/>
          <w:szCs w:val="32"/>
          <w:highlight w:val="none"/>
        </w:rPr>
        <w:t>5G</w:t>
      </w:r>
      <w:r>
        <w:rPr>
          <w:rFonts w:hint="eastAsia"/>
          <w:color w:val="auto"/>
          <w:sz w:val="32"/>
          <w:szCs w:val="32"/>
          <w:highlight w:val="none"/>
        </w:rPr>
        <w:t>网络向</w:t>
      </w:r>
      <w:r>
        <w:rPr>
          <w:rFonts w:hint="default" w:ascii="Times New Roman" w:hAnsi="Times New Roman" w:cs="Times New Roman"/>
          <w:color w:val="auto"/>
          <w:sz w:val="32"/>
          <w:szCs w:val="32"/>
          <w:highlight w:val="none"/>
        </w:rPr>
        <w:t>5G</w:t>
      </w:r>
      <w:r>
        <w:rPr>
          <w:rFonts w:hint="eastAsia" w:ascii="仿宋_GB2312" w:hAnsi="仿宋_GB2312" w:eastAsia="仿宋_GB2312" w:cs="仿宋_GB2312"/>
          <w:color w:val="auto"/>
          <w:sz w:val="32"/>
          <w:szCs w:val="32"/>
          <w:highlight w:val="none"/>
        </w:rPr>
        <w:t>-</w:t>
      </w:r>
      <w:r>
        <w:rPr>
          <w:rFonts w:hint="default" w:ascii="Times New Roman" w:hAnsi="Times New Roman" w:cs="Times New Roman"/>
          <w:color w:val="auto"/>
          <w:sz w:val="32"/>
          <w:szCs w:val="32"/>
          <w:highlight w:val="none"/>
        </w:rPr>
        <w:t>A</w:t>
      </w:r>
      <w:r>
        <w:rPr>
          <w:rFonts w:hint="eastAsia"/>
          <w:color w:val="auto"/>
          <w:sz w:val="32"/>
          <w:szCs w:val="32"/>
          <w:highlight w:val="none"/>
        </w:rPr>
        <w:t>升级演进。协同推进卫星通信系统与地面移动通信网络、数据中心和骨干网融合组网。深化有线电视网络整合，建设新型广播电视网络。</w:t>
      </w:r>
    </w:p>
    <w:p>
      <w:pPr>
        <w:pStyle w:val="31"/>
        <w:keepNext w:val="0"/>
        <w:keepLines w:val="0"/>
        <w:pageBreakBefore w:val="0"/>
        <w:widowControl w:val="0"/>
        <w:kinsoku/>
        <w:wordWrap/>
        <w:overflowPunct/>
        <w:topLinePunct w:val="0"/>
        <w:autoSpaceDE/>
        <w:autoSpaceDN/>
        <w:bidi w:val="0"/>
        <w:adjustRightInd w:val="0"/>
        <w:snapToGrid w:val="0"/>
        <w:spacing w:line="556" w:lineRule="exact"/>
        <w:textAlignment w:val="auto"/>
        <w:rPr>
          <w:rFonts w:hint="eastAsia"/>
          <w:color w:val="auto"/>
          <w:sz w:val="32"/>
          <w:szCs w:val="32"/>
          <w:highlight w:val="none"/>
        </w:rPr>
      </w:pPr>
      <w:r>
        <w:rPr>
          <w:rFonts w:hint="eastAsia"/>
          <w:b/>
          <w:bCs/>
          <w:color w:val="auto"/>
          <w:sz w:val="32"/>
          <w:szCs w:val="32"/>
          <w:highlight w:val="none"/>
        </w:rPr>
        <w:t>谋划建设数据基础设施。</w:t>
      </w:r>
      <w:r>
        <w:rPr>
          <w:rFonts w:hint="eastAsia"/>
          <w:color w:val="auto"/>
          <w:sz w:val="32"/>
          <w:szCs w:val="32"/>
          <w:highlight w:val="none"/>
        </w:rPr>
        <w:t>按照省级统一规划，加快通用算力、智能算力、超级算力建设布局，积极融入全岛算力</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一张网</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建设。支持开展算力租赁等服务，支持数字经济企业、科研院所、高校购买三亚算力服务。</w:t>
      </w:r>
    </w:p>
    <w:p>
      <w:pPr>
        <w:pStyle w:val="31"/>
        <w:keepNext w:val="0"/>
        <w:keepLines w:val="0"/>
        <w:pageBreakBefore w:val="0"/>
        <w:widowControl w:val="0"/>
        <w:kinsoku/>
        <w:wordWrap/>
        <w:overflowPunct/>
        <w:topLinePunct w:val="0"/>
        <w:autoSpaceDE/>
        <w:autoSpaceDN/>
        <w:bidi w:val="0"/>
        <w:adjustRightInd w:val="0"/>
        <w:snapToGrid w:val="0"/>
        <w:spacing w:line="556" w:lineRule="exact"/>
        <w:textAlignment w:val="auto"/>
        <w:rPr>
          <w:color w:val="auto"/>
          <w:sz w:val="32"/>
          <w:szCs w:val="32"/>
          <w:highlight w:val="none"/>
        </w:rPr>
      </w:pPr>
      <w:r>
        <w:rPr>
          <w:rFonts w:hint="eastAsia"/>
          <w:b/>
          <w:bCs/>
          <w:color w:val="auto"/>
          <w:sz w:val="32"/>
          <w:szCs w:val="32"/>
          <w:highlight w:val="none"/>
        </w:rPr>
        <w:t>推进传统基础设施更新和数智化改造。</w:t>
      </w:r>
      <w:r>
        <w:rPr>
          <w:rFonts w:hint="eastAsia"/>
          <w:color w:val="auto"/>
          <w:sz w:val="32"/>
          <w:szCs w:val="32"/>
          <w:highlight w:val="none"/>
        </w:rPr>
        <w:t>推动公路道路智慧扩容和数字化改造升级，提升通行效率和安全水平。加快机场、车站、码头等设备设施数字化建设、自动化改造、智能化升级，系统提升现有基础设施运行效率和服务水平。加快推进智慧城市建设，优化提升基于全面感知、智能分析、科学决策、高效协同的智慧管理与服务能力，围绕市民、游客以及企业构建本地化综合生活服务统一平台，推动智慧城市赋能城市治理</w:t>
      </w:r>
      <w:r>
        <w:rPr>
          <w:rFonts w:hint="eastAsia"/>
          <w:color w:val="auto"/>
          <w:sz w:val="32"/>
          <w:szCs w:val="32"/>
          <w:highlight w:val="none"/>
          <w:lang w:eastAsia="zh-CN"/>
        </w:rPr>
        <w:t>，深化数字政府建设，加强</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lang w:eastAsia="zh-CN"/>
        </w:rPr>
        <w:t>智慧三亚</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lang w:eastAsia="zh-CN"/>
        </w:rPr>
        <w:t>建设</w:t>
      </w:r>
      <w:r>
        <w:rPr>
          <w:rFonts w:hint="eastAsia"/>
          <w:color w:val="auto"/>
          <w:sz w:val="32"/>
          <w:szCs w:val="32"/>
          <w:highlight w:val="none"/>
        </w:rPr>
        <w:t>。开展智能网联汽车</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车路云一体化</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应用、智能网联汽车准入和上路通行</w:t>
      </w:r>
      <w:r>
        <w:rPr>
          <w:rFonts w:hint="eastAsia"/>
          <w:color w:val="auto"/>
          <w:sz w:val="32"/>
          <w:szCs w:val="32"/>
          <w:highlight w:val="none"/>
          <w:lang w:val="en-US" w:eastAsia="zh-CN"/>
        </w:rPr>
        <w:t>等</w:t>
      </w:r>
      <w:r>
        <w:rPr>
          <w:rFonts w:hint="eastAsia"/>
          <w:color w:val="auto"/>
          <w:sz w:val="32"/>
          <w:szCs w:val="32"/>
          <w:highlight w:val="none"/>
        </w:rPr>
        <w:t>试点建设。完善燃气管网、桥梁、隧道、给排水、管廊的数据底数、风险清单、监测系统，推动实现基础设施全生命周期数字化管理</w:t>
      </w:r>
      <w:r>
        <w:rPr>
          <w:rFonts w:hint="eastAsia"/>
          <w:color w:val="auto"/>
          <w:sz w:val="32"/>
          <w:szCs w:val="32"/>
          <w:highlight w:val="none"/>
          <w:lang w:eastAsia="zh-CN"/>
        </w:rPr>
        <w:t>。</w:t>
      </w:r>
    </w:p>
    <w:p>
      <w:pPr>
        <w:pStyle w:val="4"/>
        <w:keepNext w:val="0"/>
        <w:keepLines w:val="0"/>
        <w:pageBreakBefore w:val="0"/>
        <w:widowControl w:val="0"/>
        <w:shd w:val="clear"/>
        <w:kinsoku/>
        <w:wordWrap/>
        <w:overflowPunct/>
        <w:topLinePunct w:val="0"/>
        <w:autoSpaceDE/>
        <w:autoSpaceDN/>
        <w:bidi w:val="0"/>
        <w:adjustRightInd w:val="0"/>
        <w:snapToGrid w:val="0"/>
        <w:spacing w:line="556" w:lineRule="exact"/>
        <w:ind w:left="0" w:leftChars="0" w:firstLine="0" w:firstLineChars="0"/>
        <w:textAlignment w:val="auto"/>
        <w:rPr>
          <w:rFonts w:hint="eastAsia"/>
          <w:color w:val="auto"/>
          <w:sz w:val="32"/>
          <w:szCs w:val="32"/>
          <w:highlight w:val="none"/>
        </w:rPr>
      </w:pPr>
      <w:bookmarkStart w:id="673" w:name="_Toc1053408627"/>
      <w:bookmarkStart w:id="674" w:name="_Toc1175613002"/>
      <w:bookmarkStart w:id="675" w:name="_Toc2039303615"/>
      <w:bookmarkStart w:id="676" w:name="_Toc74308684"/>
      <w:bookmarkStart w:id="677" w:name="_Toc1197014422"/>
      <w:bookmarkStart w:id="678" w:name="_Toc1858088567"/>
      <w:bookmarkStart w:id="679" w:name="_Toc1944681655"/>
      <w:bookmarkStart w:id="680" w:name="_Toc7817"/>
      <w:bookmarkStart w:id="681" w:name="_Toc1539820437"/>
      <w:bookmarkStart w:id="682" w:name="_Toc213447272"/>
      <w:bookmarkStart w:id="683" w:name="_Toc1633384614"/>
      <w:bookmarkStart w:id="684" w:name="_Toc498502610"/>
      <w:bookmarkStart w:id="685" w:name="_Toc732425148"/>
      <w:bookmarkStart w:id="686" w:name="_Toc211979449"/>
      <w:bookmarkStart w:id="687" w:name="_Toc432943030"/>
      <w:bookmarkStart w:id="688" w:name="_Toc1803520116"/>
      <w:bookmarkStart w:id="689" w:name="_Toc564296400"/>
      <w:bookmarkStart w:id="690" w:name="_Toc1150273122"/>
      <w:bookmarkStart w:id="691" w:name="_Toc21596"/>
      <w:bookmarkStart w:id="692" w:name="_Toc202970348"/>
    </w:p>
    <w:p>
      <w:pPr>
        <w:pStyle w:val="4"/>
        <w:keepNext w:val="0"/>
        <w:keepLines w:val="0"/>
        <w:pageBreakBefore w:val="0"/>
        <w:widowControl w:val="0"/>
        <w:shd w:val="clear"/>
        <w:kinsoku/>
        <w:wordWrap/>
        <w:overflowPunct/>
        <w:topLinePunct w:val="0"/>
        <w:autoSpaceDE/>
        <w:autoSpaceDN/>
        <w:bidi w:val="0"/>
        <w:adjustRightInd w:val="0"/>
        <w:snapToGrid w:val="0"/>
        <w:spacing w:line="556"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第五节  提升市政基础设施服务水平</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pPr>
        <w:pStyle w:val="31"/>
        <w:keepNext w:val="0"/>
        <w:keepLines w:val="0"/>
        <w:pageBreakBefore w:val="0"/>
        <w:widowControl w:val="0"/>
        <w:kinsoku/>
        <w:wordWrap/>
        <w:overflowPunct/>
        <w:topLinePunct w:val="0"/>
        <w:autoSpaceDE/>
        <w:autoSpaceDN/>
        <w:bidi w:val="0"/>
        <w:adjustRightInd w:val="0"/>
        <w:snapToGrid w:val="0"/>
        <w:spacing w:line="556" w:lineRule="exact"/>
        <w:textAlignment w:val="auto"/>
        <w:rPr>
          <w:rFonts w:hint="eastAsia"/>
          <w:color w:val="auto"/>
          <w:sz w:val="32"/>
          <w:szCs w:val="32"/>
          <w:highlight w:val="none"/>
          <w:lang w:val="en-US" w:eastAsia="zh-CN"/>
        </w:rPr>
      </w:pPr>
    </w:p>
    <w:p>
      <w:pPr>
        <w:pStyle w:val="31"/>
        <w:keepNext w:val="0"/>
        <w:keepLines w:val="0"/>
        <w:pageBreakBefore w:val="0"/>
        <w:widowControl w:val="0"/>
        <w:kinsoku/>
        <w:wordWrap/>
        <w:overflowPunct/>
        <w:topLinePunct w:val="0"/>
        <w:autoSpaceDE/>
        <w:autoSpaceDN/>
        <w:bidi w:val="0"/>
        <w:adjustRightInd w:val="0"/>
        <w:snapToGrid w:val="0"/>
        <w:spacing w:line="556" w:lineRule="exact"/>
        <w:textAlignment w:val="auto"/>
        <w:rPr>
          <w:rFonts w:hint="eastAsia"/>
          <w:color w:val="auto"/>
          <w:sz w:val="32"/>
          <w:szCs w:val="32"/>
          <w:highlight w:val="none"/>
        </w:rPr>
      </w:pPr>
      <w:r>
        <w:rPr>
          <w:rFonts w:hint="eastAsia"/>
          <w:b/>
          <w:bCs/>
          <w:color w:val="auto"/>
          <w:sz w:val="32"/>
          <w:szCs w:val="32"/>
          <w:highlight w:val="none"/>
          <w:lang w:val="en-US" w:eastAsia="zh-CN"/>
        </w:rPr>
        <w:t>提升城市交通综合治理能力。</w:t>
      </w:r>
      <w:r>
        <w:rPr>
          <w:rFonts w:hint="eastAsia"/>
          <w:color w:val="auto"/>
          <w:sz w:val="32"/>
          <w:szCs w:val="32"/>
          <w:highlight w:val="none"/>
        </w:rPr>
        <w:t>打通中心城区堵点，研究</w:t>
      </w:r>
      <w:r>
        <w:rPr>
          <w:rFonts w:hint="eastAsia"/>
          <w:color w:val="auto"/>
          <w:sz w:val="32"/>
          <w:szCs w:val="32"/>
          <w:highlight w:val="none"/>
          <w:lang w:val="en-US" w:eastAsia="zh-CN"/>
        </w:rPr>
        <w:t>实施凤凰路、迎宾路沿线主要节点快速化改造，推动育新路上跨、海棠路南北延隧道等一系列通道建设。构建</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机非分离、人车安全</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的路网体系，完善城区人车分流慢行系统，将鹿城大道等主干道打造成为三亚中央活力景观客厅。</w:t>
      </w:r>
      <w:r>
        <w:rPr>
          <w:rFonts w:hint="eastAsia"/>
          <w:color w:val="auto"/>
          <w:sz w:val="32"/>
          <w:szCs w:val="32"/>
          <w:highlight w:val="none"/>
        </w:rPr>
        <w:t>加快畅通城市</w:t>
      </w:r>
      <w:r>
        <w:rPr>
          <w:rFonts w:hint="eastAsia"/>
          <w:color w:val="auto"/>
          <w:sz w:val="32"/>
          <w:szCs w:val="32"/>
          <w:highlight w:val="none"/>
          <w:lang w:val="en-US" w:eastAsia="zh-CN"/>
        </w:rPr>
        <w:t>交通</w:t>
      </w:r>
      <w:r>
        <w:rPr>
          <w:rFonts w:hint="eastAsia"/>
          <w:color w:val="auto"/>
          <w:sz w:val="32"/>
          <w:szCs w:val="32"/>
          <w:highlight w:val="none"/>
        </w:rPr>
        <w:t>微循环</w:t>
      </w:r>
      <w:r>
        <w:rPr>
          <w:rFonts w:hint="eastAsia"/>
          <w:color w:val="auto"/>
          <w:sz w:val="32"/>
          <w:szCs w:val="32"/>
          <w:highlight w:val="none"/>
          <w:lang w:val="en-US" w:eastAsia="zh-CN"/>
        </w:rPr>
        <w:t>。谋划推进城市轨道交通建设，创新公共交通运营管理模式，加快建设公共交通大数据平台二期工程，保障公交行驶路权，促进公交优先发展。优化公共停车场规划布局并加快建设，推进智慧停车管理平台建设，缓解景区周边交通拥堵状况。</w:t>
      </w:r>
      <w:r>
        <w:rPr>
          <w:rFonts w:hint="eastAsia"/>
          <w:color w:val="auto"/>
          <w:sz w:val="32"/>
          <w:szCs w:val="32"/>
          <w:highlight w:val="none"/>
        </w:rPr>
        <w:t>提升基础设施无障碍、适老化服务水平</w:t>
      </w:r>
      <w:r>
        <w:rPr>
          <w:rFonts w:hint="eastAsia"/>
          <w:color w:val="auto"/>
          <w:sz w:val="32"/>
          <w:szCs w:val="32"/>
          <w:highlight w:val="none"/>
          <w:lang w:val="en-US" w:eastAsia="zh-CN"/>
        </w:rPr>
        <w:t>。</w:t>
      </w:r>
    </w:p>
    <w:p>
      <w:pPr>
        <w:pStyle w:val="31"/>
        <w:keepNext w:val="0"/>
        <w:keepLines w:val="0"/>
        <w:pageBreakBefore w:val="0"/>
        <w:widowControl w:val="0"/>
        <w:kinsoku/>
        <w:wordWrap/>
        <w:overflowPunct/>
        <w:topLinePunct w:val="0"/>
        <w:autoSpaceDE/>
        <w:autoSpaceDN/>
        <w:bidi w:val="0"/>
        <w:adjustRightInd w:val="0"/>
        <w:snapToGrid w:val="0"/>
        <w:spacing w:line="556" w:lineRule="exact"/>
        <w:textAlignment w:val="auto"/>
        <w:rPr>
          <w:rFonts w:hint="eastAsia"/>
          <w:color w:val="auto"/>
          <w:sz w:val="32"/>
          <w:szCs w:val="32"/>
          <w:highlight w:val="none"/>
          <w:lang w:eastAsia="zh-CN"/>
        </w:rPr>
      </w:pPr>
      <w:r>
        <w:rPr>
          <w:rFonts w:hint="eastAsia"/>
          <w:b/>
          <w:bCs/>
          <w:color w:val="auto"/>
          <w:sz w:val="32"/>
          <w:szCs w:val="32"/>
          <w:highlight w:val="none"/>
        </w:rPr>
        <w:t>保障市政设施集约安全。</w:t>
      </w:r>
      <w:r>
        <w:rPr>
          <w:rFonts w:hint="eastAsia"/>
          <w:color w:val="auto"/>
          <w:sz w:val="32"/>
          <w:szCs w:val="32"/>
          <w:highlight w:val="none"/>
        </w:rPr>
        <w:t>合理使用城市地下空间资源，统筹安排中心城区内各类地下工程的设施布局，推进地下公共停车设施、节点型地下道路、集约型管廊等建设，优化城市燃气、饮用水和污水管网布局，完善地下市政生命线网络与地下防灾网络。加强设施平急两用，增强应急转换韧性。大力推进水、电、气直抄入户</w:t>
      </w:r>
      <w:r>
        <w:rPr>
          <w:rFonts w:hint="eastAsia"/>
          <w:color w:val="auto"/>
          <w:sz w:val="32"/>
          <w:szCs w:val="32"/>
          <w:highlight w:val="none"/>
          <w:lang w:eastAsia="zh-CN"/>
        </w:rPr>
        <w:t>。</w:t>
      </w:r>
    </w:p>
    <w:p>
      <w:pPr>
        <w:pStyle w:val="31"/>
        <w:keepNext w:val="0"/>
        <w:keepLines w:val="0"/>
        <w:pageBreakBefore w:val="0"/>
        <w:widowControl w:val="0"/>
        <w:kinsoku/>
        <w:wordWrap/>
        <w:overflowPunct/>
        <w:topLinePunct w:val="0"/>
        <w:autoSpaceDE/>
        <w:autoSpaceDN/>
        <w:bidi w:val="0"/>
        <w:adjustRightInd w:val="0"/>
        <w:snapToGrid w:val="0"/>
        <w:spacing w:after="251" w:afterLines="80" w:line="576" w:lineRule="exact"/>
        <w:textAlignment w:val="auto"/>
        <w:rPr>
          <w:rFonts w:hint="eastAsia"/>
          <w:color w:val="auto"/>
          <w:sz w:val="32"/>
          <w:szCs w:val="32"/>
          <w:highlight w:val="none"/>
        </w:rPr>
      </w:pPr>
      <w:r>
        <w:rPr>
          <w:rFonts w:hint="eastAsia"/>
          <w:b/>
          <w:bCs/>
          <w:color w:val="auto"/>
          <w:sz w:val="32"/>
          <w:szCs w:val="32"/>
          <w:highlight w:val="none"/>
        </w:rPr>
        <w:t>建设舒适宜居的</w:t>
      </w:r>
      <w:r>
        <w:rPr>
          <w:rFonts w:hint="eastAsia" w:ascii="仿宋_GB2312" w:hAnsi="仿宋_GB2312" w:eastAsia="仿宋_GB2312" w:cs="仿宋_GB2312"/>
          <w:b/>
          <w:bCs/>
          <w:color w:val="auto"/>
          <w:sz w:val="32"/>
          <w:szCs w:val="32"/>
          <w:highlight w:val="none"/>
        </w:rPr>
        <w:t>“</w:t>
      </w:r>
      <w:r>
        <w:rPr>
          <w:rFonts w:hint="eastAsia"/>
          <w:b/>
          <w:bCs/>
          <w:color w:val="auto"/>
          <w:sz w:val="32"/>
          <w:szCs w:val="32"/>
          <w:highlight w:val="none"/>
        </w:rPr>
        <w:t>清凉城市</w:t>
      </w:r>
      <w:r>
        <w:rPr>
          <w:rFonts w:hint="eastAsia" w:ascii="仿宋_GB2312" w:hAnsi="仿宋_GB2312" w:eastAsia="仿宋_GB2312" w:cs="仿宋_GB2312"/>
          <w:b/>
          <w:bCs/>
          <w:color w:val="auto"/>
          <w:sz w:val="32"/>
          <w:szCs w:val="32"/>
          <w:highlight w:val="none"/>
        </w:rPr>
        <w:t>”</w:t>
      </w:r>
      <w:r>
        <w:rPr>
          <w:rFonts w:hint="eastAsia"/>
          <w:b/>
          <w:bCs/>
          <w:color w:val="auto"/>
          <w:sz w:val="32"/>
          <w:szCs w:val="32"/>
          <w:highlight w:val="none"/>
        </w:rPr>
        <w:t>。</w:t>
      </w:r>
      <w:r>
        <w:rPr>
          <w:rFonts w:hint="eastAsia"/>
          <w:color w:val="auto"/>
          <w:sz w:val="32"/>
          <w:szCs w:val="32"/>
          <w:highlight w:val="none"/>
        </w:rPr>
        <w:t>通过腾退还绿、留白增绿、见缝插绿等城市更新手段，增加</w:t>
      </w:r>
      <w:r>
        <w:rPr>
          <w:rFonts w:hint="eastAsia"/>
          <w:color w:val="auto"/>
          <w:sz w:val="32"/>
          <w:szCs w:val="32"/>
          <w:highlight w:val="none"/>
          <w:lang w:val="en-US" w:eastAsia="zh-CN"/>
        </w:rPr>
        <w:t>小微绿地、口袋公园等</w:t>
      </w:r>
      <w:r>
        <w:rPr>
          <w:rFonts w:hint="eastAsia"/>
          <w:color w:val="auto"/>
          <w:sz w:val="32"/>
          <w:szCs w:val="32"/>
          <w:highlight w:val="none"/>
        </w:rPr>
        <w:t>公</w:t>
      </w:r>
      <w:r>
        <w:rPr>
          <w:rFonts w:hint="eastAsia"/>
          <w:color w:val="auto"/>
          <w:sz w:val="32"/>
          <w:szCs w:val="32"/>
          <w:highlight w:val="none"/>
          <w:lang w:eastAsia="zh-CN"/>
        </w:rPr>
        <w:t>园</w:t>
      </w:r>
      <w:r>
        <w:rPr>
          <w:rFonts w:hint="eastAsia"/>
          <w:color w:val="auto"/>
          <w:sz w:val="32"/>
          <w:szCs w:val="32"/>
          <w:highlight w:val="none"/>
        </w:rPr>
        <w:t>绿地</w:t>
      </w:r>
      <w:r>
        <w:rPr>
          <w:rFonts w:hint="eastAsia"/>
          <w:color w:val="auto"/>
          <w:sz w:val="32"/>
          <w:szCs w:val="32"/>
          <w:highlight w:val="none"/>
          <w:lang w:eastAsia="zh-CN"/>
        </w:rPr>
        <w:t>，</w:t>
      </w:r>
      <w:r>
        <w:rPr>
          <w:rFonts w:hint="eastAsia"/>
          <w:color w:val="auto"/>
          <w:sz w:val="32"/>
          <w:szCs w:val="32"/>
          <w:highlight w:val="none"/>
        </w:rPr>
        <w:t>提高全市公园绿地服务半径覆盖率，加强城市园林绿化管理和养护，打造城市绿肺和城市客厅。完善</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三亚绿道</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lang w:eastAsia="zh-CN"/>
        </w:rPr>
        <w:t>体系</w:t>
      </w:r>
      <w:r>
        <w:rPr>
          <w:rFonts w:hint="eastAsia"/>
          <w:color w:val="auto"/>
          <w:sz w:val="32"/>
          <w:szCs w:val="32"/>
          <w:highlight w:val="none"/>
        </w:rPr>
        <w:t>建设</w:t>
      </w:r>
      <w:r>
        <w:rPr>
          <w:color w:val="auto"/>
          <w:sz w:val="32"/>
          <w:szCs w:val="32"/>
          <w:highlight w:val="none"/>
        </w:rPr>
        <w:t>，</w:t>
      </w:r>
      <w:r>
        <w:rPr>
          <w:rFonts w:hint="eastAsia"/>
          <w:color w:val="auto"/>
          <w:sz w:val="32"/>
          <w:szCs w:val="32"/>
          <w:highlight w:val="none"/>
        </w:rPr>
        <w:t>增强慢行交通、公交站、旅游集散点等城市公共设施和区域遮阳、通风、增绿功能，在主要交通干道和旅游区打造绿色风雨连廊系统。优化城区水系网络，统筹中心城区河流串联成网。</w:t>
      </w:r>
    </w:p>
    <w:tbl>
      <w:tblPr>
        <w:tblStyle w:val="22"/>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shd w:val="clear"/>
              <w:kinsoku/>
              <w:wordWrap/>
              <w:overflowPunct/>
              <w:topLinePunct w:val="0"/>
              <w:autoSpaceDE/>
              <w:autoSpaceDN/>
              <w:bidi w:val="0"/>
              <w:spacing w:before="157" w:beforeLines="50" w:after="157" w:afterLines="50" w:line="440" w:lineRule="exact"/>
              <w:jc w:val="center"/>
              <w:textAlignment w:val="auto"/>
              <w:rPr>
                <w:rFonts w:ascii="Times New Roman" w:hAnsi="Times New Roman"/>
                <w:color w:val="auto"/>
                <w:sz w:val="28"/>
                <w:szCs w:val="28"/>
                <w:highlight w:val="none"/>
              </w:rPr>
            </w:pPr>
            <w:r>
              <w:rPr>
                <w:rFonts w:hint="eastAsia" w:ascii="Times New Roman" w:hAnsi="Times New Roman" w:eastAsia="方正黑体_GBK" w:cs="方正黑体_GBK"/>
                <w:color w:val="auto"/>
                <w:sz w:val="28"/>
                <w:szCs w:val="28"/>
                <w:highlight w:val="none"/>
              </w:rPr>
              <w:t>专栏</w:t>
            </w:r>
            <w:r>
              <w:rPr>
                <w:rFonts w:hint="default" w:ascii="Times New Roman" w:hAnsi="Times New Roman" w:eastAsia="黑体" w:cs="Times New Roman"/>
                <w:bCs/>
                <w:color w:val="auto"/>
                <w:sz w:val="28"/>
                <w:szCs w:val="28"/>
                <w:highlight w:val="none"/>
              </w:rPr>
              <w:fldChar w:fldCharType="begin"/>
            </w:r>
            <w:r>
              <w:rPr>
                <w:rFonts w:hint="default" w:ascii="Times New Roman" w:hAnsi="Times New Roman" w:eastAsia="黑体" w:cs="Times New Roman"/>
                <w:bCs/>
                <w:color w:val="auto"/>
                <w:sz w:val="28"/>
                <w:szCs w:val="28"/>
                <w:highlight w:val="none"/>
              </w:rPr>
              <w:instrText xml:space="preserve"> SEQ 表格 \* ARABIC </w:instrText>
            </w:r>
            <w:r>
              <w:rPr>
                <w:rFonts w:hint="default" w:ascii="Times New Roman" w:hAnsi="Times New Roman" w:eastAsia="黑体" w:cs="Times New Roman"/>
                <w:bCs/>
                <w:color w:val="auto"/>
                <w:sz w:val="28"/>
                <w:szCs w:val="28"/>
                <w:highlight w:val="none"/>
              </w:rPr>
              <w:fldChar w:fldCharType="separate"/>
            </w:r>
            <w:r>
              <w:rPr>
                <w:rFonts w:hint="default" w:ascii="Times New Roman" w:hAnsi="Times New Roman" w:eastAsia="黑体" w:cs="Times New Roman"/>
                <w:bCs/>
                <w:color w:val="auto"/>
                <w:sz w:val="28"/>
                <w:szCs w:val="28"/>
                <w:highlight w:val="none"/>
              </w:rPr>
              <w:t>1</w:t>
            </w:r>
            <w:r>
              <w:rPr>
                <w:rFonts w:hint="default" w:ascii="Times New Roman" w:hAnsi="Times New Roman" w:eastAsia="黑体" w:cs="Times New Roman"/>
                <w:bCs/>
                <w:color w:val="auto"/>
                <w:sz w:val="28"/>
                <w:szCs w:val="28"/>
                <w:highlight w:val="none"/>
              </w:rPr>
              <w:fldChar w:fldCharType="end"/>
            </w:r>
            <w:r>
              <w:rPr>
                <w:rFonts w:hint="default" w:ascii="Times New Roman" w:hAnsi="Times New Roman" w:eastAsia="黑体" w:cs="Times New Roman"/>
                <w:bCs/>
                <w:color w:val="auto"/>
                <w:sz w:val="28"/>
                <w:szCs w:val="28"/>
                <w:highlight w:val="none"/>
                <w:lang w:val="en-US" w:eastAsia="zh-CN"/>
              </w:rPr>
              <w:t>0</w:t>
            </w:r>
            <w:r>
              <w:rPr>
                <w:rFonts w:hint="eastAsia" w:ascii="Times New Roman" w:hAnsi="Times New Roman" w:eastAsia="方正黑体_GBK" w:cs="方正黑体_GBK"/>
                <w:color w:val="auto"/>
                <w:sz w:val="28"/>
                <w:szCs w:val="28"/>
                <w:highlight w:val="none"/>
                <w:lang w:val="en-US" w:eastAsia="zh-CN"/>
              </w:rPr>
              <w:t xml:space="preserve">  </w:t>
            </w:r>
            <w:r>
              <w:rPr>
                <w:rFonts w:hint="eastAsia" w:ascii="Times New Roman" w:hAnsi="Times New Roman" w:eastAsia="方正黑体_GBK" w:cs="方正黑体_GBK"/>
                <w:color w:val="auto"/>
                <w:sz w:val="28"/>
                <w:szCs w:val="28"/>
                <w:highlight w:val="none"/>
              </w:rPr>
              <w:t>现代化基础设施重大工程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Borders>
              <w:top w:val="single" w:color="auto" w:sz="4" w:space="0"/>
              <w:left w:val="single" w:color="auto" w:sz="4" w:space="0"/>
              <w:bottom w:val="single" w:color="auto" w:sz="4" w:space="0"/>
              <w:right w:val="single" w:color="auto" w:sz="4" w:space="0"/>
            </w:tcBorders>
            <w:vAlign w:val="top"/>
          </w:tcPr>
          <w:p>
            <w:pPr>
              <w:pStyle w:val="33"/>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440" w:lineRule="exact"/>
              <w:ind w:firstLine="562"/>
              <w:textAlignment w:val="auto"/>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1</w:t>
            </w:r>
            <w:r>
              <w:rPr>
                <w:rFonts w:hint="eastAsia" w:ascii="楷体_GB2312" w:hAnsi="楷体_GB2312" w:eastAsia="楷体_GB2312" w:cs="楷体_GB2312"/>
                <w:b/>
                <w:bCs/>
                <w:color w:val="auto"/>
                <w:highlight w:val="none"/>
                <w:lang w:eastAsia="zh-CN"/>
              </w:rPr>
              <w:t>.</w:t>
            </w:r>
            <w:r>
              <w:rPr>
                <w:rFonts w:hint="eastAsia"/>
                <w:b/>
                <w:bCs/>
                <w:color w:val="auto"/>
                <w:highlight w:val="none"/>
              </w:rPr>
              <w:t>交通基础设施建设工程。</w:t>
            </w:r>
            <w:r>
              <w:rPr>
                <w:rFonts w:hint="eastAsia"/>
                <w:color w:val="auto"/>
                <w:highlight w:val="none"/>
              </w:rPr>
              <w:t>研究启动</w:t>
            </w:r>
            <w:r>
              <w:rPr>
                <w:rFonts w:hint="default" w:ascii="Times New Roman" w:hAnsi="Times New Roman" w:cs="Times New Roman"/>
                <w:color w:val="auto"/>
                <w:highlight w:val="none"/>
              </w:rPr>
              <w:t>G98</w:t>
            </w:r>
            <w:r>
              <w:rPr>
                <w:rFonts w:hint="eastAsia"/>
                <w:color w:val="auto"/>
                <w:highlight w:val="none"/>
              </w:rPr>
              <w:t>环岛高速公路三亚段快速化改造项目</w:t>
            </w:r>
            <w:r>
              <w:rPr>
                <w:rFonts w:hint="eastAsia"/>
                <w:color w:val="auto"/>
                <w:highlight w:val="none"/>
                <w:lang w:eastAsia="zh-CN"/>
              </w:rPr>
              <w:t>，</w:t>
            </w:r>
            <w:r>
              <w:rPr>
                <w:rFonts w:hint="eastAsia"/>
                <w:color w:val="auto"/>
                <w:highlight w:val="none"/>
              </w:rPr>
              <w:t>推进三亚</w:t>
            </w:r>
            <w:r>
              <w:rPr>
                <w:rFonts w:hint="eastAsia"/>
                <w:color w:val="auto"/>
                <w:highlight w:val="none"/>
                <w:lang w:eastAsia="zh-CN"/>
              </w:rPr>
              <w:t>天涯通用</w:t>
            </w:r>
            <w:r>
              <w:rPr>
                <w:rFonts w:hint="eastAsia"/>
                <w:color w:val="auto"/>
                <w:highlight w:val="none"/>
              </w:rPr>
              <w:t>机场</w:t>
            </w:r>
            <w:r>
              <w:rPr>
                <w:rFonts w:hint="eastAsia"/>
                <w:color w:val="auto"/>
                <w:highlight w:val="none"/>
                <w:lang w:eastAsia="zh-CN"/>
              </w:rPr>
              <w:t>改扩建</w:t>
            </w:r>
            <w:r>
              <w:rPr>
                <w:rFonts w:hint="eastAsia"/>
                <w:color w:val="auto"/>
                <w:highlight w:val="none"/>
              </w:rPr>
              <w:t>工程、南山港区货运码头二期工程</w:t>
            </w:r>
            <w:r>
              <w:rPr>
                <w:rFonts w:hint="eastAsia"/>
                <w:color w:val="auto"/>
                <w:highlight w:val="none"/>
                <w:lang w:eastAsia="zh-CN"/>
              </w:rPr>
              <w:t>、</w:t>
            </w:r>
            <w:r>
              <w:rPr>
                <w:color w:val="auto"/>
                <w:highlight w:val="none"/>
              </w:rPr>
              <w:t>海南</w:t>
            </w:r>
            <w:r>
              <w:rPr>
                <w:rFonts w:hint="eastAsia"/>
                <w:color w:val="auto"/>
                <w:highlight w:val="none"/>
              </w:rPr>
              <w:t>三亚国际邮轮港</w:t>
            </w:r>
            <w:r>
              <w:rPr>
                <w:color w:val="auto"/>
                <w:highlight w:val="none"/>
              </w:rPr>
              <w:t>及联通配套</w:t>
            </w:r>
            <w:r>
              <w:rPr>
                <w:rFonts w:hint="eastAsia"/>
                <w:color w:val="auto"/>
                <w:highlight w:val="none"/>
              </w:rPr>
              <w:t>项目工程、</w:t>
            </w:r>
            <w:r>
              <w:rPr>
                <w:rFonts w:hint="eastAsia"/>
                <w:color w:val="auto"/>
                <w:highlight w:val="none"/>
                <w:lang w:eastAsia="zh-CN"/>
              </w:rPr>
              <w:t>三亚国际客运码头工程、凤凰机场天涯连接线扩容工程、</w:t>
            </w:r>
            <w:r>
              <w:rPr>
                <w:rFonts w:hint="eastAsia"/>
                <w:color w:val="auto"/>
                <w:highlight w:val="none"/>
                <w:lang w:val="en-US" w:eastAsia="zh-CN"/>
              </w:rPr>
              <w:t>国道</w:t>
            </w:r>
            <w:r>
              <w:rPr>
                <w:rFonts w:hint="default" w:ascii="Times New Roman" w:hAnsi="Times New Roman" w:cs="Times New Roman"/>
                <w:color w:val="auto"/>
                <w:highlight w:val="none"/>
                <w:lang w:val="en-US" w:eastAsia="zh-CN"/>
              </w:rPr>
              <w:t>G224</w:t>
            </w:r>
            <w:r>
              <w:rPr>
                <w:rFonts w:hint="eastAsia"/>
                <w:color w:val="auto"/>
                <w:highlight w:val="none"/>
                <w:lang w:val="en-US" w:eastAsia="zh-CN"/>
              </w:rPr>
              <w:t>迎宾互通至吉阳连接线段改扩建工程、环热带雨林国家公园旅游公路三亚支线等项目</w:t>
            </w:r>
            <w:r>
              <w:rPr>
                <w:rFonts w:hint="eastAsia"/>
                <w:color w:val="auto"/>
                <w:highlight w:val="none"/>
              </w:rPr>
              <w:t>建设</w:t>
            </w:r>
            <w:r>
              <w:rPr>
                <w:rFonts w:hint="eastAsia"/>
                <w:color w:val="auto"/>
                <w:highlight w:val="none"/>
                <w:lang w:eastAsia="zh-CN"/>
              </w:rPr>
              <w:t>。</w:t>
            </w:r>
          </w:p>
          <w:p>
            <w:pPr>
              <w:pStyle w:val="33"/>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440" w:lineRule="exact"/>
              <w:ind w:firstLine="562"/>
              <w:textAlignment w:val="auto"/>
              <w:rPr>
                <w:color w:val="auto"/>
                <w:highlight w:val="none"/>
              </w:rPr>
            </w:pPr>
            <w:r>
              <w:rPr>
                <w:rFonts w:hint="default" w:ascii="Times New Roman" w:hAnsi="Times New Roman" w:cs="Times New Roman"/>
                <w:b/>
                <w:bCs/>
                <w:color w:val="auto"/>
                <w:highlight w:val="none"/>
              </w:rPr>
              <w:t>2</w:t>
            </w:r>
            <w:r>
              <w:rPr>
                <w:rFonts w:hint="eastAsia" w:ascii="楷体_GB2312" w:hAnsi="楷体_GB2312" w:eastAsia="楷体_GB2312" w:cs="楷体_GB2312"/>
                <w:b/>
                <w:bCs/>
                <w:color w:val="auto"/>
                <w:highlight w:val="none"/>
                <w:lang w:eastAsia="zh-CN"/>
              </w:rPr>
              <w:t>.</w:t>
            </w:r>
            <w:r>
              <w:rPr>
                <w:rFonts w:hint="eastAsia"/>
                <w:b/>
                <w:bCs/>
                <w:color w:val="auto"/>
                <w:highlight w:val="none"/>
              </w:rPr>
              <w:t>能源基础设施提升工程。</w:t>
            </w:r>
            <w:r>
              <w:rPr>
                <w:rFonts w:hint="eastAsia"/>
                <w:color w:val="auto"/>
                <w:highlight w:val="none"/>
              </w:rPr>
              <w:t>推进羊林抽水蓄能电站</w:t>
            </w:r>
            <w:r>
              <w:rPr>
                <w:rFonts w:hint="eastAsia"/>
                <w:color w:val="auto"/>
                <w:highlight w:val="none"/>
                <w:lang w:val="en-US" w:eastAsia="zh-CN"/>
              </w:rPr>
              <w:t>前期工作</w:t>
            </w:r>
            <w:r>
              <w:rPr>
                <w:rFonts w:hint="eastAsia"/>
                <w:color w:val="auto"/>
                <w:highlight w:val="none"/>
              </w:rPr>
              <w:t>，</w:t>
            </w:r>
            <w:r>
              <w:rPr>
                <w:rFonts w:hint="eastAsia"/>
                <w:color w:val="auto"/>
                <w:highlight w:val="none"/>
                <w:lang w:eastAsia="zh-CN"/>
              </w:rPr>
              <w:t>推进三亚东天然气发电项目、</w:t>
            </w:r>
            <w:r>
              <w:rPr>
                <w:rFonts w:hint="eastAsia" w:ascii="Times New Roman" w:hAnsi="Times New Roman" w:eastAsia="楷体" w:cs="楷体"/>
                <w:i w:val="0"/>
                <w:caps w:val="0"/>
                <w:color w:val="auto"/>
                <w:spacing w:val="0"/>
                <w:kern w:val="2"/>
                <w:sz w:val="28"/>
                <w:szCs w:val="28"/>
                <w:highlight w:val="none"/>
                <w:shd w:val="clear"/>
                <w:lang w:val="en-US" w:eastAsia="zh-CN" w:bidi="ar"/>
              </w:rPr>
              <w:t>海南华电三亚</w:t>
            </w:r>
            <w:r>
              <w:rPr>
                <w:rFonts w:hint="default" w:ascii="Times New Roman" w:hAnsi="Times New Roman" w:eastAsia="楷体" w:cs="Times New Roman"/>
                <w:i w:val="0"/>
                <w:caps w:val="0"/>
                <w:color w:val="auto"/>
                <w:spacing w:val="0"/>
                <w:kern w:val="2"/>
                <w:sz w:val="28"/>
                <w:szCs w:val="28"/>
                <w:highlight w:val="none"/>
                <w:shd w:val="clear"/>
                <w:lang w:val="en-US" w:eastAsia="zh-CN" w:bidi="ar"/>
              </w:rPr>
              <w:t>200MW</w:t>
            </w:r>
            <w:r>
              <w:rPr>
                <w:rFonts w:hint="eastAsia" w:ascii="Times New Roman" w:hAnsi="Times New Roman" w:eastAsia="楷体" w:cs="楷体"/>
                <w:i w:val="0"/>
                <w:caps w:val="0"/>
                <w:color w:val="auto"/>
                <w:spacing w:val="0"/>
                <w:kern w:val="2"/>
                <w:sz w:val="28"/>
                <w:szCs w:val="28"/>
                <w:highlight w:val="none"/>
                <w:shd w:val="clear"/>
                <w:lang w:val="en-US" w:eastAsia="zh-CN" w:bidi="ar"/>
              </w:rPr>
              <w:t>/</w:t>
            </w:r>
            <w:r>
              <w:rPr>
                <w:rFonts w:hint="default" w:ascii="Times New Roman" w:hAnsi="Times New Roman" w:eastAsia="楷体" w:cs="Times New Roman"/>
                <w:i w:val="0"/>
                <w:caps w:val="0"/>
                <w:color w:val="auto"/>
                <w:spacing w:val="0"/>
                <w:kern w:val="2"/>
                <w:sz w:val="28"/>
                <w:szCs w:val="28"/>
                <w:highlight w:val="none"/>
                <w:shd w:val="clear"/>
                <w:lang w:val="en-US" w:eastAsia="zh-CN" w:bidi="ar"/>
              </w:rPr>
              <w:t>800MWh</w:t>
            </w:r>
            <w:r>
              <w:rPr>
                <w:rFonts w:hint="eastAsia" w:ascii="Times New Roman" w:hAnsi="Times New Roman" w:eastAsia="楷体" w:cs="楷体"/>
                <w:i w:val="0"/>
                <w:caps w:val="0"/>
                <w:color w:val="auto"/>
                <w:spacing w:val="0"/>
                <w:kern w:val="2"/>
                <w:sz w:val="28"/>
                <w:szCs w:val="28"/>
                <w:highlight w:val="none"/>
                <w:shd w:val="clear"/>
                <w:lang w:val="en-US" w:eastAsia="zh-CN" w:bidi="ar"/>
              </w:rPr>
              <w:t>独立储能项目建设。</w:t>
            </w:r>
            <w:r>
              <w:rPr>
                <w:rFonts w:hint="eastAsia"/>
                <w:color w:val="auto"/>
                <w:highlight w:val="none"/>
              </w:rPr>
              <w:t>推进城乡配电网升级改造工程、农村电网改造升级工程</w:t>
            </w:r>
            <w:r>
              <w:rPr>
                <w:rFonts w:hint="eastAsia"/>
                <w:color w:val="auto"/>
                <w:highlight w:val="none"/>
                <w:lang w:eastAsia="zh-CN"/>
              </w:rPr>
              <w:t>，</w:t>
            </w:r>
            <w:r>
              <w:rPr>
                <w:rFonts w:hint="eastAsia" w:ascii="Times New Roman" w:hAnsi="Times New Roman" w:eastAsia="楷体" w:cs="楷体"/>
                <w:i w:val="0"/>
                <w:caps w:val="0"/>
                <w:color w:val="auto"/>
                <w:spacing w:val="0"/>
                <w:kern w:val="2"/>
                <w:sz w:val="28"/>
                <w:szCs w:val="28"/>
                <w:highlight w:val="none"/>
                <w:shd w:val="clear"/>
                <w:lang w:val="en-US" w:eastAsia="zh-CN" w:bidi="ar"/>
              </w:rPr>
              <w:t>推进</w:t>
            </w:r>
            <w:r>
              <w:rPr>
                <w:rFonts w:hint="default" w:ascii="Times New Roman" w:hAnsi="Times New Roman" w:eastAsia="楷体" w:cs="Times New Roman"/>
                <w:i w:val="0"/>
                <w:caps w:val="0"/>
                <w:color w:val="auto"/>
                <w:spacing w:val="0"/>
                <w:kern w:val="2"/>
                <w:sz w:val="28"/>
                <w:szCs w:val="28"/>
                <w:highlight w:val="none"/>
                <w:shd w:val="clear"/>
                <w:lang w:val="en-US" w:eastAsia="zh-CN" w:bidi="ar"/>
              </w:rPr>
              <w:t>220</w:t>
            </w:r>
            <w:r>
              <w:rPr>
                <w:rFonts w:hint="eastAsia" w:ascii="Times New Roman" w:hAnsi="Times New Roman" w:eastAsia="楷体" w:cs="楷体"/>
                <w:i w:val="0"/>
                <w:caps w:val="0"/>
                <w:color w:val="auto"/>
                <w:spacing w:val="0"/>
                <w:kern w:val="2"/>
                <w:sz w:val="28"/>
                <w:szCs w:val="28"/>
                <w:highlight w:val="none"/>
                <w:shd w:val="clear"/>
                <w:lang w:val="en-US" w:eastAsia="zh-CN" w:bidi="ar"/>
              </w:rPr>
              <w:t>千伏海岸变电站、</w:t>
            </w:r>
            <w:r>
              <w:rPr>
                <w:rFonts w:hint="default" w:ascii="Times New Roman" w:hAnsi="Times New Roman" w:eastAsia="楷体" w:cs="Times New Roman"/>
                <w:i w:val="0"/>
                <w:caps w:val="0"/>
                <w:color w:val="auto"/>
                <w:spacing w:val="0"/>
                <w:kern w:val="2"/>
                <w:sz w:val="28"/>
                <w:szCs w:val="28"/>
                <w:highlight w:val="none"/>
                <w:shd w:val="clear"/>
                <w:lang w:val="en-US" w:eastAsia="zh-CN" w:bidi="ar"/>
              </w:rPr>
              <w:t>220</w:t>
            </w:r>
            <w:r>
              <w:rPr>
                <w:rFonts w:hint="eastAsia" w:ascii="Times New Roman" w:hAnsi="Times New Roman" w:eastAsia="楷体" w:cs="楷体"/>
                <w:i w:val="0"/>
                <w:caps w:val="0"/>
                <w:color w:val="auto"/>
                <w:spacing w:val="0"/>
                <w:kern w:val="2"/>
                <w:sz w:val="28"/>
                <w:szCs w:val="28"/>
                <w:highlight w:val="none"/>
                <w:shd w:val="clear"/>
                <w:lang w:val="en-US" w:eastAsia="zh-CN" w:bidi="ar"/>
              </w:rPr>
              <w:t>千伏崖州变电站、</w:t>
            </w:r>
            <w:r>
              <w:rPr>
                <w:rFonts w:hint="default" w:ascii="Times New Roman" w:hAnsi="Times New Roman" w:eastAsia="楷体" w:cs="Times New Roman"/>
                <w:i w:val="0"/>
                <w:caps w:val="0"/>
                <w:color w:val="auto"/>
                <w:spacing w:val="0"/>
                <w:kern w:val="2"/>
                <w:sz w:val="28"/>
                <w:szCs w:val="28"/>
                <w:highlight w:val="none"/>
                <w:shd w:val="clear"/>
                <w:lang w:val="en-US" w:eastAsia="zh-CN" w:bidi="ar"/>
              </w:rPr>
              <w:t>110</w:t>
            </w:r>
            <w:r>
              <w:rPr>
                <w:rFonts w:hint="eastAsia" w:ascii="Times New Roman" w:hAnsi="Times New Roman" w:eastAsia="楷体" w:cs="楷体"/>
                <w:i w:val="0"/>
                <w:caps w:val="0"/>
                <w:color w:val="auto"/>
                <w:spacing w:val="0"/>
                <w:kern w:val="2"/>
                <w:sz w:val="28"/>
                <w:szCs w:val="28"/>
                <w:highlight w:val="none"/>
                <w:shd w:val="clear"/>
                <w:lang w:val="en-US" w:eastAsia="zh-CN" w:bidi="ar"/>
              </w:rPr>
              <w:t>千伏万象城变电站建设</w:t>
            </w:r>
            <w:r>
              <w:rPr>
                <w:rFonts w:hint="eastAsia"/>
                <w:color w:val="auto"/>
                <w:highlight w:val="none"/>
                <w:lang w:eastAsia="zh-CN"/>
              </w:rPr>
              <w:t>。</w:t>
            </w:r>
          </w:p>
          <w:p>
            <w:pPr>
              <w:pStyle w:val="33"/>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440" w:lineRule="exact"/>
              <w:ind w:firstLine="562"/>
              <w:textAlignment w:val="auto"/>
              <w:rPr>
                <w:color w:val="auto"/>
                <w:highlight w:val="none"/>
              </w:rPr>
            </w:pPr>
            <w:r>
              <w:rPr>
                <w:rFonts w:hint="default" w:ascii="Times New Roman" w:hAnsi="Times New Roman" w:cs="Times New Roman"/>
                <w:b/>
                <w:bCs/>
                <w:color w:val="auto"/>
                <w:highlight w:val="none"/>
              </w:rPr>
              <w:t>3</w:t>
            </w:r>
            <w:r>
              <w:rPr>
                <w:rFonts w:hint="eastAsia" w:ascii="楷体_GB2312" w:hAnsi="楷体_GB2312" w:eastAsia="楷体_GB2312" w:cs="楷体_GB2312"/>
                <w:b/>
                <w:bCs/>
                <w:color w:val="auto"/>
                <w:highlight w:val="none"/>
                <w:lang w:eastAsia="zh-CN"/>
              </w:rPr>
              <w:t>.</w:t>
            </w:r>
            <w:r>
              <w:rPr>
                <w:rFonts w:hint="eastAsia"/>
                <w:b/>
                <w:bCs/>
                <w:color w:val="auto"/>
                <w:highlight w:val="none"/>
              </w:rPr>
              <w:t>城乡水安全保障能力提升工程。</w:t>
            </w:r>
            <w:r>
              <w:rPr>
                <w:rFonts w:hint="eastAsia"/>
                <w:color w:val="auto"/>
                <w:highlight w:val="none"/>
              </w:rPr>
              <w:t>推进新民水库</w:t>
            </w:r>
            <w:r>
              <w:rPr>
                <w:rFonts w:hint="eastAsia"/>
                <w:color w:val="auto"/>
                <w:highlight w:val="none"/>
                <w:lang w:eastAsia="zh-CN"/>
              </w:rPr>
              <w:t>、</w:t>
            </w:r>
            <w:r>
              <w:rPr>
                <w:rFonts w:hint="eastAsia"/>
                <w:color w:val="auto"/>
                <w:highlight w:val="none"/>
              </w:rPr>
              <w:t>龙潭水库工程建设。</w:t>
            </w:r>
            <w:r>
              <w:rPr>
                <w:rFonts w:hint="eastAsia"/>
                <w:color w:val="auto"/>
                <w:highlight w:val="none"/>
                <w:lang w:eastAsia="zh-CN"/>
              </w:rPr>
              <w:t>推进</w:t>
            </w:r>
            <w:r>
              <w:rPr>
                <w:rFonts w:hint="eastAsia"/>
                <w:color w:val="auto"/>
                <w:highlight w:val="none"/>
              </w:rPr>
              <w:t>供水保障能力提升</w:t>
            </w:r>
            <w:r>
              <w:rPr>
                <w:rFonts w:hint="eastAsia"/>
                <w:color w:val="auto"/>
                <w:highlight w:val="none"/>
                <w:lang w:eastAsia="zh-CN"/>
              </w:rPr>
              <w:t>、</w:t>
            </w:r>
            <w:r>
              <w:rPr>
                <w:rFonts w:hint="eastAsia"/>
                <w:color w:val="auto"/>
                <w:highlight w:val="none"/>
              </w:rPr>
              <w:t>供水管网更新改造、农村饮水巩固提升、</w:t>
            </w:r>
            <w:r>
              <w:rPr>
                <w:rFonts w:hint="eastAsia"/>
                <w:color w:val="auto"/>
                <w:highlight w:val="none"/>
                <w:lang w:eastAsia="zh-CN"/>
              </w:rPr>
              <w:t>高品质</w:t>
            </w:r>
            <w:r>
              <w:rPr>
                <w:rFonts w:hint="eastAsia"/>
                <w:color w:val="auto"/>
                <w:highlight w:val="none"/>
              </w:rPr>
              <w:t>饮用水供水设施改造</w:t>
            </w:r>
            <w:r>
              <w:rPr>
                <w:rFonts w:hint="eastAsia"/>
                <w:color w:val="auto"/>
                <w:highlight w:val="none"/>
                <w:lang w:eastAsia="zh-CN"/>
              </w:rPr>
              <w:t>、推进</w:t>
            </w:r>
            <w:r>
              <w:rPr>
                <w:rFonts w:hint="eastAsia"/>
                <w:color w:val="auto"/>
                <w:highlight w:val="none"/>
              </w:rPr>
              <w:t>二次供水设施</w:t>
            </w:r>
            <w:r>
              <w:rPr>
                <w:rFonts w:hint="eastAsia"/>
                <w:color w:val="auto"/>
                <w:highlight w:val="none"/>
                <w:lang w:eastAsia="zh-CN"/>
              </w:rPr>
              <w:t>移交</w:t>
            </w:r>
            <w:r>
              <w:rPr>
                <w:rFonts w:hint="eastAsia"/>
                <w:color w:val="auto"/>
                <w:highlight w:val="none"/>
              </w:rPr>
              <w:t>改造。推进灌区续建配套与现代化改造等灌区工程。开展智慧水务平台、水库河道雨水情监测预警、水库防洪防御能力提升、河道综合治理及水系连通项目。</w:t>
            </w:r>
          </w:p>
          <w:p>
            <w:pPr>
              <w:pStyle w:val="33"/>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440" w:lineRule="exact"/>
              <w:ind w:firstLine="562"/>
              <w:textAlignment w:val="auto"/>
              <w:rPr>
                <w:color w:val="auto"/>
                <w:highlight w:val="none"/>
              </w:rPr>
            </w:pPr>
            <w:r>
              <w:rPr>
                <w:rFonts w:hint="default" w:ascii="Times New Roman" w:hAnsi="Times New Roman" w:cs="Times New Roman"/>
                <w:b/>
                <w:bCs/>
                <w:color w:val="auto"/>
                <w:highlight w:val="none"/>
              </w:rPr>
              <w:t>4</w:t>
            </w:r>
            <w:r>
              <w:rPr>
                <w:rFonts w:hint="eastAsia" w:ascii="楷体_GB2312" w:hAnsi="楷体_GB2312" w:eastAsia="楷体_GB2312" w:cs="楷体_GB2312"/>
                <w:b/>
                <w:bCs/>
                <w:color w:val="auto"/>
                <w:highlight w:val="none"/>
                <w:lang w:eastAsia="zh-CN"/>
              </w:rPr>
              <w:t>.</w:t>
            </w:r>
            <w:r>
              <w:rPr>
                <w:rFonts w:hint="eastAsia"/>
                <w:b/>
                <w:bCs/>
                <w:color w:val="auto"/>
                <w:highlight w:val="none"/>
              </w:rPr>
              <w:t>新型基础设施建设工程。</w:t>
            </w:r>
            <w:r>
              <w:rPr>
                <w:rFonts w:hint="eastAsia"/>
                <w:color w:val="auto"/>
                <w:highlight w:val="none"/>
              </w:rPr>
              <w:t>实施</w:t>
            </w:r>
            <w:r>
              <w:rPr>
                <w:rFonts w:hint="default" w:ascii="Times New Roman" w:hAnsi="Times New Roman" w:cs="Times New Roman"/>
                <w:color w:val="auto"/>
                <w:highlight w:val="none"/>
              </w:rPr>
              <w:t>5G</w:t>
            </w:r>
            <w:r>
              <w:rPr>
                <w:rFonts w:hint="eastAsia" w:ascii="仿宋_GB2312" w:hAnsi="仿宋_GB2312" w:eastAsia="仿宋_GB2312" w:cs="仿宋_GB2312"/>
                <w:color w:val="auto"/>
                <w:highlight w:val="none"/>
              </w:rPr>
              <w:t>-</w:t>
            </w:r>
            <w:r>
              <w:rPr>
                <w:rFonts w:hint="default" w:ascii="Times New Roman" w:hAnsi="Times New Roman" w:cs="Times New Roman"/>
                <w:color w:val="auto"/>
                <w:highlight w:val="none"/>
              </w:rPr>
              <w:t>A</w:t>
            </w:r>
            <w:r>
              <w:rPr>
                <w:rFonts w:hint="eastAsia"/>
                <w:color w:val="auto"/>
                <w:highlight w:val="none"/>
              </w:rPr>
              <w:t>热点区域覆盖工程</w:t>
            </w:r>
            <w:r>
              <w:rPr>
                <w:rFonts w:hint="eastAsia"/>
                <w:color w:val="auto"/>
                <w:highlight w:val="none"/>
                <w:lang w:eastAsia="zh-CN"/>
              </w:rPr>
              <w:t>，</w:t>
            </w:r>
            <w:r>
              <w:rPr>
                <w:rFonts w:hint="eastAsia"/>
                <w:color w:val="auto"/>
                <w:highlight w:val="none"/>
              </w:rPr>
              <w:t>推进三亚市城市基础设施生命线安全工程。</w:t>
            </w:r>
            <w:r>
              <w:rPr>
                <w:rFonts w:hint="eastAsia" w:ascii="Times New Roman" w:hAnsi="Times New Roman" w:eastAsia="楷体"/>
                <w:color w:val="auto"/>
                <w:sz w:val="28"/>
                <w:highlight w:val="none"/>
              </w:rPr>
              <w:t>加快推进三亚市数字城市基础设施建设项目</w:t>
            </w:r>
            <w:r>
              <w:rPr>
                <w:rFonts w:hint="eastAsia"/>
                <w:color w:val="auto"/>
                <w:highlight w:val="none"/>
              </w:rPr>
              <w:t>，在崖州湾科技城高新区开展自动驾驶示范运营。</w:t>
            </w:r>
          </w:p>
        </w:tc>
      </w:tr>
    </w:tbl>
    <w:p>
      <w:pPr>
        <w:pStyle w:val="31"/>
        <w:pageBreakBefore w:val="0"/>
        <w:widowControl w:val="0"/>
        <w:kinsoku/>
        <w:wordWrap/>
        <w:overflowPunct/>
        <w:topLinePunct w:val="0"/>
        <w:autoSpaceDE/>
        <w:autoSpaceDN/>
        <w:bidi w:val="0"/>
        <w:adjustRightInd w:val="0"/>
        <w:snapToGrid w:val="0"/>
        <w:spacing w:line="556" w:lineRule="exact"/>
        <w:textAlignment w:val="auto"/>
        <w:rPr>
          <w:rFonts w:hint="eastAsia"/>
          <w:color w:val="auto"/>
          <w:sz w:val="32"/>
          <w:szCs w:val="32"/>
          <w:highlight w:val="none"/>
        </w:rPr>
      </w:pPr>
      <w:bookmarkStart w:id="693" w:name="_Toc213447273"/>
      <w:bookmarkStart w:id="694" w:name="_Toc52601058"/>
      <w:bookmarkStart w:id="695" w:name="_Toc491880783"/>
      <w:bookmarkStart w:id="696" w:name="_Toc1742918838"/>
      <w:bookmarkStart w:id="697" w:name="_Toc1996819056"/>
    </w:p>
    <w:p>
      <w:pPr>
        <w:pStyle w:val="31"/>
        <w:pageBreakBefore w:val="0"/>
        <w:widowControl w:val="0"/>
        <w:kinsoku/>
        <w:wordWrap/>
        <w:overflowPunct/>
        <w:topLinePunct w:val="0"/>
        <w:autoSpaceDE/>
        <w:autoSpaceDN/>
        <w:bidi w:val="0"/>
        <w:adjustRightInd w:val="0"/>
        <w:snapToGrid w:val="0"/>
        <w:spacing w:line="556" w:lineRule="exact"/>
        <w:textAlignment w:val="auto"/>
        <w:rPr>
          <w:rFonts w:hint="eastAsia"/>
          <w:color w:val="auto"/>
          <w:sz w:val="32"/>
          <w:szCs w:val="32"/>
          <w:highlight w:val="none"/>
        </w:rPr>
      </w:pPr>
    </w:p>
    <w:p>
      <w:pPr>
        <w:pStyle w:val="3"/>
        <w:pageBreakBefore w:val="0"/>
        <w:widowControl w:val="0"/>
        <w:shd w:val="clear"/>
        <w:kinsoku/>
        <w:wordWrap/>
        <w:overflowPunct/>
        <w:topLinePunct w:val="0"/>
        <w:autoSpaceDE/>
        <w:autoSpaceDN/>
        <w:bidi w:val="0"/>
        <w:adjustRightInd w:val="0"/>
        <w:snapToGrid w:val="0"/>
        <w:spacing w:line="556" w:lineRule="exact"/>
        <w:textAlignment w:val="auto"/>
        <w:rPr>
          <w:rFonts w:hint="eastAsia" w:ascii="方正小标宋简体" w:hAnsi="方正小标宋简体" w:eastAsia="方正小标宋简体" w:cs="方正小标宋简体"/>
          <w:color w:val="auto"/>
          <w:sz w:val="40"/>
          <w:szCs w:val="40"/>
          <w:highlight w:val="none"/>
        </w:rPr>
      </w:pPr>
      <w:bookmarkStart w:id="698" w:name="_Toc1252131919"/>
      <w:bookmarkStart w:id="699" w:name="_Toc1032310272"/>
      <w:bookmarkStart w:id="700" w:name="_Toc7784"/>
      <w:bookmarkStart w:id="701" w:name="_Toc752769845"/>
      <w:bookmarkStart w:id="702" w:name="_Toc1750730807"/>
      <w:r>
        <w:rPr>
          <w:rFonts w:hint="eastAsia" w:ascii="方正小标宋简体" w:hAnsi="方正小标宋简体" w:eastAsia="方正小标宋简体" w:cs="方正小标宋简体"/>
          <w:color w:val="auto"/>
          <w:sz w:val="40"/>
          <w:szCs w:val="40"/>
          <w:highlight w:val="none"/>
        </w:rPr>
        <w:t xml:space="preserve">第十章  </w:t>
      </w:r>
      <w:r>
        <w:rPr>
          <w:rFonts w:hint="eastAsia" w:ascii="方正小标宋简体" w:hAnsi="方正小标宋简体" w:eastAsia="方正小标宋简体" w:cs="方正小标宋简体"/>
          <w:color w:val="auto"/>
          <w:kern w:val="44"/>
          <w:sz w:val="40"/>
          <w:szCs w:val="40"/>
          <w:highlight w:val="none"/>
          <w:lang w:val="en-US" w:eastAsia="zh-CN"/>
        </w:rPr>
        <w:t>加快</w:t>
      </w:r>
      <w:r>
        <w:rPr>
          <w:rFonts w:hint="eastAsia" w:ascii="方正小标宋简体" w:hAnsi="方正小标宋简体" w:eastAsia="方正小标宋简体" w:cs="方正小标宋简体"/>
          <w:color w:val="auto"/>
          <w:kern w:val="44"/>
          <w:sz w:val="40"/>
          <w:szCs w:val="40"/>
          <w:highlight w:val="none"/>
        </w:rPr>
        <w:t>区域协调发展</w:t>
      </w:r>
      <w:bookmarkEnd w:id="594"/>
      <w:bookmarkEnd w:id="595"/>
      <w:bookmarkEnd w:id="693"/>
      <w:bookmarkEnd w:id="694"/>
      <w:bookmarkEnd w:id="695"/>
      <w:bookmarkEnd w:id="696"/>
      <w:bookmarkEnd w:id="697"/>
      <w:bookmarkEnd w:id="698"/>
      <w:bookmarkEnd w:id="699"/>
      <w:bookmarkEnd w:id="700"/>
      <w:bookmarkEnd w:id="701"/>
      <w:bookmarkEnd w:id="702"/>
    </w:p>
    <w:p>
      <w:pPr>
        <w:pStyle w:val="31"/>
        <w:pageBreakBefore w:val="0"/>
        <w:widowControl w:val="0"/>
        <w:shd w:val="clear"/>
        <w:kinsoku/>
        <w:wordWrap/>
        <w:overflowPunct/>
        <w:topLinePunct w:val="0"/>
        <w:autoSpaceDE/>
        <w:autoSpaceDN/>
        <w:bidi w:val="0"/>
        <w:adjustRightInd w:val="0"/>
        <w:snapToGrid w:val="0"/>
        <w:spacing w:line="556" w:lineRule="exact"/>
        <w:textAlignment w:val="auto"/>
        <w:rPr>
          <w:rFonts w:hint="eastAsia"/>
          <w:color w:val="auto"/>
          <w:sz w:val="32"/>
          <w:szCs w:val="32"/>
          <w:highlight w:val="none"/>
        </w:rPr>
      </w:pPr>
    </w:p>
    <w:p>
      <w:pPr>
        <w:pStyle w:val="31"/>
        <w:pageBreakBefore w:val="0"/>
        <w:widowControl w:val="0"/>
        <w:shd w:val="clear"/>
        <w:kinsoku/>
        <w:wordWrap/>
        <w:overflowPunct/>
        <w:topLinePunct w:val="0"/>
        <w:autoSpaceDE/>
        <w:autoSpaceDN/>
        <w:bidi w:val="0"/>
        <w:adjustRightInd w:val="0"/>
        <w:snapToGrid w:val="0"/>
        <w:spacing w:line="556" w:lineRule="exact"/>
        <w:textAlignment w:val="auto"/>
        <w:rPr>
          <w:rFonts w:hint="eastAsia"/>
          <w:color w:val="auto"/>
          <w:sz w:val="32"/>
          <w:szCs w:val="32"/>
          <w:highlight w:val="none"/>
        </w:rPr>
      </w:pPr>
    </w:p>
    <w:p>
      <w:pPr>
        <w:pStyle w:val="31"/>
        <w:pageBreakBefore w:val="0"/>
        <w:widowControl w:val="0"/>
        <w:shd w:val="clear"/>
        <w:kinsoku/>
        <w:wordWrap/>
        <w:overflowPunct/>
        <w:topLinePunct w:val="0"/>
        <w:autoSpaceDE/>
        <w:autoSpaceDN/>
        <w:bidi w:val="0"/>
        <w:adjustRightInd w:val="0"/>
        <w:snapToGrid w:val="0"/>
        <w:spacing w:line="556" w:lineRule="exact"/>
        <w:textAlignment w:val="auto"/>
        <w:rPr>
          <w:rFonts w:hint="eastAsia"/>
          <w:color w:val="auto"/>
          <w:sz w:val="32"/>
          <w:szCs w:val="32"/>
          <w:highlight w:val="none"/>
        </w:rPr>
      </w:pPr>
      <w:r>
        <w:rPr>
          <w:rFonts w:hint="eastAsia"/>
          <w:color w:val="auto"/>
          <w:sz w:val="32"/>
          <w:szCs w:val="32"/>
          <w:highlight w:val="none"/>
        </w:rPr>
        <w:t>坚持陆海统筹、山海联动、资源融通，全面优化城镇空间布局，推进以人为本的新型城镇化，加快三亚经济圈一体化高质量发展，打造创新、宜居、智慧、人文、韧性、美丽城市。</w:t>
      </w:r>
    </w:p>
    <w:p>
      <w:pPr>
        <w:pStyle w:val="4"/>
        <w:pageBreakBefore w:val="0"/>
        <w:widowControl w:val="0"/>
        <w:shd w:val="clear"/>
        <w:kinsoku/>
        <w:wordWrap/>
        <w:overflowPunct/>
        <w:topLinePunct w:val="0"/>
        <w:autoSpaceDE/>
        <w:autoSpaceDN/>
        <w:bidi w:val="0"/>
        <w:adjustRightInd w:val="0"/>
        <w:snapToGrid w:val="0"/>
        <w:spacing w:line="556" w:lineRule="exact"/>
        <w:ind w:left="0" w:leftChars="0" w:firstLine="0" w:firstLineChars="0"/>
        <w:textAlignment w:val="auto"/>
        <w:rPr>
          <w:rFonts w:hint="eastAsia"/>
          <w:color w:val="auto"/>
          <w:sz w:val="32"/>
          <w:szCs w:val="32"/>
          <w:highlight w:val="none"/>
        </w:rPr>
      </w:pPr>
      <w:bookmarkStart w:id="703" w:name="_Toc1582944107"/>
      <w:bookmarkStart w:id="704" w:name="_Toc213447274"/>
      <w:bookmarkStart w:id="705" w:name="_Toc29929"/>
      <w:bookmarkStart w:id="706" w:name="_Toc882989845"/>
      <w:bookmarkStart w:id="707" w:name="_Toc316476139"/>
      <w:bookmarkStart w:id="708" w:name="_Toc321180404"/>
      <w:bookmarkStart w:id="709" w:name="_Toc459390221"/>
      <w:bookmarkStart w:id="710" w:name="_Toc830484165"/>
      <w:bookmarkStart w:id="711" w:name="_Toc1968430560"/>
      <w:bookmarkStart w:id="712" w:name="_Toc1559125309"/>
    </w:p>
    <w:p>
      <w:pPr>
        <w:pStyle w:val="4"/>
        <w:pageBreakBefore w:val="0"/>
        <w:widowControl w:val="0"/>
        <w:shd w:val="clear"/>
        <w:kinsoku/>
        <w:wordWrap/>
        <w:overflowPunct/>
        <w:topLinePunct w:val="0"/>
        <w:autoSpaceDE/>
        <w:autoSpaceDN/>
        <w:bidi w:val="0"/>
        <w:adjustRightInd w:val="0"/>
        <w:snapToGrid w:val="0"/>
        <w:spacing w:line="556"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第一节  优化市域城镇空间布局</w:t>
      </w:r>
      <w:bookmarkEnd w:id="703"/>
      <w:bookmarkEnd w:id="704"/>
      <w:bookmarkEnd w:id="705"/>
      <w:bookmarkEnd w:id="706"/>
      <w:bookmarkEnd w:id="707"/>
      <w:bookmarkEnd w:id="708"/>
      <w:bookmarkEnd w:id="709"/>
      <w:bookmarkEnd w:id="710"/>
      <w:bookmarkEnd w:id="711"/>
      <w:bookmarkEnd w:id="712"/>
    </w:p>
    <w:p>
      <w:pPr>
        <w:pStyle w:val="31"/>
        <w:pageBreakBefore w:val="0"/>
        <w:widowControl w:val="0"/>
        <w:kinsoku/>
        <w:wordWrap/>
        <w:overflowPunct/>
        <w:topLinePunct w:val="0"/>
        <w:autoSpaceDE/>
        <w:autoSpaceDN/>
        <w:bidi w:val="0"/>
        <w:adjustRightInd w:val="0"/>
        <w:snapToGrid w:val="0"/>
        <w:spacing w:line="556" w:lineRule="exact"/>
        <w:textAlignment w:val="auto"/>
        <w:rPr>
          <w:rFonts w:hint="eastAsia"/>
          <w:color w:val="auto"/>
          <w:sz w:val="32"/>
          <w:szCs w:val="32"/>
          <w:highlight w:val="none"/>
        </w:rPr>
      </w:pPr>
    </w:p>
    <w:p>
      <w:pPr>
        <w:pStyle w:val="31"/>
        <w:pageBreakBefore w:val="0"/>
        <w:widowControl w:val="0"/>
        <w:kinsoku/>
        <w:wordWrap/>
        <w:overflowPunct/>
        <w:topLinePunct w:val="0"/>
        <w:autoSpaceDE/>
        <w:autoSpaceDN/>
        <w:bidi w:val="0"/>
        <w:adjustRightInd w:val="0"/>
        <w:snapToGrid w:val="0"/>
        <w:spacing w:line="556" w:lineRule="exact"/>
        <w:textAlignment w:val="auto"/>
        <w:rPr>
          <w:rFonts w:hint="eastAsia"/>
          <w:color w:val="auto"/>
          <w:sz w:val="32"/>
          <w:szCs w:val="32"/>
          <w:highlight w:val="none"/>
          <w:lang w:eastAsia="zh-CN"/>
        </w:rPr>
      </w:pPr>
      <w:r>
        <w:rPr>
          <w:rFonts w:hint="eastAsia"/>
          <w:b/>
          <w:bCs/>
          <w:color w:val="auto"/>
          <w:sz w:val="32"/>
          <w:szCs w:val="32"/>
          <w:highlight w:val="none"/>
        </w:rPr>
        <w:t>构筑产城融合的城镇空间格局。</w:t>
      </w:r>
      <w:r>
        <w:rPr>
          <w:rFonts w:hint="eastAsia"/>
          <w:color w:val="auto"/>
          <w:sz w:val="32"/>
          <w:szCs w:val="32"/>
          <w:highlight w:val="none"/>
          <w:lang w:eastAsia="zh-CN"/>
        </w:rPr>
        <w:t>按照</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东精、南联、西拓、北抬、中优</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空间发展战略，统筹全市陆海功能布局、设施建设和资源配置。做优中心城</w:t>
      </w:r>
      <w:r>
        <w:rPr>
          <w:rFonts w:hint="eastAsia"/>
          <w:color w:val="auto"/>
          <w:sz w:val="32"/>
          <w:szCs w:val="32"/>
          <w:highlight w:val="none"/>
          <w:lang w:eastAsia="zh-CN"/>
        </w:rPr>
        <w:t>区</w:t>
      </w:r>
      <w:r>
        <w:rPr>
          <w:rFonts w:hint="eastAsia"/>
          <w:color w:val="auto"/>
          <w:sz w:val="32"/>
          <w:szCs w:val="32"/>
          <w:highlight w:val="none"/>
        </w:rPr>
        <w:t>，推动</w:t>
      </w:r>
      <w:r>
        <w:rPr>
          <w:rFonts w:hint="eastAsia"/>
          <w:color w:val="auto"/>
          <w:sz w:val="32"/>
          <w:szCs w:val="32"/>
          <w:highlight w:val="none"/>
          <w:lang w:eastAsia="zh-CN"/>
        </w:rPr>
        <w:t>天涯、吉阳</w:t>
      </w:r>
      <w:r>
        <w:rPr>
          <w:rFonts w:hint="eastAsia"/>
          <w:color w:val="auto"/>
          <w:sz w:val="32"/>
          <w:szCs w:val="32"/>
          <w:highlight w:val="none"/>
        </w:rPr>
        <w:t>老旧城区产业转型与空间环境品质提质升级，谋划推进交产城融合发展新区建设，统筹人口疏解和功能优化布局。做精国际旅游消费</w:t>
      </w:r>
      <w:r>
        <w:rPr>
          <w:rFonts w:hint="eastAsia"/>
          <w:color w:val="auto"/>
          <w:sz w:val="32"/>
          <w:szCs w:val="32"/>
          <w:highlight w:val="none"/>
          <w:lang w:eastAsia="zh-CN"/>
        </w:rPr>
        <w:t>中心核心区</w:t>
      </w:r>
      <w:r>
        <w:rPr>
          <w:rFonts w:hint="eastAsia"/>
          <w:color w:val="auto"/>
          <w:sz w:val="32"/>
          <w:szCs w:val="32"/>
          <w:highlight w:val="none"/>
        </w:rPr>
        <w:t>，</w:t>
      </w:r>
      <w:r>
        <w:rPr>
          <w:rFonts w:hint="eastAsia"/>
          <w:color w:val="auto"/>
          <w:sz w:val="32"/>
          <w:szCs w:val="32"/>
          <w:highlight w:val="none"/>
          <w:lang w:eastAsia="zh-CN"/>
        </w:rPr>
        <w:t>补</w:t>
      </w:r>
      <w:r>
        <w:rPr>
          <w:rFonts w:hint="eastAsia"/>
          <w:color w:val="auto"/>
          <w:sz w:val="32"/>
          <w:szCs w:val="32"/>
          <w:highlight w:val="none"/>
        </w:rPr>
        <w:t>强海棠湾</w:t>
      </w:r>
      <w:r>
        <w:rPr>
          <w:rFonts w:hint="eastAsia" w:ascii="仿宋_GB2312" w:hAnsi="仿宋_GB2312" w:cs="仿宋_GB2312"/>
          <w:color w:val="auto"/>
          <w:sz w:val="32"/>
          <w:szCs w:val="32"/>
          <w:highlight w:val="none"/>
          <w:lang w:eastAsia="zh-CN"/>
        </w:rPr>
        <w:t>—</w:t>
      </w:r>
      <w:r>
        <w:rPr>
          <w:rFonts w:hint="eastAsia"/>
          <w:color w:val="auto"/>
          <w:sz w:val="32"/>
          <w:szCs w:val="32"/>
          <w:highlight w:val="none"/>
        </w:rPr>
        <w:t>亚龙湾旅游和现代服务业功能，加强公共服务、居住服务和城市功能配套。做大崖州湾科技城高新区，</w:t>
      </w:r>
      <w:r>
        <w:rPr>
          <w:rFonts w:hint="eastAsia"/>
          <w:color w:val="auto"/>
          <w:sz w:val="32"/>
          <w:szCs w:val="32"/>
          <w:highlight w:val="none"/>
          <w:lang w:eastAsia="zh-CN"/>
        </w:rPr>
        <w:t>推动崖州区与科技城深度融合</w:t>
      </w:r>
      <w:r>
        <w:rPr>
          <w:rFonts w:hint="eastAsia"/>
          <w:color w:val="auto"/>
          <w:sz w:val="32"/>
          <w:szCs w:val="32"/>
          <w:highlight w:val="none"/>
        </w:rPr>
        <w:t>，</w:t>
      </w:r>
      <w:r>
        <w:rPr>
          <w:rFonts w:hint="eastAsia"/>
          <w:color w:val="auto"/>
          <w:sz w:val="32"/>
          <w:szCs w:val="32"/>
          <w:highlight w:val="none"/>
          <w:lang w:eastAsia="zh-CN"/>
        </w:rPr>
        <w:t>合力建成</w:t>
      </w:r>
      <w:r>
        <w:rPr>
          <w:rFonts w:hint="eastAsia"/>
          <w:color w:val="auto"/>
          <w:sz w:val="32"/>
          <w:szCs w:val="32"/>
          <w:highlight w:val="none"/>
        </w:rPr>
        <w:t>产业特色鲜明、运行机制高效、空间品质卓越、开放合作活跃的现代化</w:t>
      </w:r>
      <w:r>
        <w:rPr>
          <w:rFonts w:hint="eastAsia"/>
          <w:color w:val="auto"/>
          <w:sz w:val="32"/>
          <w:szCs w:val="32"/>
          <w:highlight w:val="none"/>
          <w:lang w:eastAsia="zh-CN"/>
        </w:rPr>
        <w:t>产业</w:t>
      </w:r>
      <w:r>
        <w:rPr>
          <w:rFonts w:hint="eastAsia"/>
          <w:color w:val="auto"/>
          <w:sz w:val="32"/>
          <w:szCs w:val="32"/>
          <w:highlight w:val="none"/>
        </w:rPr>
        <w:t>新城</w:t>
      </w:r>
      <w:r>
        <w:rPr>
          <w:rFonts w:hint="eastAsia"/>
          <w:color w:val="auto"/>
          <w:sz w:val="32"/>
          <w:szCs w:val="32"/>
          <w:highlight w:val="none"/>
          <w:lang w:eastAsia="zh-CN"/>
        </w:rPr>
        <w:t>。</w:t>
      </w:r>
    </w:p>
    <w:p>
      <w:pPr>
        <w:pStyle w:val="31"/>
        <w:pageBreakBefore w:val="0"/>
        <w:widowControl w:val="0"/>
        <w:kinsoku/>
        <w:wordWrap/>
        <w:overflowPunct/>
        <w:topLinePunct w:val="0"/>
        <w:autoSpaceDE/>
        <w:autoSpaceDN/>
        <w:bidi w:val="0"/>
        <w:adjustRightInd w:val="0"/>
        <w:snapToGrid w:val="0"/>
        <w:spacing w:line="556" w:lineRule="exact"/>
        <w:textAlignment w:val="auto"/>
        <w:rPr>
          <w:rFonts w:hint="eastAsia"/>
          <w:color w:val="auto"/>
          <w:sz w:val="32"/>
          <w:szCs w:val="32"/>
          <w:highlight w:val="none"/>
        </w:rPr>
      </w:pPr>
      <w:r>
        <w:rPr>
          <w:rFonts w:hint="eastAsia"/>
          <w:b/>
          <w:bCs/>
          <w:color w:val="auto"/>
          <w:sz w:val="32"/>
          <w:szCs w:val="32"/>
          <w:highlight w:val="none"/>
        </w:rPr>
        <w:t>深入实施</w:t>
      </w:r>
      <w:r>
        <w:rPr>
          <w:rFonts w:hint="default" w:ascii="Times New Roman" w:hAnsi="Times New Roman" w:cs="Times New Roman"/>
          <w:b/>
          <w:bCs/>
          <w:color w:val="auto"/>
          <w:sz w:val="32"/>
          <w:szCs w:val="32"/>
          <w:highlight w:val="none"/>
        </w:rPr>
        <w:t>G98</w:t>
      </w:r>
      <w:r>
        <w:rPr>
          <w:rFonts w:hint="eastAsia" w:ascii="仿宋_GB2312" w:hAnsi="仿宋_GB2312" w:eastAsia="仿宋_GB2312" w:cs="仿宋_GB2312"/>
          <w:b/>
          <w:bCs/>
          <w:color w:val="auto"/>
          <w:sz w:val="32"/>
          <w:szCs w:val="32"/>
          <w:highlight w:val="none"/>
        </w:rPr>
        <w:t>“</w:t>
      </w:r>
      <w:r>
        <w:rPr>
          <w:rFonts w:hint="eastAsia"/>
          <w:b/>
          <w:bCs/>
          <w:color w:val="auto"/>
          <w:sz w:val="32"/>
          <w:szCs w:val="32"/>
          <w:highlight w:val="none"/>
        </w:rPr>
        <w:t>北抬</w:t>
      </w:r>
      <w:r>
        <w:rPr>
          <w:rFonts w:hint="eastAsia" w:ascii="仿宋_GB2312" w:hAnsi="仿宋_GB2312" w:eastAsia="仿宋_GB2312" w:cs="仿宋_GB2312"/>
          <w:b/>
          <w:bCs/>
          <w:color w:val="auto"/>
          <w:sz w:val="32"/>
          <w:szCs w:val="32"/>
          <w:highlight w:val="none"/>
        </w:rPr>
        <w:t>”</w:t>
      </w:r>
      <w:r>
        <w:rPr>
          <w:rFonts w:hint="eastAsia"/>
          <w:b/>
          <w:bCs/>
          <w:color w:val="auto"/>
          <w:sz w:val="32"/>
          <w:szCs w:val="32"/>
          <w:highlight w:val="none"/>
          <w:lang w:eastAsia="zh-CN"/>
        </w:rPr>
        <w:t>空间</w:t>
      </w:r>
      <w:r>
        <w:rPr>
          <w:rFonts w:hint="eastAsia"/>
          <w:b/>
          <w:bCs/>
          <w:color w:val="auto"/>
          <w:sz w:val="32"/>
          <w:szCs w:val="32"/>
          <w:highlight w:val="none"/>
        </w:rPr>
        <w:t>战略。</w:t>
      </w:r>
      <w:r>
        <w:rPr>
          <w:rFonts w:hint="eastAsia"/>
          <w:color w:val="auto"/>
          <w:sz w:val="32"/>
          <w:szCs w:val="32"/>
          <w:highlight w:val="none"/>
          <w:lang w:eastAsia="zh-CN"/>
        </w:rPr>
        <w:t>在新旧</w:t>
      </w:r>
      <w:r>
        <w:rPr>
          <w:rFonts w:hint="eastAsia"/>
          <w:color w:val="auto"/>
          <w:sz w:val="32"/>
          <w:szCs w:val="32"/>
          <w:highlight w:val="none"/>
        </w:rPr>
        <w:t>绕城高速公路之间规划布局多个</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小而精，精而美</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空间拓展组团</w:t>
      </w:r>
      <w:r>
        <w:rPr>
          <w:rFonts w:hint="eastAsia"/>
          <w:color w:val="auto"/>
          <w:sz w:val="32"/>
          <w:szCs w:val="32"/>
          <w:highlight w:val="none"/>
          <w:lang w:eastAsia="zh-CN"/>
        </w:rPr>
        <w:t>，</w:t>
      </w:r>
      <w:r>
        <w:rPr>
          <w:rFonts w:hint="eastAsia"/>
          <w:color w:val="auto"/>
          <w:sz w:val="32"/>
          <w:szCs w:val="32"/>
          <w:highlight w:val="none"/>
        </w:rPr>
        <w:t>重塑城市空间骨架，重点提升中心城区综合服务功能和辐射带动能力</w:t>
      </w:r>
      <w:r>
        <w:rPr>
          <w:rFonts w:hint="eastAsia"/>
          <w:color w:val="auto"/>
          <w:sz w:val="32"/>
          <w:szCs w:val="32"/>
          <w:highlight w:val="none"/>
          <w:lang w:eastAsia="zh-CN"/>
        </w:rPr>
        <w:t>。</w:t>
      </w:r>
      <w:r>
        <w:rPr>
          <w:rFonts w:hint="eastAsia"/>
          <w:color w:val="auto"/>
          <w:sz w:val="32"/>
          <w:szCs w:val="32"/>
          <w:highlight w:val="none"/>
        </w:rPr>
        <w:t>整合城乡资源，强化组团支撑，推动城市社区和产业园区、腹地乡村与农场连队多点协同。</w:t>
      </w:r>
    </w:p>
    <w:p>
      <w:pPr>
        <w:pStyle w:val="31"/>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rPr>
        <w:t>深入推进垦地融合发展。</w:t>
      </w:r>
      <w:r>
        <w:rPr>
          <w:rFonts w:hint="eastAsia"/>
          <w:color w:val="auto"/>
          <w:sz w:val="32"/>
          <w:szCs w:val="32"/>
          <w:highlight w:val="none"/>
        </w:rPr>
        <w:t>持续深化农垦改革，创新垦地融合发展模式，加快推进南田、南滨等垦地融合示范区建设。统筹优化垦地产业布局，推动产业结构与功能衔接。实施垦区基础设施和公共服务设施补短板行动，推进垦地基础设施、公共服务、社会管理均等化发展。稳妥推进涉垦土地规范管理工作，试点推动垦区土地综合整治。优化垦地资源配置，逐步构建以垦区场部为核心、中心居民点为补充的功能互补型空间格局，促进城区、场部、生产队（村庄）协调联动、融合发展。</w:t>
      </w:r>
    </w:p>
    <w:p>
      <w:pPr>
        <w:pStyle w:val="4"/>
        <w:pageBreakBefore w:val="0"/>
        <w:widowControl w:val="0"/>
        <w:shd w:val="clear"/>
        <w:kinsoku/>
        <w:wordWrap/>
        <w:overflowPunct/>
        <w:topLinePunct w:val="0"/>
        <w:autoSpaceDE/>
        <w:autoSpaceDN/>
        <w:bidi w:val="0"/>
        <w:adjustRightInd w:val="0"/>
        <w:snapToGrid w:val="0"/>
        <w:spacing w:line="576" w:lineRule="exact"/>
        <w:ind w:left="0" w:leftChars="0" w:firstLine="0" w:firstLineChars="0"/>
        <w:textAlignment w:val="auto"/>
        <w:rPr>
          <w:rFonts w:hint="eastAsia"/>
          <w:color w:val="auto"/>
          <w:sz w:val="32"/>
          <w:szCs w:val="32"/>
          <w:highlight w:val="none"/>
        </w:rPr>
      </w:pPr>
      <w:bookmarkStart w:id="713" w:name="_Toc571388380"/>
      <w:bookmarkStart w:id="714" w:name="_Toc539376205"/>
      <w:bookmarkStart w:id="715" w:name="_Toc872095193"/>
      <w:bookmarkStart w:id="716" w:name="_Toc1391913988"/>
      <w:bookmarkStart w:id="717" w:name="_Toc23737"/>
      <w:bookmarkStart w:id="718" w:name="_Toc213447275"/>
      <w:bookmarkStart w:id="719" w:name="_Toc1916709509"/>
      <w:bookmarkStart w:id="720" w:name="_Toc1855871385"/>
      <w:bookmarkStart w:id="721" w:name="_Toc180257960"/>
      <w:bookmarkStart w:id="722" w:name="_Toc340033987"/>
    </w:p>
    <w:p>
      <w:pPr>
        <w:pStyle w:val="4"/>
        <w:pageBreakBefore w:val="0"/>
        <w:widowControl w:val="0"/>
        <w:shd w:val="clear"/>
        <w:kinsoku/>
        <w:wordWrap/>
        <w:overflowPunct/>
        <w:topLinePunct w:val="0"/>
        <w:autoSpaceDE/>
        <w:autoSpaceDN/>
        <w:bidi w:val="0"/>
        <w:adjustRightInd w:val="0"/>
        <w:snapToGrid w:val="0"/>
        <w:spacing w:line="576"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第二节  深入推进以人为本的新型城镇化</w:t>
      </w:r>
      <w:bookmarkEnd w:id="713"/>
      <w:bookmarkEnd w:id="714"/>
      <w:bookmarkEnd w:id="715"/>
      <w:bookmarkEnd w:id="716"/>
      <w:bookmarkEnd w:id="717"/>
      <w:bookmarkEnd w:id="718"/>
      <w:bookmarkEnd w:id="719"/>
      <w:bookmarkEnd w:id="720"/>
      <w:bookmarkEnd w:id="721"/>
      <w:bookmarkEnd w:id="722"/>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lang w:eastAsia="zh-CN"/>
        </w:rPr>
      </w:pPr>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r>
        <w:rPr>
          <w:rFonts w:hint="eastAsia"/>
          <w:b/>
          <w:bCs/>
          <w:color w:val="auto"/>
          <w:sz w:val="32"/>
          <w:szCs w:val="32"/>
          <w:highlight w:val="none"/>
          <w:lang w:eastAsia="zh-CN"/>
        </w:rPr>
        <w:t>优化</w:t>
      </w:r>
      <w:r>
        <w:rPr>
          <w:rFonts w:hint="eastAsia"/>
          <w:b/>
          <w:bCs/>
          <w:color w:val="auto"/>
          <w:sz w:val="32"/>
          <w:szCs w:val="32"/>
          <w:highlight w:val="none"/>
        </w:rPr>
        <w:t>资源要素配置。</w:t>
      </w:r>
      <w:r>
        <w:rPr>
          <w:rFonts w:hint="eastAsia"/>
          <w:color w:val="auto"/>
          <w:sz w:val="32"/>
          <w:szCs w:val="32"/>
          <w:highlight w:val="none"/>
          <w:lang w:eastAsia="zh-CN"/>
        </w:rPr>
        <w:t>实现</w:t>
      </w:r>
      <w:r>
        <w:rPr>
          <w:rFonts w:hint="eastAsia"/>
          <w:color w:val="auto"/>
          <w:sz w:val="32"/>
          <w:szCs w:val="32"/>
          <w:highlight w:val="none"/>
        </w:rPr>
        <w:t>城镇空间用地资源配置和人口密度</w:t>
      </w:r>
      <w:r>
        <w:rPr>
          <w:rFonts w:hint="eastAsia"/>
          <w:color w:val="auto"/>
          <w:sz w:val="32"/>
          <w:szCs w:val="32"/>
          <w:highlight w:val="none"/>
          <w:lang w:eastAsia="zh-CN"/>
        </w:rPr>
        <w:t>相匹配</w:t>
      </w:r>
      <w:r>
        <w:rPr>
          <w:rFonts w:hint="eastAsia"/>
          <w:color w:val="auto"/>
          <w:sz w:val="32"/>
          <w:szCs w:val="32"/>
          <w:highlight w:val="none"/>
        </w:rPr>
        <w:t>，加强水资源统筹调配，促进各类市政基础设施供需匹配，科学规划建设产业园区、公共服务设施和住宅小区，构筑</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人产城融合、职住服均衡</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的城镇空间，塑造</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山、海、河、城</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相映相融的国际城市天际线</w:t>
      </w:r>
      <w:r>
        <w:rPr>
          <w:rFonts w:hint="eastAsia"/>
          <w:color w:val="auto"/>
          <w:sz w:val="32"/>
          <w:szCs w:val="32"/>
          <w:highlight w:val="none"/>
          <w:lang w:eastAsia="zh-CN"/>
        </w:rPr>
        <w:t>，全面形成“各区一体、城乡协调、内快外畅、错位发展”的现代化城市新格局。</w:t>
      </w:r>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r>
        <w:rPr>
          <w:rFonts w:hint="eastAsia"/>
          <w:b/>
          <w:bCs/>
          <w:color w:val="auto"/>
          <w:sz w:val="32"/>
          <w:szCs w:val="32"/>
          <w:highlight w:val="none"/>
        </w:rPr>
        <w:t>科学有序推进农业转移人口市民化。</w:t>
      </w:r>
      <w:r>
        <w:rPr>
          <w:rFonts w:hint="eastAsia"/>
          <w:color w:val="auto"/>
          <w:sz w:val="32"/>
          <w:szCs w:val="32"/>
          <w:highlight w:val="none"/>
        </w:rPr>
        <w:t>深化户籍制度改革，推动农业转移人口顺利落户，完善高层次、创新创业人才落户政策。落实常住地登记户口制度，探索推行电子居住证，完善港澳台居民居住证申领</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绿色通道</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，稳步健全进城落户农民</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三权</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自愿有偿退出机制。推动人口基础信息库建设，加强部门间信息共享，健全覆盖全人群、全生命周期、全域化的新型动态人口监测体系。全面推行网格化社会管理，主动服务管理旅游、度假、候鸟（康养）等流动人口。</w:t>
      </w:r>
      <w:r>
        <w:rPr>
          <w:color w:val="auto"/>
          <w:sz w:val="32"/>
          <w:szCs w:val="32"/>
          <w:highlight w:val="none"/>
        </w:rPr>
        <w:t>推进户政业务网上</w:t>
      </w:r>
      <w:r>
        <w:rPr>
          <w:rFonts w:hint="eastAsia"/>
          <w:color w:val="auto"/>
          <w:sz w:val="32"/>
          <w:szCs w:val="32"/>
          <w:highlight w:val="none"/>
        </w:rPr>
        <w:t>办理</w:t>
      </w:r>
      <w:r>
        <w:rPr>
          <w:color w:val="auto"/>
          <w:sz w:val="32"/>
          <w:szCs w:val="32"/>
          <w:highlight w:val="none"/>
        </w:rPr>
        <w:t>，创建安全、自由、高效的人口迁徙流动服务管理长效机制。</w:t>
      </w:r>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r>
        <w:rPr>
          <w:rFonts w:hint="eastAsia"/>
          <w:b/>
          <w:bCs/>
          <w:color w:val="auto"/>
          <w:sz w:val="32"/>
          <w:szCs w:val="32"/>
          <w:highlight w:val="none"/>
        </w:rPr>
        <w:t>推进常</w:t>
      </w:r>
      <w:r>
        <w:rPr>
          <w:rFonts w:hint="eastAsia"/>
          <w:b/>
          <w:bCs/>
          <w:color w:val="auto"/>
          <w:sz w:val="32"/>
          <w:szCs w:val="32"/>
          <w:highlight w:val="none"/>
          <w:lang w:eastAsia="zh-CN"/>
        </w:rPr>
        <w:t>住</w:t>
      </w:r>
      <w:r>
        <w:rPr>
          <w:rFonts w:hint="eastAsia"/>
          <w:b/>
          <w:bCs/>
          <w:color w:val="auto"/>
          <w:sz w:val="32"/>
          <w:szCs w:val="32"/>
          <w:highlight w:val="none"/>
        </w:rPr>
        <w:t>地提供基本公共服务。</w:t>
      </w:r>
      <w:r>
        <w:rPr>
          <w:rFonts w:hint="eastAsia"/>
          <w:color w:val="auto"/>
          <w:sz w:val="32"/>
          <w:szCs w:val="32"/>
          <w:highlight w:val="none"/>
        </w:rPr>
        <w:t>健全由常住地登记户口提供基本公共服务制度，推动符合条件的农业转移人口享有社会保险、住房保障、随迁子女义务教育等</w:t>
      </w:r>
      <w:r>
        <w:rPr>
          <w:rFonts w:hint="eastAsia"/>
          <w:color w:val="auto"/>
          <w:sz w:val="32"/>
          <w:szCs w:val="32"/>
          <w:highlight w:val="none"/>
          <w:lang w:eastAsia="zh-CN"/>
        </w:rPr>
        <w:t>与</w:t>
      </w:r>
      <w:r>
        <w:rPr>
          <w:rFonts w:hint="eastAsia"/>
          <w:color w:val="auto"/>
          <w:sz w:val="32"/>
          <w:szCs w:val="32"/>
          <w:highlight w:val="none"/>
        </w:rPr>
        <w:t>迁入地户籍人口同等权利，完善覆盖常住人口的住房、社保、就业等基本公共服务体系。加强农民工和就业新形态劳动者权益保障，加大政策咨询服务和法律援助力度。优先安排人口流入较多地区的市政设施、教育医疗等公共服务设施用地指标。</w:t>
      </w:r>
    </w:p>
    <w:p>
      <w:pPr>
        <w:pStyle w:val="31"/>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rPr>
        <w:t>高标准推进城市更新。</w:t>
      </w:r>
      <w:r>
        <w:rPr>
          <w:rFonts w:hint="eastAsia"/>
          <w:color w:val="auto"/>
          <w:sz w:val="32"/>
          <w:szCs w:val="32"/>
          <w:highlight w:val="none"/>
        </w:rPr>
        <w:t>全面践行人民城市理念，坚持城市内涵式发展，转变城市开发建设模式，建立可持续的城市更新模式。持续推进老旧小区与街区更新改造，着力提升老旧小区居住环境、设施条件，优化服务功能和彰显文化价值，推动老旧街区功能转换、业态升级与活力增强。因地制宜推动微更新和集中连片更新改造，重点推动临春、海罗、三亚湾新城、榆红等片区城市更新。加强城市基础设施建设改造，补齐民生设施短板，推动完整社区建设，优化改善城市人居环境，定期部署开展城市体检工作。</w:t>
      </w:r>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r>
        <w:rPr>
          <w:rFonts w:hint="eastAsia"/>
          <w:b/>
          <w:bCs/>
          <w:color w:val="auto"/>
          <w:sz w:val="32"/>
          <w:szCs w:val="32"/>
          <w:highlight w:val="none"/>
        </w:rPr>
        <w:t>高质量推进城市</w:t>
      </w:r>
      <w:r>
        <w:rPr>
          <w:rFonts w:hint="eastAsia"/>
          <w:b/>
          <w:bCs/>
          <w:color w:val="auto"/>
          <w:sz w:val="32"/>
          <w:szCs w:val="32"/>
          <w:highlight w:val="none"/>
          <w:lang w:eastAsia="zh-CN"/>
        </w:rPr>
        <w:t>治理</w:t>
      </w:r>
      <w:r>
        <w:rPr>
          <w:rFonts w:hint="default"/>
          <w:b/>
          <w:bCs/>
          <w:color w:val="auto"/>
          <w:sz w:val="32"/>
          <w:szCs w:val="32"/>
          <w:highlight w:val="none"/>
          <w:lang w:val="en-US"/>
        </w:rPr>
        <w:t>现代化</w:t>
      </w:r>
      <w:r>
        <w:rPr>
          <w:rFonts w:hint="eastAsia"/>
          <w:b/>
          <w:bCs/>
          <w:color w:val="auto"/>
          <w:sz w:val="32"/>
          <w:szCs w:val="32"/>
          <w:highlight w:val="none"/>
        </w:rPr>
        <w:t>。</w:t>
      </w:r>
      <w:r>
        <w:rPr>
          <w:rFonts w:hint="eastAsia"/>
          <w:color w:val="auto"/>
          <w:sz w:val="32"/>
          <w:szCs w:val="32"/>
          <w:highlight w:val="none"/>
        </w:rPr>
        <w:t>统筹推进城市基础设施管理和城市管理队伍建设，提高城市精细化专业化管理水平。加强海绵城市建设，提升城市韧性和安全保障能力。高标准建设智慧化城运管理平台，推动政务、民生、产业数智融合，创新民生服务场景。打造高效数字政务体系，升级</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一网通办</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平台，构建智慧监管体系。推进</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感知城市</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建设，提升公共安全、城市管理、道路交通、生态环境等领域智能感知水平。实施城市景观环境</w:t>
      </w:r>
      <w:r>
        <w:rPr>
          <w:rFonts w:hint="eastAsia"/>
          <w:color w:val="auto"/>
          <w:sz w:val="32"/>
          <w:szCs w:val="32"/>
          <w:highlight w:val="none"/>
          <w:lang w:eastAsia="zh-CN"/>
        </w:rPr>
        <w:t>提升</w:t>
      </w:r>
      <w:r>
        <w:rPr>
          <w:rFonts w:hint="eastAsia"/>
          <w:color w:val="auto"/>
          <w:sz w:val="32"/>
          <w:szCs w:val="32"/>
          <w:highlight w:val="none"/>
        </w:rPr>
        <w:t>工程，提升绿化养护和管理水平，推进城市美化和夜景亮化。</w:t>
      </w:r>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eastAsia="仿宋_GB2312"/>
          <w:color w:val="auto"/>
          <w:sz w:val="32"/>
          <w:szCs w:val="32"/>
          <w:highlight w:val="none"/>
          <w:lang w:eastAsia="zh-CN"/>
        </w:rPr>
      </w:pPr>
      <w:r>
        <w:rPr>
          <w:rFonts w:hint="eastAsia"/>
          <w:b/>
          <w:bCs/>
          <w:color w:val="auto"/>
          <w:sz w:val="32"/>
          <w:szCs w:val="32"/>
          <w:highlight w:val="none"/>
        </w:rPr>
        <w:t>深入推进城乡融合发展。</w:t>
      </w:r>
      <w:r>
        <w:rPr>
          <w:rFonts w:hint="eastAsia"/>
          <w:color w:val="auto"/>
          <w:sz w:val="32"/>
          <w:szCs w:val="32"/>
          <w:highlight w:val="none"/>
        </w:rPr>
        <w:t>以城带乡、以乡促城，实现城乡一体化发展</w:t>
      </w:r>
      <w:r>
        <w:rPr>
          <w:rFonts w:hint="eastAsia"/>
          <w:color w:val="auto"/>
          <w:sz w:val="32"/>
          <w:szCs w:val="32"/>
          <w:highlight w:val="none"/>
          <w:lang w:eastAsia="zh-CN"/>
        </w:rPr>
        <w:t>，</w:t>
      </w:r>
      <w:r>
        <w:rPr>
          <w:rFonts w:hint="eastAsia"/>
          <w:color w:val="auto"/>
          <w:sz w:val="32"/>
          <w:szCs w:val="32"/>
          <w:highlight w:val="none"/>
        </w:rPr>
        <w:t>促进民族地区经济社会发展。推动城</w:t>
      </w:r>
      <w:r>
        <w:rPr>
          <w:rFonts w:hint="eastAsia"/>
          <w:color w:val="auto"/>
          <w:sz w:val="32"/>
          <w:szCs w:val="32"/>
          <w:highlight w:val="none"/>
          <w:lang w:eastAsia="zh-CN"/>
        </w:rPr>
        <w:t>市</w:t>
      </w:r>
      <w:r>
        <w:rPr>
          <w:rFonts w:hint="eastAsia"/>
          <w:color w:val="auto"/>
          <w:sz w:val="32"/>
          <w:szCs w:val="32"/>
          <w:highlight w:val="none"/>
        </w:rPr>
        <w:t>基础设施向乡村延伸，推动公共服务和社会事业向乡村覆盖，统筹完善城乡居民基本医疗保险、养老保险和社会救助体系。有序推进农村集体经营性建设用地入市，鼓励开发性政策性金融机构支持城乡融合发展。完善城乡社区生活服务，推动建设综合商贸服务中心，</w:t>
      </w:r>
      <w:r>
        <w:rPr>
          <w:rFonts w:hint="eastAsia"/>
          <w:color w:val="auto"/>
          <w:sz w:val="32"/>
          <w:szCs w:val="32"/>
          <w:highlight w:val="none"/>
          <w:lang w:eastAsia="zh-CN"/>
        </w:rPr>
        <w:t>支持</w:t>
      </w:r>
      <w:r>
        <w:rPr>
          <w:rFonts w:hint="eastAsia"/>
          <w:color w:val="auto"/>
          <w:sz w:val="32"/>
          <w:szCs w:val="32"/>
          <w:highlight w:val="none"/>
        </w:rPr>
        <w:t>有条件的行政村</w:t>
      </w:r>
      <w:r>
        <w:rPr>
          <w:rFonts w:hint="eastAsia"/>
          <w:color w:val="auto"/>
          <w:sz w:val="32"/>
          <w:szCs w:val="32"/>
          <w:highlight w:val="none"/>
          <w:lang w:eastAsia="zh-CN"/>
        </w:rPr>
        <w:t>实现</w:t>
      </w:r>
      <w:r>
        <w:rPr>
          <w:rFonts w:hint="eastAsia"/>
          <w:color w:val="auto"/>
          <w:sz w:val="32"/>
          <w:szCs w:val="32"/>
          <w:highlight w:val="none"/>
        </w:rPr>
        <w:t>便民商店、邮政寄递服务点全覆盖，构建</w:t>
      </w:r>
      <w:r>
        <w:rPr>
          <w:rFonts w:hint="eastAsia" w:ascii="仿宋_GB2312" w:hAnsi="仿宋_GB2312" w:eastAsia="仿宋_GB2312" w:cs="仿宋_GB2312"/>
          <w:color w:val="auto"/>
          <w:sz w:val="32"/>
          <w:szCs w:val="32"/>
          <w:highlight w:val="none"/>
        </w:rPr>
        <w:t>“</w:t>
      </w:r>
      <w:r>
        <w:rPr>
          <w:rFonts w:hint="default" w:ascii="Times New Roman" w:hAnsi="Times New Roman" w:cs="Times New Roman"/>
          <w:color w:val="auto"/>
          <w:sz w:val="32"/>
          <w:szCs w:val="32"/>
          <w:highlight w:val="none"/>
        </w:rPr>
        <w:t>1</w:t>
      </w:r>
      <w:r>
        <w:rPr>
          <w:rFonts w:hint="default"/>
          <w:color w:val="auto"/>
          <w:sz w:val="32"/>
          <w:szCs w:val="32"/>
          <w:highlight w:val="none"/>
        </w:rPr>
        <w:t>小时都市生活圈、</w:t>
      </w:r>
      <w:r>
        <w:rPr>
          <w:rFonts w:hint="default" w:ascii="Times New Roman" w:hAnsi="Times New Roman" w:cs="Times New Roman"/>
          <w:color w:val="auto"/>
          <w:sz w:val="32"/>
          <w:szCs w:val="32"/>
          <w:highlight w:val="none"/>
        </w:rPr>
        <w:t>30</w:t>
      </w:r>
      <w:r>
        <w:rPr>
          <w:rFonts w:hint="default"/>
          <w:color w:val="auto"/>
          <w:sz w:val="32"/>
          <w:szCs w:val="32"/>
          <w:highlight w:val="none"/>
        </w:rPr>
        <w:t>分钟城区通勤圈、</w:t>
      </w:r>
      <w:r>
        <w:rPr>
          <w:rFonts w:hint="default" w:ascii="Times New Roman" w:hAnsi="Times New Roman" w:cs="Times New Roman"/>
          <w:color w:val="auto"/>
          <w:sz w:val="32"/>
          <w:szCs w:val="32"/>
          <w:highlight w:val="none"/>
        </w:rPr>
        <w:t>15</w:t>
      </w:r>
      <w:r>
        <w:rPr>
          <w:rFonts w:hint="default"/>
          <w:color w:val="auto"/>
          <w:sz w:val="32"/>
          <w:szCs w:val="32"/>
          <w:highlight w:val="none"/>
        </w:rPr>
        <w:t>分钟便民生活圈、</w:t>
      </w:r>
      <w:r>
        <w:rPr>
          <w:rFonts w:hint="default" w:ascii="Times New Roman" w:hAnsi="Times New Roman" w:cs="Times New Roman"/>
          <w:color w:val="auto"/>
          <w:sz w:val="32"/>
          <w:szCs w:val="32"/>
          <w:highlight w:val="none"/>
        </w:rPr>
        <w:t>15</w:t>
      </w:r>
      <w:r>
        <w:rPr>
          <w:rFonts w:hint="default"/>
          <w:color w:val="auto"/>
          <w:sz w:val="32"/>
          <w:szCs w:val="32"/>
          <w:highlight w:val="none"/>
        </w:rPr>
        <w:t>分钟社区生活圈</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的城乡生活圈体系。</w:t>
      </w:r>
    </w:p>
    <w:p>
      <w:pPr>
        <w:pStyle w:val="4"/>
        <w:pageBreakBefore w:val="0"/>
        <w:widowControl w:val="0"/>
        <w:shd w:val="clear"/>
        <w:kinsoku/>
        <w:wordWrap/>
        <w:overflowPunct/>
        <w:topLinePunct w:val="0"/>
        <w:autoSpaceDE/>
        <w:autoSpaceDN/>
        <w:bidi w:val="0"/>
        <w:adjustRightInd w:val="0"/>
        <w:snapToGrid w:val="0"/>
        <w:spacing w:line="576" w:lineRule="exact"/>
        <w:ind w:left="0" w:leftChars="0" w:firstLine="0" w:firstLineChars="0"/>
        <w:textAlignment w:val="auto"/>
        <w:rPr>
          <w:rFonts w:hint="eastAsia"/>
          <w:color w:val="auto"/>
          <w:sz w:val="32"/>
          <w:szCs w:val="32"/>
          <w:highlight w:val="none"/>
        </w:rPr>
      </w:pPr>
      <w:bookmarkStart w:id="723" w:name="_Toc1092231196"/>
      <w:bookmarkStart w:id="724" w:name="_Toc213447276"/>
      <w:bookmarkStart w:id="725" w:name="_Toc1394668288"/>
      <w:bookmarkStart w:id="726" w:name="_Toc628081300"/>
      <w:bookmarkStart w:id="727" w:name="_Toc23109"/>
      <w:bookmarkStart w:id="728" w:name="_Toc386393177"/>
      <w:bookmarkStart w:id="729" w:name="_Toc889242320"/>
      <w:bookmarkStart w:id="730" w:name="_Toc1590102122"/>
      <w:bookmarkStart w:id="731" w:name="_Toc1425311275"/>
      <w:bookmarkStart w:id="732" w:name="_Toc183619432"/>
    </w:p>
    <w:p>
      <w:pPr>
        <w:pStyle w:val="4"/>
        <w:pageBreakBefore w:val="0"/>
        <w:widowControl w:val="0"/>
        <w:shd w:val="clear"/>
        <w:kinsoku/>
        <w:wordWrap/>
        <w:overflowPunct/>
        <w:topLinePunct w:val="0"/>
        <w:autoSpaceDE/>
        <w:autoSpaceDN/>
        <w:bidi w:val="0"/>
        <w:adjustRightInd w:val="0"/>
        <w:snapToGrid w:val="0"/>
        <w:spacing w:line="576"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第三节  推进三亚经济圈一体化高质量发展</w:t>
      </w:r>
      <w:bookmarkEnd w:id="723"/>
      <w:bookmarkEnd w:id="724"/>
      <w:bookmarkEnd w:id="725"/>
      <w:bookmarkEnd w:id="726"/>
      <w:bookmarkEnd w:id="727"/>
      <w:bookmarkEnd w:id="728"/>
      <w:bookmarkEnd w:id="729"/>
      <w:bookmarkEnd w:id="730"/>
      <w:bookmarkEnd w:id="731"/>
      <w:bookmarkEnd w:id="732"/>
    </w:p>
    <w:p>
      <w:pPr>
        <w:pStyle w:val="31"/>
        <w:pageBreakBefore w:val="0"/>
        <w:widowControl w:val="0"/>
        <w:kinsoku/>
        <w:wordWrap/>
        <w:overflowPunct/>
        <w:topLinePunct w:val="0"/>
        <w:autoSpaceDE/>
        <w:autoSpaceDN/>
        <w:bidi w:val="0"/>
        <w:adjustRightInd w:val="0"/>
        <w:snapToGrid w:val="0"/>
        <w:spacing w:line="576" w:lineRule="exact"/>
        <w:jc w:val="center"/>
        <w:textAlignment w:val="auto"/>
        <w:rPr>
          <w:rFonts w:hint="eastAsia" w:ascii="黑体" w:hAnsi="黑体" w:eastAsia="黑体" w:cs="黑体"/>
          <w:color w:val="auto"/>
          <w:sz w:val="32"/>
          <w:szCs w:val="32"/>
          <w:highlight w:val="none"/>
        </w:rPr>
      </w:pPr>
    </w:p>
    <w:p>
      <w:pPr>
        <w:pStyle w:val="31"/>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rPr>
        <w:t>推动基础设施一体互联。</w:t>
      </w:r>
      <w:r>
        <w:rPr>
          <w:rFonts w:hint="eastAsia"/>
          <w:color w:val="auto"/>
          <w:sz w:val="32"/>
          <w:szCs w:val="32"/>
          <w:highlight w:val="none"/>
        </w:rPr>
        <w:t>完善三亚经济圈综合交通运输体系，</w:t>
      </w:r>
      <w:r>
        <w:rPr>
          <w:rFonts w:hint="eastAsia"/>
          <w:color w:val="auto"/>
          <w:sz w:val="32"/>
          <w:szCs w:val="32"/>
          <w:highlight w:val="none"/>
          <w:lang w:val="en-US" w:eastAsia="zh-CN"/>
        </w:rPr>
        <w:t>构建</w:t>
      </w:r>
      <w:r>
        <w:rPr>
          <w:rFonts w:hint="eastAsia" w:ascii="仿宋_GB2312" w:hAnsi="仿宋_GB2312" w:eastAsia="仿宋_GB2312" w:cs="仿宋_GB2312"/>
          <w:color w:val="auto"/>
          <w:sz w:val="32"/>
          <w:szCs w:val="32"/>
          <w:highlight w:val="none"/>
        </w:rPr>
        <w:t>“</w:t>
      </w:r>
      <w:r>
        <w:rPr>
          <w:rFonts w:hint="default" w:ascii="Times New Roman" w:hAnsi="Times New Roman" w:cs="Times New Roman"/>
          <w:color w:val="auto"/>
          <w:sz w:val="32"/>
          <w:szCs w:val="32"/>
          <w:highlight w:val="none"/>
        </w:rPr>
        <w:t>1</w:t>
      </w:r>
      <w:r>
        <w:rPr>
          <w:rFonts w:hint="eastAsia"/>
          <w:color w:val="auto"/>
          <w:sz w:val="32"/>
          <w:szCs w:val="32"/>
          <w:highlight w:val="none"/>
        </w:rPr>
        <w:t>小时通勤圈</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。稳步推进三亚经济圈轨道交通网络建设</w:t>
      </w:r>
      <w:r>
        <w:rPr>
          <w:rFonts w:hint="eastAsia"/>
          <w:color w:val="auto"/>
          <w:sz w:val="32"/>
          <w:szCs w:val="32"/>
          <w:highlight w:val="none"/>
          <w:lang w:eastAsia="zh-CN"/>
        </w:rPr>
        <w:t>，</w:t>
      </w:r>
      <w:r>
        <w:rPr>
          <w:rFonts w:hint="eastAsia"/>
          <w:color w:val="auto"/>
          <w:sz w:val="32"/>
          <w:szCs w:val="32"/>
          <w:highlight w:val="none"/>
        </w:rPr>
        <w:t>提升三亚经济圈公路网密度，推动三亚</w:t>
      </w:r>
      <w:r>
        <w:rPr>
          <w:rFonts w:hint="eastAsia" w:ascii="仿宋_GB2312" w:hAnsi="仿宋_GB2312" w:cs="仿宋_GB2312"/>
          <w:color w:val="auto"/>
          <w:sz w:val="32"/>
          <w:szCs w:val="32"/>
          <w:highlight w:val="none"/>
          <w:lang w:eastAsia="zh-CN"/>
        </w:rPr>
        <w:t>—</w:t>
      </w:r>
      <w:r>
        <w:rPr>
          <w:rFonts w:hint="eastAsia"/>
          <w:color w:val="auto"/>
          <w:sz w:val="32"/>
          <w:szCs w:val="32"/>
          <w:highlight w:val="none"/>
        </w:rPr>
        <w:t>乐东、三亚</w:t>
      </w:r>
      <w:r>
        <w:rPr>
          <w:rFonts w:hint="eastAsia" w:ascii="仿宋_GB2312" w:hAnsi="仿宋_GB2312" w:cs="仿宋_GB2312"/>
          <w:color w:val="auto"/>
          <w:sz w:val="32"/>
          <w:szCs w:val="32"/>
          <w:highlight w:val="none"/>
          <w:lang w:eastAsia="zh-CN"/>
        </w:rPr>
        <w:t>—</w:t>
      </w:r>
      <w:r>
        <w:rPr>
          <w:rFonts w:hint="eastAsia"/>
          <w:color w:val="auto"/>
          <w:sz w:val="32"/>
          <w:szCs w:val="32"/>
          <w:highlight w:val="none"/>
        </w:rPr>
        <w:t>五指山等高速公路项目谋划与建设，全面畅通三亚经济圈内未贯通公路和瓶颈路段。</w:t>
      </w:r>
    </w:p>
    <w:p>
      <w:pPr>
        <w:pStyle w:val="31"/>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rPr>
        <w:t>推进公共服务共建共享。</w:t>
      </w:r>
      <w:r>
        <w:rPr>
          <w:rFonts w:hint="eastAsia"/>
          <w:color w:val="auto"/>
          <w:sz w:val="32"/>
          <w:szCs w:val="32"/>
          <w:highlight w:val="none"/>
        </w:rPr>
        <w:t>聚焦就业保障、医疗教育等领域，加快构建跨区域一体化服务体系。推进三亚经济圈跨区域教育集团化办学</w:t>
      </w:r>
      <w:r>
        <w:rPr>
          <w:rFonts w:hint="eastAsia"/>
          <w:color w:val="auto"/>
          <w:sz w:val="32"/>
          <w:szCs w:val="32"/>
          <w:highlight w:val="none"/>
          <w:lang w:eastAsia="zh-CN"/>
        </w:rPr>
        <w:t>，</w:t>
      </w:r>
      <w:r>
        <w:rPr>
          <w:rFonts w:hint="eastAsia"/>
          <w:color w:val="auto"/>
          <w:sz w:val="32"/>
          <w:szCs w:val="32"/>
          <w:highlight w:val="none"/>
        </w:rPr>
        <w:t>建立三亚经济圈妇幼、中医等跨区域重点专科联盟，推广检查检验结果跨区域互认，实现区域医疗服务均质化。健全重大灾害和公共事件联防联控机制，加强三亚经济圈应急救援协同保障，推动三亚经济圈急救体系建设项目投入使用，推动区域紧急医学救援体系建设。</w:t>
      </w:r>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r>
        <w:rPr>
          <w:rFonts w:hint="eastAsia"/>
          <w:b/>
          <w:bCs/>
          <w:color w:val="auto"/>
          <w:sz w:val="32"/>
          <w:szCs w:val="32"/>
          <w:highlight w:val="none"/>
          <w:lang w:eastAsia="zh-CN"/>
        </w:rPr>
        <w:t>加强</w:t>
      </w:r>
      <w:r>
        <w:rPr>
          <w:rFonts w:hint="eastAsia"/>
          <w:b/>
          <w:bCs/>
          <w:color w:val="auto"/>
          <w:sz w:val="32"/>
          <w:szCs w:val="32"/>
          <w:highlight w:val="none"/>
        </w:rPr>
        <w:t>产业</w:t>
      </w:r>
      <w:r>
        <w:rPr>
          <w:rFonts w:hint="eastAsia"/>
          <w:b/>
          <w:bCs/>
          <w:color w:val="auto"/>
          <w:sz w:val="32"/>
          <w:szCs w:val="32"/>
          <w:highlight w:val="none"/>
          <w:lang w:eastAsia="zh-CN"/>
        </w:rPr>
        <w:t>发展</w:t>
      </w:r>
      <w:r>
        <w:rPr>
          <w:rFonts w:hint="eastAsia"/>
          <w:b/>
          <w:bCs/>
          <w:color w:val="auto"/>
          <w:sz w:val="32"/>
          <w:szCs w:val="32"/>
          <w:highlight w:val="none"/>
        </w:rPr>
        <w:t>协同</w:t>
      </w:r>
      <w:r>
        <w:rPr>
          <w:rFonts w:hint="eastAsia"/>
          <w:b/>
          <w:bCs/>
          <w:color w:val="auto"/>
          <w:sz w:val="32"/>
          <w:szCs w:val="32"/>
          <w:highlight w:val="none"/>
          <w:lang w:eastAsia="zh-CN"/>
        </w:rPr>
        <w:t>联动</w:t>
      </w:r>
      <w:r>
        <w:rPr>
          <w:rFonts w:hint="eastAsia"/>
          <w:b/>
          <w:bCs/>
          <w:color w:val="auto"/>
          <w:sz w:val="32"/>
          <w:szCs w:val="32"/>
          <w:highlight w:val="none"/>
        </w:rPr>
        <w:t>。</w:t>
      </w:r>
      <w:r>
        <w:rPr>
          <w:rFonts w:hint="eastAsia"/>
          <w:color w:val="auto"/>
          <w:sz w:val="32"/>
          <w:szCs w:val="32"/>
          <w:highlight w:val="none"/>
        </w:rPr>
        <w:t>优化三亚经济圈产业布局，协同推进补链强链延链，共建现代高端产业集聚区。联动亚龙湾、海棠湾等重点区域</w:t>
      </w:r>
      <w:r>
        <w:rPr>
          <w:rFonts w:hint="eastAsia"/>
          <w:color w:val="auto"/>
          <w:sz w:val="32"/>
          <w:szCs w:val="32"/>
          <w:highlight w:val="none"/>
          <w:lang w:eastAsia="zh-CN"/>
        </w:rPr>
        <w:t>与陵水</w:t>
      </w:r>
      <w:r>
        <w:rPr>
          <w:rFonts w:hint="eastAsia"/>
          <w:color w:val="auto"/>
          <w:sz w:val="32"/>
          <w:szCs w:val="32"/>
          <w:highlight w:val="none"/>
        </w:rPr>
        <w:t>建设旅游消费大湾区</w:t>
      </w:r>
      <w:r>
        <w:rPr>
          <w:rFonts w:hint="eastAsia"/>
          <w:color w:val="auto"/>
          <w:sz w:val="32"/>
          <w:szCs w:val="32"/>
          <w:highlight w:val="none"/>
          <w:lang w:eastAsia="zh-CN"/>
        </w:rPr>
        <w:t>。</w:t>
      </w:r>
      <w:r>
        <w:rPr>
          <w:rFonts w:hint="eastAsia"/>
          <w:color w:val="auto"/>
          <w:sz w:val="32"/>
          <w:szCs w:val="32"/>
          <w:highlight w:val="none"/>
        </w:rPr>
        <w:t>整合保亭、五指山等旅游资源</w:t>
      </w:r>
      <w:r>
        <w:rPr>
          <w:rFonts w:hint="eastAsia"/>
          <w:color w:val="auto"/>
          <w:sz w:val="32"/>
          <w:szCs w:val="32"/>
          <w:highlight w:val="none"/>
          <w:lang w:eastAsia="zh-CN"/>
        </w:rPr>
        <w:t>打造</w:t>
      </w:r>
      <w:r>
        <w:rPr>
          <w:rFonts w:hint="eastAsia"/>
          <w:color w:val="auto"/>
          <w:sz w:val="32"/>
          <w:szCs w:val="32"/>
          <w:highlight w:val="none"/>
        </w:rPr>
        <w:t>雨林康养景区</w:t>
      </w:r>
      <w:r>
        <w:rPr>
          <w:rFonts w:hint="eastAsia"/>
          <w:color w:val="auto"/>
          <w:sz w:val="32"/>
          <w:szCs w:val="32"/>
          <w:highlight w:val="none"/>
          <w:lang w:eastAsia="zh-CN"/>
        </w:rPr>
        <w:t>，</w:t>
      </w:r>
      <w:r>
        <w:rPr>
          <w:rFonts w:hint="eastAsia"/>
          <w:color w:val="auto"/>
          <w:sz w:val="32"/>
          <w:szCs w:val="32"/>
          <w:highlight w:val="none"/>
        </w:rPr>
        <w:t>加强海棠湾、五指山等主题乐园项目规划与路线联动，协同打造三亚经济圈主题乐园联盟。联合</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rPr>
        <w:t>南繁硅谷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cs="仿宋_GB2312"/>
          <w:color w:val="auto"/>
          <w:sz w:val="32"/>
          <w:szCs w:val="32"/>
          <w:highlight w:val="none"/>
          <w:lang w:eastAsia="zh-CN"/>
        </w:rPr>
        <w:t>和</w:t>
      </w:r>
      <w:r>
        <w:rPr>
          <w:rFonts w:hint="eastAsia"/>
          <w:color w:val="auto"/>
          <w:sz w:val="32"/>
          <w:szCs w:val="32"/>
          <w:highlight w:val="none"/>
        </w:rPr>
        <w:t>乐东资源打造种业区</w:t>
      </w:r>
      <w:r>
        <w:rPr>
          <w:rFonts w:hint="eastAsia"/>
          <w:color w:val="auto"/>
          <w:sz w:val="32"/>
          <w:szCs w:val="32"/>
          <w:highlight w:val="none"/>
          <w:lang w:eastAsia="zh-CN"/>
        </w:rPr>
        <w:t>，</w:t>
      </w:r>
      <w:r>
        <w:rPr>
          <w:rFonts w:hint="eastAsia"/>
          <w:color w:val="auto"/>
          <w:sz w:val="32"/>
          <w:szCs w:val="32"/>
          <w:highlight w:val="none"/>
        </w:rPr>
        <w:t>深化南繁</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一体两翼</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协同发展格局。强化资源整合与招商联动，联动海岸带与近岸海域发展海洋经济</w:t>
      </w:r>
      <w:r>
        <w:rPr>
          <w:rFonts w:hint="eastAsia"/>
          <w:color w:val="auto"/>
          <w:sz w:val="32"/>
          <w:szCs w:val="32"/>
          <w:highlight w:val="none"/>
          <w:lang w:eastAsia="zh-CN"/>
        </w:rPr>
        <w:t>，</w:t>
      </w:r>
      <w:r>
        <w:rPr>
          <w:rFonts w:hint="eastAsia"/>
          <w:color w:val="auto"/>
          <w:sz w:val="32"/>
          <w:szCs w:val="32"/>
          <w:highlight w:val="none"/>
        </w:rPr>
        <w:t>拓展</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文化出海</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新兴赛道。</w:t>
      </w:r>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r>
        <w:rPr>
          <w:rFonts w:hint="eastAsia"/>
          <w:b/>
          <w:bCs/>
          <w:color w:val="auto"/>
          <w:sz w:val="32"/>
          <w:szCs w:val="32"/>
          <w:highlight w:val="none"/>
        </w:rPr>
        <w:t>推动生态保育协同共治。</w:t>
      </w:r>
      <w:r>
        <w:rPr>
          <w:rFonts w:hint="eastAsia"/>
          <w:color w:val="auto"/>
          <w:sz w:val="32"/>
          <w:szCs w:val="32"/>
          <w:highlight w:val="none"/>
        </w:rPr>
        <w:t>坚持生态优先、绿色发展，联合开展热带雨林国家公园保护、海岸带修复、流域治理、大气污染防治等生态环境</w:t>
      </w:r>
      <w:r>
        <w:rPr>
          <w:rFonts w:hint="eastAsia"/>
          <w:color w:val="auto"/>
          <w:sz w:val="32"/>
          <w:szCs w:val="32"/>
          <w:highlight w:val="none"/>
          <w:lang w:eastAsia="zh-CN"/>
        </w:rPr>
        <w:t>联防共治</w:t>
      </w:r>
      <w:r>
        <w:rPr>
          <w:rFonts w:hint="eastAsia"/>
          <w:color w:val="auto"/>
          <w:sz w:val="32"/>
          <w:szCs w:val="32"/>
          <w:highlight w:val="none"/>
        </w:rPr>
        <w:t>行动。持续推进美丽海湾建设与保护。深</w:t>
      </w:r>
      <w:r>
        <w:rPr>
          <w:rFonts w:hint="eastAsia"/>
          <w:color w:val="auto"/>
          <w:sz w:val="32"/>
          <w:szCs w:val="32"/>
          <w:highlight w:val="none"/>
          <w:lang w:eastAsia="zh-CN"/>
        </w:rPr>
        <w:t>入</w:t>
      </w:r>
      <w:r>
        <w:rPr>
          <w:rFonts w:hint="eastAsia"/>
          <w:color w:val="auto"/>
          <w:sz w:val="32"/>
          <w:szCs w:val="32"/>
          <w:highlight w:val="none"/>
        </w:rPr>
        <w:t>推进生态产品价值实现机制试点，开展内河流域横向生态补偿工作。</w:t>
      </w:r>
    </w:p>
    <w:bookmarkEnd w:id="596"/>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lang w:val="en-US" w:eastAsia="zh-CN"/>
        </w:rPr>
      </w:pPr>
      <w:bookmarkStart w:id="733" w:name="_Toc1517130109"/>
      <w:bookmarkStart w:id="734" w:name="_Toc23033945"/>
      <w:bookmarkStart w:id="735" w:name="_Toc1454740002"/>
      <w:bookmarkStart w:id="736" w:name="_Toc1051078020"/>
      <w:bookmarkStart w:id="737" w:name="_Toc213447277"/>
      <w:bookmarkStart w:id="738" w:name="_Toc211979459"/>
      <w:r>
        <w:rPr>
          <w:rFonts w:hint="eastAsia"/>
          <w:b/>
          <w:bCs/>
          <w:color w:val="auto"/>
          <w:sz w:val="32"/>
          <w:szCs w:val="32"/>
          <w:highlight w:val="none"/>
          <w:lang w:val="en-US" w:eastAsia="zh-CN"/>
        </w:rPr>
        <w:t>健全区域协同创新机制。</w:t>
      </w:r>
      <w:r>
        <w:rPr>
          <w:rFonts w:hint="eastAsia"/>
          <w:color w:val="auto"/>
          <w:sz w:val="32"/>
          <w:szCs w:val="32"/>
          <w:highlight w:val="none"/>
          <w:lang w:val="en-US" w:eastAsia="zh-CN"/>
        </w:rPr>
        <w:t>探索建立土地要素统筹机制，推动全域土地综合整治。创新一体化投融资机制，完善财税利益分享机制。推动要素市场一体化，加快实现公共资源交易平台共享项目信息、互认经营主体、互通电子服务。</w:t>
      </w:r>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lang w:val="en-US" w:eastAsia="zh-CN"/>
        </w:rPr>
      </w:pPr>
    </w:p>
    <w:p>
      <w:pPr>
        <w:pStyle w:val="3"/>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bookmarkStart w:id="739" w:name="_Toc1231260419"/>
      <w:bookmarkStart w:id="740" w:name="_Toc1496339531"/>
      <w:bookmarkStart w:id="741" w:name="_Toc1225109104"/>
      <w:bookmarkStart w:id="742" w:name="_Toc454181541"/>
      <w:bookmarkStart w:id="743" w:name="_Toc7640"/>
    </w:p>
    <w:p>
      <w:pPr>
        <w:pStyle w:val="3"/>
        <w:pageBreakBefore w:val="0"/>
        <w:widowControl w:val="0"/>
        <w:kinsoku/>
        <w:wordWrap/>
        <w:overflowPunct/>
        <w:topLinePunct w:val="0"/>
        <w:autoSpaceDE/>
        <w:autoSpaceDN/>
        <w:bidi w:val="0"/>
        <w:adjustRightInd w:val="0"/>
        <w:snapToGrid w:val="0"/>
        <w:spacing w:line="576" w:lineRule="exact"/>
        <w:jc w:val="center"/>
        <w:textAlignment w:val="auto"/>
        <w:rPr>
          <w:rFonts w:hint="eastAsia" w:ascii="方正小标宋简体" w:hAnsi="方正小标宋简体" w:eastAsia="方正小标宋简体" w:cs="方正小标宋简体"/>
          <w:color w:val="auto"/>
          <w:kern w:val="44"/>
          <w:sz w:val="40"/>
          <w:szCs w:val="40"/>
          <w:highlight w:val="none"/>
          <w:lang w:val="en-US" w:eastAsia="zh-CN"/>
        </w:rPr>
      </w:pPr>
      <w:r>
        <w:rPr>
          <w:rFonts w:hint="eastAsia" w:ascii="方正小标宋简体" w:hAnsi="方正小标宋简体" w:eastAsia="方正小标宋简体" w:cs="方正小标宋简体"/>
          <w:color w:val="auto"/>
          <w:sz w:val="40"/>
          <w:szCs w:val="40"/>
          <w:highlight w:val="none"/>
        </w:rPr>
        <w:t xml:space="preserve">第十一章  </w:t>
      </w:r>
      <w:bookmarkEnd w:id="733"/>
      <w:bookmarkEnd w:id="734"/>
      <w:bookmarkEnd w:id="735"/>
      <w:bookmarkEnd w:id="736"/>
      <w:bookmarkEnd w:id="737"/>
      <w:bookmarkEnd w:id="739"/>
      <w:r>
        <w:rPr>
          <w:rFonts w:hint="eastAsia" w:ascii="方正小标宋简体" w:hAnsi="方正小标宋简体" w:eastAsia="方正小标宋简体" w:cs="方正小标宋简体"/>
          <w:color w:val="auto"/>
          <w:sz w:val="40"/>
          <w:szCs w:val="40"/>
          <w:highlight w:val="none"/>
          <w:lang w:val="en-US" w:eastAsia="zh-CN"/>
        </w:rPr>
        <w:t>建设文化强市</w:t>
      </w:r>
      <w:bookmarkEnd w:id="740"/>
      <w:bookmarkEnd w:id="741"/>
      <w:bookmarkEnd w:id="742"/>
      <w:bookmarkEnd w:id="743"/>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r>
        <w:rPr>
          <w:rFonts w:hint="eastAsia"/>
          <w:color w:val="auto"/>
          <w:sz w:val="32"/>
          <w:szCs w:val="32"/>
          <w:highlight w:val="none"/>
        </w:rPr>
        <w:t>坚持马克思主义在意识形态领域的指导地位，坚持守正创新，勇担文化使命，打造具有热带滨海特色、自由贸易港优势和创新创造活力的文化强市。</w:t>
      </w:r>
      <w:bookmarkStart w:id="744" w:name="_Toc360009240"/>
      <w:bookmarkStart w:id="745" w:name="_Toc1401065233"/>
      <w:bookmarkStart w:id="746" w:name="_Toc178446334"/>
      <w:bookmarkStart w:id="747" w:name="_Toc13528"/>
      <w:bookmarkStart w:id="748" w:name="_Toc296725480"/>
      <w:bookmarkStart w:id="749" w:name="_Toc211979456"/>
      <w:bookmarkStart w:id="750" w:name="_Toc158455248"/>
      <w:bookmarkStart w:id="751" w:name="_Toc820320036"/>
    </w:p>
    <w:p>
      <w:pPr>
        <w:pStyle w:val="4"/>
        <w:pageBreakBefore w:val="0"/>
        <w:widowControl w:val="0"/>
        <w:shd w:val="clear"/>
        <w:kinsoku/>
        <w:wordWrap/>
        <w:overflowPunct/>
        <w:topLinePunct w:val="0"/>
        <w:autoSpaceDE/>
        <w:autoSpaceDN/>
        <w:bidi w:val="0"/>
        <w:adjustRightInd w:val="0"/>
        <w:snapToGrid w:val="0"/>
        <w:spacing w:line="576" w:lineRule="exact"/>
        <w:ind w:left="0" w:leftChars="0" w:firstLine="0" w:firstLineChars="0"/>
        <w:textAlignment w:val="auto"/>
        <w:rPr>
          <w:rFonts w:hint="eastAsia"/>
          <w:color w:val="auto"/>
          <w:sz w:val="32"/>
          <w:szCs w:val="32"/>
          <w:highlight w:val="none"/>
        </w:rPr>
      </w:pPr>
      <w:bookmarkStart w:id="752" w:name="_Toc1252255980"/>
      <w:bookmarkStart w:id="753" w:name="_Toc213447278"/>
      <w:bookmarkStart w:id="754" w:name="_Toc2138490819"/>
      <w:bookmarkStart w:id="755" w:name="_Toc727897725"/>
      <w:bookmarkStart w:id="756" w:name="_Toc473704769"/>
      <w:bookmarkStart w:id="757" w:name="_Toc329320626"/>
      <w:bookmarkStart w:id="758" w:name="_Toc1356693655"/>
      <w:bookmarkStart w:id="759" w:name="_Toc1088788925"/>
      <w:bookmarkStart w:id="760" w:name="_Toc19685"/>
      <w:bookmarkStart w:id="761" w:name="_Toc760834636"/>
    </w:p>
    <w:p>
      <w:pPr>
        <w:pStyle w:val="4"/>
        <w:pageBreakBefore w:val="0"/>
        <w:widowControl w:val="0"/>
        <w:shd w:val="clear"/>
        <w:kinsoku/>
        <w:wordWrap/>
        <w:overflowPunct/>
        <w:topLinePunct w:val="0"/>
        <w:autoSpaceDE/>
        <w:autoSpaceDN/>
        <w:bidi w:val="0"/>
        <w:adjustRightInd w:val="0"/>
        <w:snapToGrid w:val="0"/>
        <w:spacing w:line="576" w:lineRule="exact"/>
        <w:ind w:left="0" w:leftChars="0" w:firstLine="0" w:firstLineChars="0"/>
        <w:jc w:val="center"/>
        <w:textAlignment w:val="auto"/>
        <w:rPr>
          <w:rFonts w:hint="default" w:eastAsia="楷体"/>
          <w:b w:val="0"/>
          <w:bCs/>
          <w:color w:val="auto"/>
          <w:sz w:val="32"/>
          <w:szCs w:val="32"/>
          <w:highlight w:val="none"/>
          <w:lang w:val="en-US" w:eastAsia="zh-CN"/>
        </w:rPr>
      </w:pPr>
      <w:r>
        <w:rPr>
          <w:rFonts w:hint="eastAsia" w:ascii="黑体" w:hAnsi="黑体" w:eastAsia="黑体" w:cs="黑体"/>
          <w:b w:val="0"/>
          <w:bCs/>
          <w:color w:val="auto"/>
          <w:sz w:val="32"/>
          <w:szCs w:val="32"/>
          <w:highlight w:val="none"/>
        </w:rPr>
        <w:t xml:space="preserve">第一节  </w:t>
      </w:r>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r>
        <w:rPr>
          <w:rFonts w:hint="eastAsia" w:ascii="黑体" w:hAnsi="黑体" w:eastAsia="黑体" w:cs="黑体"/>
          <w:b w:val="0"/>
          <w:bCs/>
          <w:color w:val="auto"/>
          <w:sz w:val="32"/>
          <w:szCs w:val="32"/>
          <w:highlight w:val="none"/>
          <w:lang w:val="en-US" w:eastAsia="zh-CN"/>
        </w:rPr>
        <w:t>不断增强文化自信</w:t>
      </w:r>
      <w:bookmarkEnd w:id="758"/>
      <w:bookmarkEnd w:id="759"/>
      <w:bookmarkEnd w:id="760"/>
      <w:bookmarkEnd w:id="761"/>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eastAsia="仿宋_GB2312"/>
          <w:color w:val="auto"/>
          <w:sz w:val="32"/>
          <w:szCs w:val="32"/>
          <w:highlight w:val="none"/>
          <w:lang w:eastAsia="zh-CN"/>
        </w:rPr>
      </w:pPr>
      <w:r>
        <w:rPr>
          <w:rFonts w:hint="eastAsia"/>
          <w:color w:val="auto"/>
          <w:sz w:val="32"/>
          <w:szCs w:val="32"/>
          <w:highlight w:val="none"/>
        </w:rPr>
        <w:t>深化党的创新理论学习和宣传教育，推动习近平新时代中国特色社会主义思想在三亚走深走实</w:t>
      </w:r>
      <w:r>
        <w:rPr>
          <w:rFonts w:hint="eastAsia"/>
          <w:color w:val="auto"/>
          <w:sz w:val="32"/>
          <w:szCs w:val="32"/>
          <w:highlight w:val="none"/>
          <w:lang w:eastAsia="zh-CN"/>
        </w:rPr>
        <w:t>，大力弘扬和践行社会主义核心价值观，广泛开展群众性精神文明创建，倡导崇德守法、诚信友善、积极向上、开放包容的社会风尚</w:t>
      </w:r>
      <w:r>
        <w:rPr>
          <w:rFonts w:hint="eastAsia"/>
          <w:color w:val="auto"/>
          <w:sz w:val="32"/>
          <w:szCs w:val="32"/>
          <w:highlight w:val="none"/>
        </w:rPr>
        <w:t>。建强新时代文明实践阵地网络，贯彻落实《三亚市文明行为促进条例》，强化道德模范、</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三亚好人</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等先进典型选树宣传，广泛开展文明交通、文明旅游等主题实践活动。抓实校园文化建设，用好红色资源。统筹推进城乡精神文明建设，</w:t>
      </w:r>
      <w:r>
        <w:rPr>
          <w:rFonts w:hint="eastAsia"/>
          <w:color w:val="auto"/>
          <w:sz w:val="32"/>
          <w:szCs w:val="32"/>
          <w:highlight w:val="none"/>
          <w:lang w:eastAsia="zh-CN"/>
        </w:rPr>
        <w:t>持续创建</w:t>
      </w:r>
      <w:r>
        <w:rPr>
          <w:rFonts w:hint="eastAsia"/>
          <w:color w:val="auto"/>
          <w:sz w:val="32"/>
          <w:szCs w:val="32"/>
          <w:highlight w:val="none"/>
        </w:rPr>
        <w:t>文明村、文明单位、文明家庭、文明校园</w:t>
      </w:r>
      <w:r>
        <w:rPr>
          <w:rFonts w:hint="eastAsia"/>
          <w:color w:val="auto"/>
          <w:sz w:val="32"/>
          <w:szCs w:val="32"/>
          <w:highlight w:val="none"/>
          <w:lang w:eastAsia="zh-CN"/>
        </w:rPr>
        <w:t>，</w:t>
      </w:r>
      <w:r>
        <w:rPr>
          <w:rFonts w:hint="eastAsia"/>
          <w:color w:val="auto"/>
          <w:sz w:val="32"/>
          <w:szCs w:val="32"/>
          <w:highlight w:val="none"/>
        </w:rPr>
        <w:t>提升</w:t>
      </w:r>
      <w:r>
        <w:rPr>
          <w:rFonts w:hint="eastAsia"/>
          <w:color w:val="auto"/>
          <w:sz w:val="32"/>
          <w:szCs w:val="32"/>
          <w:highlight w:val="none"/>
          <w:lang w:eastAsia="zh-CN"/>
        </w:rPr>
        <w:t>居民</w:t>
      </w:r>
      <w:r>
        <w:rPr>
          <w:rFonts w:hint="eastAsia"/>
          <w:color w:val="auto"/>
          <w:sz w:val="32"/>
          <w:szCs w:val="32"/>
          <w:highlight w:val="none"/>
        </w:rPr>
        <w:t>文明素养和社会文明程度</w:t>
      </w:r>
      <w:r>
        <w:rPr>
          <w:rFonts w:hint="eastAsia"/>
          <w:color w:val="auto"/>
          <w:sz w:val="32"/>
          <w:szCs w:val="32"/>
          <w:highlight w:val="none"/>
          <w:lang w:eastAsia="zh-CN"/>
        </w:rPr>
        <w:t>，</w:t>
      </w:r>
      <w:r>
        <w:rPr>
          <w:rFonts w:hint="eastAsia"/>
          <w:color w:val="auto"/>
          <w:sz w:val="32"/>
          <w:szCs w:val="32"/>
          <w:highlight w:val="none"/>
        </w:rPr>
        <w:t>努力实现物质文明和精神文明双提升，</w:t>
      </w:r>
      <w:r>
        <w:rPr>
          <w:rFonts w:hint="eastAsia"/>
          <w:color w:val="auto"/>
          <w:sz w:val="32"/>
          <w:szCs w:val="32"/>
          <w:highlight w:val="none"/>
          <w:lang w:eastAsia="zh-CN"/>
        </w:rPr>
        <w:t>力争创成全国文明城市</w:t>
      </w:r>
      <w:r>
        <w:rPr>
          <w:rFonts w:hint="eastAsia"/>
          <w:color w:val="auto"/>
          <w:sz w:val="32"/>
          <w:szCs w:val="32"/>
          <w:highlight w:val="none"/>
        </w:rPr>
        <w:t>。推进新闻宣传和网络舆论一体化管理，深入推进主流媒体系统性变革</w:t>
      </w:r>
      <w:r>
        <w:rPr>
          <w:rFonts w:hint="eastAsia"/>
          <w:color w:val="auto"/>
          <w:sz w:val="32"/>
          <w:szCs w:val="32"/>
          <w:highlight w:val="none"/>
          <w:lang w:eastAsia="zh-CN"/>
        </w:rPr>
        <w:t>，</w:t>
      </w:r>
      <w:r>
        <w:rPr>
          <w:rFonts w:hint="eastAsia"/>
          <w:color w:val="auto"/>
          <w:sz w:val="32"/>
          <w:szCs w:val="32"/>
          <w:highlight w:val="none"/>
        </w:rPr>
        <w:t>提高主流舆论引导能力。加强国际传播能力建设，广泛开展国际人文交流合作</w:t>
      </w:r>
      <w:r>
        <w:rPr>
          <w:rFonts w:hint="eastAsia"/>
          <w:color w:val="auto"/>
          <w:sz w:val="32"/>
          <w:szCs w:val="32"/>
          <w:highlight w:val="none"/>
          <w:lang w:eastAsia="zh-CN"/>
        </w:rPr>
        <w:t>，</w:t>
      </w:r>
      <w:r>
        <w:rPr>
          <w:rFonts w:hint="eastAsia"/>
          <w:color w:val="auto"/>
          <w:sz w:val="32"/>
          <w:szCs w:val="32"/>
          <w:highlight w:val="none"/>
        </w:rPr>
        <w:t>讲</w:t>
      </w:r>
      <w:r>
        <w:rPr>
          <w:rFonts w:hint="eastAsia"/>
          <w:color w:val="auto"/>
          <w:sz w:val="32"/>
          <w:szCs w:val="32"/>
          <w:highlight w:val="none"/>
          <w:lang w:eastAsia="zh-CN"/>
        </w:rPr>
        <w:t>述</w:t>
      </w:r>
      <w:r>
        <w:rPr>
          <w:rFonts w:hint="eastAsia"/>
          <w:color w:val="auto"/>
          <w:sz w:val="32"/>
          <w:szCs w:val="32"/>
          <w:highlight w:val="none"/>
        </w:rPr>
        <w:t>好三亚故事，树立</w:t>
      </w:r>
      <w:r>
        <w:rPr>
          <w:rFonts w:hint="eastAsia"/>
          <w:color w:val="auto"/>
          <w:sz w:val="32"/>
          <w:szCs w:val="32"/>
          <w:highlight w:val="none"/>
          <w:lang w:eastAsia="zh-CN"/>
        </w:rPr>
        <w:t>好海南自由贸易港形象，提升中华文明传播力影响力</w:t>
      </w:r>
      <w:r>
        <w:rPr>
          <w:rFonts w:hint="eastAsia"/>
          <w:color w:val="auto"/>
          <w:sz w:val="32"/>
          <w:szCs w:val="32"/>
          <w:highlight w:val="none"/>
        </w:rPr>
        <w:t>。</w:t>
      </w:r>
    </w:p>
    <w:p>
      <w:pPr>
        <w:pStyle w:val="4"/>
        <w:pageBreakBefore w:val="0"/>
        <w:widowControl w:val="0"/>
        <w:shd w:val="clear"/>
        <w:kinsoku/>
        <w:wordWrap/>
        <w:overflowPunct/>
        <w:topLinePunct w:val="0"/>
        <w:autoSpaceDE/>
        <w:autoSpaceDN/>
        <w:bidi w:val="0"/>
        <w:adjustRightInd w:val="0"/>
        <w:snapToGrid w:val="0"/>
        <w:spacing w:line="576" w:lineRule="exact"/>
        <w:ind w:left="0" w:leftChars="0" w:firstLine="0" w:firstLineChars="0"/>
        <w:textAlignment w:val="auto"/>
        <w:rPr>
          <w:rFonts w:hint="eastAsia"/>
          <w:color w:val="auto"/>
          <w:sz w:val="32"/>
          <w:szCs w:val="32"/>
          <w:highlight w:val="none"/>
        </w:rPr>
      </w:pPr>
      <w:bookmarkStart w:id="762" w:name="_Toc880259700"/>
      <w:bookmarkStart w:id="763" w:name="_Toc1072635465"/>
      <w:bookmarkStart w:id="764" w:name="_Toc1558981219"/>
      <w:bookmarkStart w:id="765" w:name="_Toc281480416"/>
      <w:bookmarkStart w:id="766" w:name="_Toc20117"/>
      <w:bookmarkStart w:id="767" w:name="_Toc1823"/>
      <w:bookmarkStart w:id="768" w:name="_Toc903607052"/>
      <w:bookmarkStart w:id="769" w:name="_Toc1486276938"/>
      <w:bookmarkStart w:id="770" w:name="_Toc1684626667"/>
      <w:bookmarkStart w:id="771" w:name="_Toc449927525"/>
      <w:bookmarkStart w:id="772" w:name="_Toc706724658"/>
      <w:bookmarkStart w:id="773" w:name="_Toc616636775"/>
      <w:bookmarkStart w:id="774" w:name="_Toc211979457"/>
      <w:bookmarkStart w:id="775" w:name="_Toc1387170703"/>
      <w:bookmarkStart w:id="776" w:name="_Toc213447279"/>
      <w:bookmarkStart w:id="777" w:name="_Toc742382556"/>
      <w:bookmarkStart w:id="778" w:name="_Toc1006302753"/>
      <w:bookmarkStart w:id="779" w:name="_Toc1596103963"/>
    </w:p>
    <w:p>
      <w:pPr>
        <w:pStyle w:val="4"/>
        <w:pageBreakBefore w:val="0"/>
        <w:widowControl w:val="0"/>
        <w:shd w:val="clear"/>
        <w:kinsoku/>
        <w:wordWrap/>
        <w:overflowPunct/>
        <w:topLinePunct w:val="0"/>
        <w:autoSpaceDE/>
        <w:autoSpaceDN/>
        <w:bidi w:val="0"/>
        <w:adjustRightInd w:val="0"/>
        <w:snapToGrid w:val="0"/>
        <w:spacing w:line="576"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第二节  大力繁荣文化事业</w:t>
      </w:r>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p>
    <w:p>
      <w:pPr>
        <w:pStyle w:val="31"/>
        <w:pageBreakBefore w:val="0"/>
        <w:widowControl w:val="0"/>
        <w:kinsoku/>
        <w:wordWrap/>
        <w:overflowPunct/>
        <w:topLinePunct w:val="0"/>
        <w:autoSpaceDE/>
        <w:autoSpaceDN/>
        <w:bidi w:val="0"/>
        <w:adjustRightInd w:val="0"/>
        <w:snapToGrid w:val="0"/>
        <w:spacing w:line="576" w:lineRule="exact"/>
        <w:textAlignment w:val="auto"/>
        <w:rPr>
          <w:rFonts w:hint="eastAsia" w:eastAsia="仿宋_GB2312"/>
          <w:color w:val="auto"/>
          <w:sz w:val="32"/>
          <w:szCs w:val="32"/>
          <w:highlight w:val="none"/>
          <w:lang w:eastAsia="zh-CN"/>
        </w:rPr>
      </w:pPr>
      <w:r>
        <w:rPr>
          <w:rFonts w:hint="eastAsia"/>
          <w:b/>
          <w:bCs/>
          <w:color w:val="auto"/>
          <w:sz w:val="32"/>
          <w:szCs w:val="32"/>
          <w:highlight w:val="none"/>
        </w:rPr>
        <w:t>加强文化遗产保护传承。</w:t>
      </w:r>
      <w:r>
        <w:rPr>
          <w:rFonts w:hint="eastAsia"/>
          <w:color w:val="auto"/>
          <w:sz w:val="32"/>
          <w:szCs w:val="32"/>
          <w:highlight w:val="none"/>
        </w:rPr>
        <w:t>深入实施中华优秀传统文化传承发展工程，</w:t>
      </w:r>
      <w:r>
        <w:rPr>
          <w:rFonts w:hint="eastAsia"/>
          <w:color w:val="auto"/>
          <w:sz w:val="32"/>
          <w:szCs w:val="32"/>
          <w:highlight w:val="none"/>
          <w:lang w:eastAsia="zh-CN"/>
        </w:rPr>
        <w:t>以标志性改革举措推进文化遗产系统性保护，</w:t>
      </w:r>
      <w:r>
        <w:rPr>
          <w:rFonts w:hint="eastAsia"/>
          <w:color w:val="auto"/>
          <w:sz w:val="32"/>
          <w:szCs w:val="32"/>
          <w:highlight w:val="none"/>
        </w:rPr>
        <w:t>保护好</w:t>
      </w:r>
      <w:r>
        <w:rPr>
          <w:rFonts w:hint="eastAsia"/>
          <w:color w:val="auto"/>
          <w:sz w:val="32"/>
          <w:szCs w:val="32"/>
          <w:highlight w:val="none"/>
          <w:lang w:eastAsia="zh-CN"/>
        </w:rPr>
        <w:t>、运用好、传承好</w:t>
      </w:r>
      <w:r>
        <w:rPr>
          <w:rFonts w:hint="eastAsia"/>
          <w:color w:val="auto"/>
          <w:sz w:val="32"/>
          <w:szCs w:val="32"/>
          <w:highlight w:val="none"/>
        </w:rPr>
        <w:t>三亚</w:t>
      </w:r>
      <w:r>
        <w:rPr>
          <w:rFonts w:hint="eastAsia"/>
          <w:color w:val="auto"/>
          <w:sz w:val="32"/>
          <w:szCs w:val="32"/>
          <w:highlight w:val="none"/>
          <w:lang w:eastAsia="zh-CN"/>
        </w:rPr>
        <w:t>的</w:t>
      </w:r>
      <w:r>
        <w:rPr>
          <w:rFonts w:hint="eastAsia"/>
          <w:color w:val="auto"/>
          <w:sz w:val="32"/>
          <w:szCs w:val="32"/>
          <w:highlight w:val="none"/>
        </w:rPr>
        <w:t>历史文化、革命文化、民俗文化、海洋文化</w:t>
      </w:r>
      <w:r>
        <w:rPr>
          <w:rFonts w:hint="eastAsia"/>
          <w:color w:val="auto"/>
          <w:sz w:val="32"/>
          <w:szCs w:val="32"/>
          <w:highlight w:val="none"/>
          <w:lang w:eastAsia="zh-CN"/>
        </w:rPr>
        <w:t>资源</w:t>
      </w:r>
      <w:r>
        <w:rPr>
          <w:rFonts w:hint="eastAsia"/>
          <w:color w:val="auto"/>
          <w:sz w:val="32"/>
          <w:szCs w:val="32"/>
          <w:highlight w:val="none"/>
        </w:rPr>
        <w:t>。加强历史文化名城、街区、</w:t>
      </w:r>
      <w:r>
        <w:rPr>
          <w:rFonts w:hint="eastAsia"/>
          <w:color w:val="auto"/>
          <w:sz w:val="32"/>
          <w:szCs w:val="32"/>
          <w:highlight w:val="none"/>
          <w:lang w:eastAsia="zh-CN"/>
        </w:rPr>
        <w:t>村镇等文化遗产的</w:t>
      </w:r>
      <w:r>
        <w:rPr>
          <w:rFonts w:hint="eastAsia"/>
          <w:color w:val="auto"/>
          <w:sz w:val="32"/>
          <w:szCs w:val="32"/>
          <w:highlight w:val="none"/>
        </w:rPr>
        <w:t>有效保护，完善文物保护</w:t>
      </w:r>
      <w:r>
        <w:rPr>
          <w:rFonts w:hint="eastAsia"/>
          <w:color w:val="auto"/>
          <w:sz w:val="32"/>
          <w:szCs w:val="32"/>
          <w:highlight w:val="none"/>
          <w:lang w:eastAsia="zh-CN"/>
        </w:rPr>
        <w:t>和基本建设考古工作</w:t>
      </w:r>
      <w:r>
        <w:rPr>
          <w:rFonts w:hint="eastAsia"/>
          <w:color w:val="auto"/>
          <w:sz w:val="32"/>
          <w:szCs w:val="32"/>
          <w:highlight w:val="none"/>
        </w:rPr>
        <w:t>机制</w:t>
      </w:r>
      <w:r>
        <w:rPr>
          <w:rFonts w:hint="eastAsia"/>
          <w:color w:val="auto"/>
          <w:sz w:val="32"/>
          <w:szCs w:val="32"/>
          <w:highlight w:val="none"/>
          <w:lang w:eastAsia="zh-CN"/>
        </w:rPr>
        <w:t>，强化文物安全监管，初步建立类型丰富、主题多元、普惠均等的博物馆体系。弘扬琼崖革命文化</w:t>
      </w:r>
      <w:r>
        <w:rPr>
          <w:rFonts w:hint="eastAsia"/>
          <w:color w:val="auto"/>
          <w:sz w:val="32"/>
          <w:szCs w:val="32"/>
          <w:highlight w:val="none"/>
        </w:rPr>
        <w:t>，</w:t>
      </w:r>
      <w:r>
        <w:rPr>
          <w:rFonts w:hint="eastAsia"/>
          <w:color w:val="auto"/>
          <w:sz w:val="32"/>
          <w:szCs w:val="32"/>
          <w:highlight w:val="none"/>
          <w:lang w:eastAsia="zh-CN"/>
        </w:rPr>
        <w:t>充分挖掘冼夫人、鉴真、黄道婆、钟芳等历史名人时代价值，建好红色基因库和红色教育基地。</w:t>
      </w:r>
      <w:r>
        <w:rPr>
          <w:rFonts w:hint="eastAsia"/>
          <w:color w:val="auto"/>
          <w:sz w:val="32"/>
          <w:szCs w:val="32"/>
          <w:highlight w:val="none"/>
        </w:rPr>
        <w:t>深入开展民俗文化保护工作，做强传统工艺工作基地，加强非物质文化遗产挖掘保护，传承好崖州文化、</w:t>
      </w:r>
      <w:r>
        <w:rPr>
          <w:rFonts w:hint="eastAsia"/>
          <w:color w:val="auto"/>
          <w:sz w:val="32"/>
          <w:szCs w:val="32"/>
          <w:highlight w:val="none"/>
          <w:lang w:eastAsia="zh-CN"/>
        </w:rPr>
        <w:t>黎族传统纺染织绣技艺、</w:t>
      </w:r>
      <w:r>
        <w:rPr>
          <w:rFonts w:hint="eastAsia"/>
          <w:color w:val="auto"/>
          <w:sz w:val="32"/>
          <w:szCs w:val="32"/>
          <w:highlight w:val="none"/>
        </w:rPr>
        <w:t>苗绣等非物质文化遗产，力争更多项目列入省级、国家级非物质文化遗产名录。充分挖掘</w:t>
      </w:r>
      <w:r>
        <w:rPr>
          <w:rFonts w:hint="eastAsia"/>
          <w:color w:val="auto"/>
          <w:sz w:val="32"/>
          <w:szCs w:val="32"/>
          <w:highlight w:val="none"/>
          <w:lang w:eastAsia="zh-CN"/>
        </w:rPr>
        <w:t>传承</w:t>
      </w:r>
      <w:r>
        <w:rPr>
          <w:rFonts w:hint="eastAsia"/>
          <w:color w:val="auto"/>
          <w:sz w:val="32"/>
          <w:szCs w:val="32"/>
          <w:highlight w:val="none"/>
        </w:rPr>
        <w:t>疍歌、海螺姑娘传说</w:t>
      </w:r>
      <w:r>
        <w:rPr>
          <w:rFonts w:hint="eastAsia"/>
          <w:color w:val="auto"/>
          <w:sz w:val="32"/>
          <w:szCs w:val="32"/>
          <w:highlight w:val="none"/>
          <w:lang w:eastAsia="zh-CN"/>
        </w:rPr>
        <w:t>等</w:t>
      </w:r>
      <w:r>
        <w:rPr>
          <w:rFonts w:hint="eastAsia"/>
          <w:color w:val="auto"/>
          <w:sz w:val="32"/>
          <w:szCs w:val="32"/>
          <w:highlight w:val="none"/>
        </w:rPr>
        <w:t>海洋文化</w:t>
      </w:r>
      <w:r>
        <w:rPr>
          <w:rFonts w:hint="eastAsia"/>
          <w:color w:val="auto"/>
          <w:sz w:val="32"/>
          <w:szCs w:val="32"/>
          <w:highlight w:val="none"/>
          <w:lang w:eastAsia="zh-CN"/>
        </w:rPr>
        <w:t>遗产</w:t>
      </w:r>
      <w:r>
        <w:rPr>
          <w:rFonts w:hint="eastAsia"/>
          <w:color w:val="auto"/>
          <w:sz w:val="32"/>
          <w:szCs w:val="32"/>
          <w:highlight w:val="none"/>
        </w:rPr>
        <w:t>，提升文化原创能力。</w:t>
      </w:r>
      <w:r>
        <w:rPr>
          <w:rFonts w:hint="eastAsia"/>
          <w:color w:val="auto"/>
          <w:sz w:val="32"/>
          <w:szCs w:val="32"/>
          <w:highlight w:val="none"/>
          <w:lang w:eastAsia="zh-CN"/>
        </w:rPr>
        <w:t>做好全国第三轮地方志书编修试点工作。</w:t>
      </w:r>
    </w:p>
    <w:p>
      <w:pPr>
        <w:pStyle w:val="31"/>
        <w:pageBreakBefore w:val="0"/>
        <w:widowControl w:val="0"/>
        <w:kinsoku/>
        <w:wordWrap/>
        <w:overflowPunct/>
        <w:topLinePunct w:val="0"/>
        <w:autoSpaceDE/>
        <w:autoSpaceDN/>
        <w:bidi w:val="0"/>
        <w:adjustRightInd w:val="0"/>
        <w:snapToGrid w:val="0"/>
        <w:spacing w:after="251" w:afterLines="80" w:line="576" w:lineRule="exact"/>
        <w:textAlignment w:val="auto"/>
        <w:rPr>
          <w:rFonts w:hint="eastAsia"/>
          <w:color w:val="auto"/>
          <w:sz w:val="32"/>
          <w:szCs w:val="32"/>
          <w:highlight w:val="none"/>
        </w:rPr>
      </w:pPr>
      <w:r>
        <w:rPr>
          <w:rFonts w:hint="eastAsia"/>
          <w:b/>
          <w:bCs/>
          <w:color w:val="auto"/>
          <w:sz w:val="32"/>
          <w:szCs w:val="32"/>
          <w:highlight w:val="none"/>
        </w:rPr>
        <w:t>提高公共文化服务供给质量。</w:t>
      </w:r>
      <w:r>
        <w:rPr>
          <w:rFonts w:hint="eastAsia"/>
          <w:color w:val="auto"/>
          <w:sz w:val="32"/>
          <w:szCs w:val="32"/>
          <w:highlight w:val="none"/>
          <w:lang w:eastAsia="zh-CN"/>
        </w:rPr>
        <w:t>健全城乡公共文化服务体系，建设书香三亚和学习型社会，</w:t>
      </w:r>
      <w:r>
        <w:rPr>
          <w:rFonts w:hint="eastAsia"/>
          <w:color w:val="auto"/>
          <w:sz w:val="32"/>
          <w:szCs w:val="32"/>
          <w:highlight w:val="none"/>
        </w:rPr>
        <w:t>完善城乡文化设施网络布局，推进市图书馆改扩建、文化馆总分馆</w:t>
      </w:r>
      <w:r>
        <w:rPr>
          <w:rFonts w:hint="eastAsia"/>
          <w:color w:val="auto"/>
          <w:sz w:val="32"/>
          <w:szCs w:val="32"/>
          <w:highlight w:val="none"/>
          <w:lang w:eastAsia="zh-CN"/>
        </w:rPr>
        <w:t>和</w:t>
      </w:r>
      <w:r>
        <w:rPr>
          <w:rFonts w:hint="eastAsia"/>
          <w:color w:val="auto"/>
          <w:sz w:val="32"/>
          <w:szCs w:val="32"/>
          <w:highlight w:val="none"/>
        </w:rPr>
        <w:t>青少年宫建设，打造一批</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城市书房</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等</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小而美</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文化空间。统筹推进群众体育和竞技体育发展，丰富体育设施供给，优化三亚体育中心</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两场两馆</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功能，推动农村公共文化服务点建设和运行。丰富基层文化活动供给，常态化开展社区运动会和乡村艺术节等惠民活动</w:t>
      </w:r>
      <w:r>
        <w:rPr>
          <w:rFonts w:hint="eastAsia"/>
          <w:color w:val="auto"/>
          <w:sz w:val="32"/>
          <w:szCs w:val="32"/>
          <w:highlight w:val="none"/>
          <w:lang w:eastAsia="zh-CN"/>
        </w:rPr>
        <w:t>，</w:t>
      </w:r>
      <w:r>
        <w:rPr>
          <w:rFonts w:hint="eastAsia"/>
          <w:color w:val="auto"/>
          <w:sz w:val="32"/>
          <w:szCs w:val="32"/>
          <w:highlight w:val="none"/>
        </w:rPr>
        <w:t>办好</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村</w:t>
      </w:r>
      <w:r>
        <w:rPr>
          <w:rFonts w:hint="default" w:ascii="Times New Roman" w:hAnsi="Times New Roman" w:cs="Times New Roman"/>
          <w:color w:val="auto"/>
          <w:sz w:val="32"/>
          <w:szCs w:val="32"/>
          <w:highlight w:val="none"/>
        </w:rPr>
        <w:t>BA</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村跑</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等群众性文化体育活动。</w:t>
      </w:r>
      <w:r>
        <w:rPr>
          <w:rFonts w:hint="eastAsia"/>
          <w:color w:val="auto"/>
          <w:sz w:val="32"/>
          <w:szCs w:val="32"/>
          <w:highlight w:val="none"/>
          <w:lang w:eastAsia="zh-CN"/>
        </w:rPr>
        <w:t>繁荣互联网条件下新大众文艺，</w:t>
      </w:r>
      <w:r>
        <w:rPr>
          <w:rFonts w:hint="eastAsia"/>
          <w:color w:val="auto"/>
          <w:sz w:val="32"/>
          <w:szCs w:val="32"/>
          <w:highlight w:val="none"/>
        </w:rPr>
        <w:t>提高公共文化服务智慧化水平，加快文化场馆数字化转型升级，布局智能文化服务终端。</w:t>
      </w:r>
    </w:p>
    <w:tbl>
      <w:tblPr>
        <w:tblStyle w:val="22"/>
        <w:tblW w:w="8296"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296" w:type="dxa"/>
          </w:tcPr>
          <w:p>
            <w:pPr>
              <w:keepNext w:val="0"/>
              <w:keepLines w:val="0"/>
              <w:pageBreakBefore w:val="0"/>
              <w:widowControl w:val="0"/>
              <w:shd w:val="clear"/>
              <w:kinsoku/>
              <w:wordWrap/>
              <w:overflowPunct/>
              <w:topLinePunct w:val="0"/>
              <w:autoSpaceDE/>
              <w:autoSpaceDN/>
              <w:bidi w:val="0"/>
              <w:snapToGrid w:val="0"/>
              <w:spacing w:before="157" w:beforeLines="50" w:after="157" w:afterLines="50" w:line="440" w:lineRule="exact"/>
              <w:jc w:val="center"/>
              <w:textAlignment w:val="auto"/>
              <w:rPr>
                <w:rFonts w:ascii="Times New Roman" w:hAnsi="Times New Roman" w:eastAsia="黑体" w:cs="方正楷体_GBK"/>
                <w:color w:val="auto"/>
                <w:sz w:val="28"/>
                <w:szCs w:val="28"/>
                <w:highlight w:val="none"/>
              </w:rPr>
            </w:pPr>
            <w:r>
              <w:rPr>
                <w:rFonts w:hint="eastAsia" w:ascii="Times New Roman" w:hAnsi="Times New Roman" w:eastAsia="黑体" w:cs="方正楷体_GBK"/>
                <w:color w:val="auto"/>
                <w:sz w:val="28"/>
                <w:szCs w:val="28"/>
                <w:highlight w:val="none"/>
              </w:rPr>
              <w:t>专栏</w:t>
            </w:r>
            <w:r>
              <w:rPr>
                <w:rFonts w:hint="default" w:ascii="Times New Roman" w:hAnsi="Times New Roman" w:eastAsia="黑体" w:cs="Times New Roman"/>
                <w:bCs/>
                <w:color w:val="auto"/>
                <w:sz w:val="28"/>
                <w:szCs w:val="28"/>
                <w:highlight w:val="none"/>
              </w:rPr>
              <w:fldChar w:fldCharType="begin"/>
            </w:r>
            <w:r>
              <w:rPr>
                <w:rFonts w:hint="default" w:ascii="Times New Roman" w:hAnsi="Times New Roman" w:eastAsia="黑体" w:cs="Times New Roman"/>
                <w:bCs/>
                <w:color w:val="auto"/>
                <w:sz w:val="28"/>
                <w:szCs w:val="28"/>
                <w:highlight w:val="none"/>
              </w:rPr>
              <w:instrText xml:space="preserve"> SEQ 表格 \* ARABIC </w:instrText>
            </w:r>
            <w:r>
              <w:rPr>
                <w:rFonts w:hint="default" w:ascii="Times New Roman" w:hAnsi="Times New Roman" w:eastAsia="黑体" w:cs="Times New Roman"/>
                <w:bCs/>
                <w:color w:val="auto"/>
                <w:sz w:val="28"/>
                <w:szCs w:val="28"/>
                <w:highlight w:val="none"/>
              </w:rPr>
              <w:fldChar w:fldCharType="separate"/>
            </w:r>
            <w:r>
              <w:rPr>
                <w:rFonts w:hint="default" w:ascii="Times New Roman" w:hAnsi="Times New Roman" w:eastAsia="黑体" w:cs="Times New Roman"/>
                <w:bCs/>
                <w:color w:val="auto"/>
                <w:sz w:val="28"/>
                <w:szCs w:val="28"/>
                <w:highlight w:val="none"/>
              </w:rPr>
              <w:t>1</w:t>
            </w:r>
            <w:r>
              <w:rPr>
                <w:rFonts w:hint="default" w:ascii="Times New Roman" w:hAnsi="Times New Roman" w:eastAsia="黑体" w:cs="Times New Roman"/>
                <w:bCs/>
                <w:color w:val="auto"/>
                <w:sz w:val="28"/>
                <w:szCs w:val="28"/>
                <w:highlight w:val="none"/>
              </w:rPr>
              <w:fldChar w:fldCharType="end"/>
            </w:r>
            <w:r>
              <w:rPr>
                <w:rFonts w:hint="default" w:ascii="Times New Roman" w:hAnsi="Times New Roman" w:eastAsia="黑体" w:cs="Times New Roman"/>
                <w:bCs/>
                <w:color w:val="auto"/>
                <w:sz w:val="28"/>
                <w:szCs w:val="28"/>
                <w:highlight w:val="none"/>
                <w:lang w:val="en-US" w:eastAsia="zh-CN"/>
              </w:rPr>
              <w:t>1</w:t>
            </w:r>
            <w:r>
              <w:rPr>
                <w:rFonts w:hint="eastAsia" w:ascii="Times New Roman" w:hAnsi="Times New Roman" w:eastAsia="黑体" w:cs="方正楷体_GBK"/>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w:t>
            </w:r>
            <w:r>
              <w:rPr>
                <w:rFonts w:hint="eastAsia" w:ascii="Times New Roman" w:hAnsi="Times New Roman" w:eastAsia="黑体" w:cs="方正楷体_GBK"/>
                <w:color w:val="auto"/>
                <w:sz w:val="28"/>
                <w:szCs w:val="28"/>
                <w:highlight w:val="none"/>
              </w:rPr>
              <w:t>十五五</w:t>
            </w:r>
            <w:r>
              <w:rPr>
                <w:rFonts w:hint="eastAsia" w:ascii="仿宋_GB2312" w:hAnsi="仿宋_GB2312" w:eastAsia="仿宋_GB2312" w:cs="仿宋_GB2312"/>
                <w:color w:val="auto"/>
                <w:sz w:val="28"/>
                <w:szCs w:val="28"/>
                <w:highlight w:val="none"/>
              </w:rPr>
              <w:t>”</w:t>
            </w:r>
            <w:r>
              <w:rPr>
                <w:rFonts w:hint="eastAsia" w:ascii="Times New Roman" w:hAnsi="Times New Roman" w:eastAsia="黑体" w:cs="方正楷体_GBK"/>
                <w:color w:val="auto"/>
                <w:sz w:val="28"/>
                <w:szCs w:val="28"/>
                <w:highlight w:val="none"/>
              </w:rPr>
              <w:t>时期重要文化工程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296" w:type="dxa"/>
            <w:vAlign w:val="center"/>
          </w:tcPr>
          <w:p>
            <w:pPr>
              <w:pStyle w:val="33"/>
              <w:keepNext w:val="0"/>
              <w:keepLines w:val="0"/>
              <w:pageBreakBefore w:val="0"/>
              <w:widowControl w:val="0"/>
              <w:shd w:val="clear"/>
              <w:kinsoku/>
              <w:wordWrap/>
              <w:overflowPunct/>
              <w:topLinePunct w:val="0"/>
              <w:autoSpaceDE/>
              <w:autoSpaceDN/>
              <w:bidi w:val="0"/>
              <w:snapToGrid w:val="0"/>
              <w:spacing w:before="157" w:beforeLines="50" w:after="157" w:afterLines="50" w:line="440" w:lineRule="exact"/>
              <w:ind w:firstLine="562"/>
              <w:textAlignment w:val="auto"/>
              <w:rPr>
                <w:color w:val="auto"/>
                <w:highlight w:val="none"/>
              </w:rPr>
            </w:pPr>
            <w:r>
              <w:rPr>
                <w:rFonts w:hint="default" w:ascii="Times New Roman" w:hAnsi="Times New Roman" w:cs="Times New Roman"/>
                <w:b/>
                <w:bCs/>
                <w:color w:val="auto"/>
                <w:highlight w:val="none"/>
              </w:rPr>
              <w:t>1</w:t>
            </w:r>
            <w:r>
              <w:rPr>
                <w:rFonts w:hint="eastAsia" w:ascii="楷体_GB2312" w:hAnsi="楷体_GB2312" w:eastAsia="楷体_GB2312" w:cs="楷体_GB2312"/>
                <w:b/>
                <w:bCs/>
                <w:color w:val="auto"/>
                <w:highlight w:val="none"/>
                <w:lang w:eastAsia="zh-CN"/>
              </w:rPr>
              <w:t>.</w:t>
            </w:r>
            <w:r>
              <w:rPr>
                <w:rFonts w:hint="eastAsia"/>
                <w:b/>
                <w:bCs/>
                <w:color w:val="auto"/>
                <w:highlight w:val="none"/>
              </w:rPr>
              <w:t>文化设施升级工程。</w:t>
            </w:r>
            <w:r>
              <w:rPr>
                <w:rFonts w:hint="eastAsia"/>
                <w:color w:val="auto"/>
                <w:highlight w:val="none"/>
              </w:rPr>
              <w:t>加快三亚文化中心（市博物馆、市综合档案馆新馆）、三亚市美术馆</w:t>
            </w:r>
            <w:r>
              <w:rPr>
                <w:rFonts w:hint="eastAsia"/>
                <w:color w:val="auto"/>
                <w:highlight w:val="none"/>
                <w:lang w:eastAsia="zh-CN"/>
              </w:rPr>
              <w:t>、</w:t>
            </w:r>
            <w:r>
              <w:rPr>
                <w:rFonts w:hint="eastAsia"/>
                <w:color w:val="auto"/>
                <w:highlight w:val="none"/>
              </w:rPr>
              <w:t>科技馆等项目建设和功能升级。</w:t>
            </w:r>
          </w:p>
          <w:p>
            <w:pPr>
              <w:pStyle w:val="33"/>
              <w:keepNext w:val="0"/>
              <w:keepLines w:val="0"/>
              <w:pageBreakBefore w:val="0"/>
              <w:widowControl w:val="0"/>
              <w:shd w:val="clear"/>
              <w:kinsoku/>
              <w:wordWrap/>
              <w:overflowPunct/>
              <w:topLinePunct w:val="0"/>
              <w:autoSpaceDE/>
              <w:autoSpaceDN/>
              <w:bidi w:val="0"/>
              <w:snapToGrid w:val="0"/>
              <w:spacing w:before="157" w:beforeLines="50" w:after="157" w:afterLines="50" w:line="440" w:lineRule="exact"/>
              <w:ind w:firstLine="562"/>
              <w:textAlignment w:val="auto"/>
              <w:rPr>
                <w:color w:val="auto"/>
                <w:highlight w:val="none"/>
              </w:rPr>
            </w:pPr>
            <w:r>
              <w:rPr>
                <w:rFonts w:hint="default" w:ascii="Times New Roman" w:hAnsi="Times New Roman" w:cs="Times New Roman"/>
                <w:b/>
                <w:bCs/>
                <w:color w:val="auto"/>
                <w:highlight w:val="none"/>
              </w:rPr>
              <w:t>2</w:t>
            </w:r>
            <w:r>
              <w:rPr>
                <w:rFonts w:hint="eastAsia" w:ascii="楷体_GB2312" w:hAnsi="楷体_GB2312" w:eastAsia="楷体_GB2312" w:cs="楷体_GB2312"/>
                <w:b/>
                <w:bCs/>
                <w:color w:val="auto"/>
                <w:highlight w:val="none"/>
                <w:lang w:eastAsia="zh-CN"/>
              </w:rPr>
              <w:t>.</w:t>
            </w:r>
            <w:r>
              <w:rPr>
                <w:rFonts w:hint="eastAsia"/>
                <w:b/>
                <w:bCs/>
                <w:color w:val="auto"/>
                <w:highlight w:val="none"/>
              </w:rPr>
              <w:t>文物保护传承工程。</w:t>
            </w:r>
            <w:r>
              <w:rPr>
                <w:rFonts w:hint="eastAsia"/>
                <w:color w:val="auto"/>
                <w:highlight w:val="none"/>
                <w:lang w:eastAsia="zh-CN"/>
              </w:rPr>
              <w:t>加强崖州古城文化保护开发工作，支持崖州古城申报中国历史文化名城。</w:t>
            </w:r>
            <w:r>
              <w:rPr>
                <w:rFonts w:hint="eastAsia"/>
                <w:color w:val="auto"/>
                <w:highlight w:val="none"/>
              </w:rPr>
              <w:t>推进崖州</w:t>
            </w:r>
            <w:r>
              <w:rPr>
                <w:rFonts w:hint="eastAsia"/>
                <w:color w:val="auto"/>
                <w:highlight w:val="none"/>
                <w:lang w:eastAsia="zh-CN"/>
              </w:rPr>
              <w:t>古城</w:t>
            </w:r>
            <w:r>
              <w:rPr>
                <w:rFonts w:hint="eastAsia"/>
                <w:color w:val="auto"/>
                <w:highlight w:val="none"/>
              </w:rPr>
              <w:t>历史文化</w:t>
            </w:r>
            <w:r>
              <w:rPr>
                <w:rFonts w:hint="eastAsia"/>
                <w:color w:val="auto"/>
                <w:highlight w:val="none"/>
                <w:lang w:eastAsia="zh-CN"/>
              </w:rPr>
              <w:t>保护传承与利用建设</w:t>
            </w:r>
            <w:r>
              <w:rPr>
                <w:rFonts w:hint="eastAsia"/>
                <w:color w:val="auto"/>
                <w:highlight w:val="none"/>
              </w:rPr>
              <w:t>项目、落笔洞保护与利用项目（国家考古遗址公园）</w:t>
            </w:r>
            <w:r>
              <w:rPr>
                <w:rFonts w:hint="eastAsia"/>
                <w:color w:val="auto"/>
                <w:highlight w:val="none"/>
                <w:lang w:eastAsia="zh-CN"/>
              </w:rPr>
              <w:t>建设</w:t>
            </w:r>
            <w:r>
              <w:rPr>
                <w:rFonts w:hint="eastAsia"/>
                <w:color w:val="auto"/>
                <w:highlight w:val="none"/>
              </w:rPr>
              <w:t>。</w:t>
            </w:r>
          </w:p>
        </w:tc>
      </w:tr>
    </w:tbl>
    <w:p>
      <w:pPr>
        <w:pStyle w:val="4"/>
        <w:pageBreakBefore w:val="0"/>
        <w:widowControl w:val="0"/>
        <w:shd w:val="clear"/>
        <w:kinsoku/>
        <w:wordWrap/>
        <w:overflowPunct/>
        <w:topLinePunct w:val="0"/>
        <w:autoSpaceDE/>
        <w:autoSpaceDN/>
        <w:bidi w:val="0"/>
        <w:adjustRightInd w:val="0"/>
        <w:snapToGrid w:val="0"/>
        <w:spacing w:line="588" w:lineRule="exact"/>
        <w:textAlignment w:val="auto"/>
        <w:rPr>
          <w:rFonts w:hint="eastAsia"/>
          <w:b w:val="0"/>
          <w:bCs/>
          <w:color w:val="auto"/>
          <w:highlight w:val="none"/>
        </w:rPr>
      </w:pPr>
      <w:bookmarkStart w:id="780" w:name="_Toc1952176306"/>
      <w:bookmarkStart w:id="781" w:name="_Toc358951379"/>
      <w:bookmarkStart w:id="782" w:name="_Toc869209190"/>
      <w:bookmarkStart w:id="783" w:name="_Toc1955852940"/>
      <w:bookmarkStart w:id="784" w:name="_Toc1005724744"/>
      <w:bookmarkStart w:id="785" w:name="_Toc1643407135"/>
      <w:bookmarkStart w:id="786" w:name="_Toc989521490"/>
      <w:bookmarkStart w:id="787" w:name="_Toc9281"/>
      <w:bookmarkStart w:id="788" w:name="_Toc1624322478"/>
      <w:bookmarkStart w:id="789" w:name="_Toc211979458"/>
      <w:bookmarkStart w:id="790" w:name="_Toc210179271"/>
      <w:bookmarkStart w:id="791" w:name="_Toc862359563"/>
      <w:bookmarkStart w:id="792" w:name="_Toc21444"/>
      <w:bookmarkStart w:id="793" w:name="_Toc213447280"/>
      <w:bookmarkStart w:id="794" w:name="_Toc61937097"/>
      <w:bookmarkStart w:id="795" w:name="_Toc1069262398"/>
      <w:bookmarkStart w:id="796" w:name="_Toc665581705"/>
      <w:bookmarkStart w:id="797" w:name="_Toc2128895679"/>
    </w:p>
    <w:p>
      <w:pPr>
        <w:pStyle w:val="4"/>
        <w:pageBreakBefore w:val="0"/>
        <w:widowControl w:val="0"/>
        <w:shd w:val="clear"/>
        <w:kinsoku/>
        <w:wordWrap/>
        <w:overflowPunct/>
        <w:topLinePunct w:val="0"/>
        <w:autoSpaceDE/>
        <w:autoSpaceDN/>
        <w:bidi w:val="0"/>
        <w:adjustRightInd w:val="0"/>
        <w:snapToGrid w:val="0"/>
        <w:spacing w:line="588"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第三节  加快发展文化产业</w:t>
      </w:r>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p>
    <w:p>
      <w:pPr>
        <w:pStyle w:val="31"/>
        <w:pageBreakBefore w:val="0"/>
        <w:widowControl w:val="0"/>
        <w:kinsoku/>
        <w:wordWrap/>
        <w:overflowPunct/>
        <w:topLinePunct w:val="0"/>
        <w:autoSpaceDE/>
        <w:autoSpaceDN/>
        <w:bidi w:val="0"/>
        <w:adjustRightInd w:val="0"/>
        <w:snapToGrid w:val="0"/>
        <w:spacing w:line="588" w:lineRule="exact"/>
        <w:textAlignment w:val="auto"/>
        <w:rPr>
          <w:rFonts w:hint="eastAsia"/>
          <w:color w:val="auto"/>
          <w:sz w:val="32"/>
          <w:szCs w:val="32"/>
          <w:highlight w:val="none"/>
          <w:lang w:eastAsia="zh-CN"/>
        </w:rPr>
      </w:pPr>
    </w:p>
    <w:p>
      <w:pPr>
        <w:pStyle w:val="31"/>
        <w:pageBreakBefore w:val="0"/>
        <w:widowControl w:val="0"/>
        <w:kinsoku/>
        <w:wordWrap/>
        <w:overflowPunct/>
        <w:topLinePunct w:val="0"/>
        <w:autoSpaceDE/>
        <w:autoSpaceDN/>
        <w:bidi w:val="0"/>
        <w:adjustRightInd w:val="0"/>
        <w:snapToGrid w:val="0"/>
        <w:spacing w:line="588" w:lineRule="exact"/>
        <w:textAlignment w:val="auto"/>
        <w:rPr>
          <w:rFonts w:hint="eastAsia"/>
          <w:color w:val="auto"/>
          <w:sz w:val="32"/>
          <w:szCs w:val="32"/>
          <w:highlight w:val="none"/>
        </w:rPr>
      </w:pPr>
      <w:r>
        <w:rPr>
          <w:rFonts w:hint="eastAsia"/>
          <w:color w:val="auto"/>
          <w:sz w:val="32"/>
          <w:szCs w:val="32"/>
          <w:highlight w:val="none"/>
          <w:lang w:eastAsia="zh-CN"/>
        </w:rPr>
        <w:t>深化文化体制机制改革，发展新型文化业态，推动文化旅游、文化科技融合。</w:t>
      </w:r>
      <w:r>
        <w:rPr>
          <w:rFonts w:hint="eastAsia"/>
          <w:color w:val="auto"/>
          <w:sz w:val="32"/>
          <w:szCs w:val="32"/>
          <w:highlight w:val="none"/>
        </w:rPr>
        <w:t>发挥海南岛国际电影节影响力，推动影视产业发展，构建影视产业服务体系，引进头部影视企业，创作更多具有影响力的电影作品。促进文物艺术产业发展，</w:t>
      </w:r>
      <w:r>
        <w:rPr>
          <w:rFonts w:hint="eastAsia"/>
          <w:color w:val="auto"/>
          <w:sz w:val="32"/>
          <w:szCs w:val="32"/>
          <w:highlight w:val="none"/>
          <w:lang w:eastAsia="zh-CN"/>
        </w:rPr>
        <w:t>推动</w:t>
      </w:r>
      <w:r>
        <w:rPr>
          <w:rFonts w:hint="eastAsia"/>
          <w:color w:val="auto"/>
          <w:sz w:val="32"/>
          <w:szCs w:val="32"/>
          <w:highlight w:val="none"/>
        </w:rPr>
        <w:t>设立国际文物艺术品保税仓，探索境外文物在三亚保税修复，建立文物艺术品展览展示、鉴定评估等交易配套服务体系。打造</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文化</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影视</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体育</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旅游</w:t>
      </w:r>
      <w:r>
        <w:rPr>
          <w:rFonts w:hint="eastAsia" w:ascii="仿宋_GB2312" w:hAnsi="仿宋_GB2312" w:eastAsia="仿宋_GB2312" w:cs="仿宋_GB2312"/>
          <w:color w:val="auto"/>
          <w:sz w:val="32"/>
          <w:szCs w:val="32"/>
          <w:highlight w:val="none"/>
        </w:rPr>
        <w:t>”</w:t>
      </w:r>
      <w:r>
        <w:rPr>
          <w:rFonts w:hint="default" w:ascii="Times New Roman" w:hAnsi="Times New Roman" w:cs="Times New Roman"/>
          <w:color w:val="auto"/>
          <w:sz w:val="32"/>
          <w:szCs w:val="32"/>
          <w:highlight w:val="none"/>
        </w:rPr>
        <w:t>IP</w:t>
      </w:r>
      <w:r>
        <w:rPr>
          <w:rFonts w:hint="eastAsia"/>
          <w:color w:val="auto"/>
          <w:sz w:val="32"/>
          <w:szCs w:val="32"/>
          <w:highlight w:val="none"/>
        </w:rPr>
        <w:t>集群，吸引数字文化市场主体集聚，开发新型文化体验产品</w:t>
      </w:r>
      <w:r>
        <w:rPr>
          <w:rFonts w:hint="eastAsia"/>
          <w:color w:val="auto"/>
          <w:sz w:val="32"/>
          <w:szCs w:val="32"/>
          <w:highlight w:val="none"/>
          <w:lang w:eastAsia="zh-CN"/>
        </w:rPr>
        <w:t>，</w:t>
      </w:r>
      <w:r>
        <w:rPr>
          <w:rFonts w:hint="eastAsia"/>
          <w:color w:val="auto"/>
          <w:sz w:val="32"/>
          <w:szCs w:val="32"/>
          <w:highlight w:val="none"/>
        </w:rPr>
        <w:t>扩大国际影响力。引导规范网络文学、网络游戏、网络视听等文化产业健康发展，塑造三亚文化品牌。</w:t>
      </w:r>
    </w:p>
    <w:bookmarkEnd w:id="738"/>
    <w:p>
      <w:pPr>
        <w:pStyle w:val="3"/>
        <w:pageBreakBefore w:val="0"/>
        <w:widowControl w:val="0"/>
        <w:shd w:val="clear"/>
        <w:kinsoku/>
        <w:wordWrap/>
        <w:overflowPunct/>
        <w:topLinePunct w:val="0"/>
        <w:autoSpaceDE/>
        <w:autoSpaceDN/>
        <w:bidi w:val="0"/>
        <w:adjustRightInd w:val="0"/>
        <w:snapToGrid w:val="0"/>
        <w:spacing w:line="580" w:lineRule="exact"/>
        <w:jc w:val="both"/>
        <w:textAlignment w:val="auto"/>
        <w:rPr>
          <w:rFonts w:hint="eastAsia"/>
          <w:color w:val="auto"/>
          <w:sz w:val="32"/>
          <w:szCs w:val="32"/>
          <w:highlight w:val="none"/>
        </w:rPr>
      </w:pPr>
      <w:bookmarkStart w:id="798" w:name="_Toc17305"/>
      <w:bookmarkStart w:id="799" w:name="_Toc2082272175"/>
      <w:bookmarkStart w:id="800" w:name="_Toc213447281"/>
      <w:bookmarkStart w:id="801" w:name="_Toc1902980340"/>
      <w:bookmarkStart w:id="802" w:name="_Toc591945256"/>
      <w:bookmarkStart w:id="803" w:name="_Toc1385603766"/>
      <w:bookmarkStart w:id="804" w:name="_Toc30758317"/>
      <w:bookmarkStart w:id="805" w:name="_Toc744350922"/>
      <w:bookmarkStart w:id="806" w:name="_Toc1138726980"/>
      <w:bookmarkStart w:id="807" w:name="_Toc577138549"/>
      <w:bookmarkStart w:id="808" w:name="_Toc211979464"/>
    </w:p>
    <w:p>
      <w:pPr>
        <w:pStyle w:val="3"/>
        <w:pageBreakBefore w:val="0"/>
        <w:widowControl w:val="0"/>
        <w:shd w:val="clear"/>
        <w:kinsoku/>
        <w:wordWrap/>
        <w:overflowPunct/>
        <w:topLinePunct w:val="0"/>
        <w:autoSpaceDE/>
        <w:autoSpaceDN/>
        <w:bidi w:val="0"/>
        <w:adjustRightInd w:val="0"/>
        <w:snapToGrid w:val="0"/>
        <w:spacing w:line="580" w:lineRule="exact"/>
        <w:jc w:val="center"/>
        <w:textAlignment w:val="auto"/>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sz w:val="40"/>
          <w:szCs w:val="40"/>
          <w:highlight w:val="none"/>
        </w:rPr>
        <w:t>第十二章  全面提高民生保障水平</w:t>
      </w:r>
      <w:bookmarkEnd w:id="798"/>
      <w:bookmarkEnd w:id="799"/>
      <w:bookmarkEnd w:id="800"/>
      <w:bookmarkEnd w:id="801"/>
      <w:bookmarkEnd w:id="802"/>
      <w:bookmarkEnd w:id="803"/>
      <w:bookmarkEnd w:id="804"/>
      <w:bookmarkEnd w:id="805"/>
      <w:bookmarkEnd w:id="806"/>
      <w:bookmarkEnd w:id="807"/>
    </w:p>
    <w:p>
      <w:pPr>
        <w:pStyle w:val="31"/>
        <w:pageBreakBefore w:val="0"/>
        <w:widowControl w:val="0"/>
        <w:kinsoku/>
        <w:wordWrap/>
        <w:overflowPunct/>
        <w:topLinePunct w:val="0"/>
        <w:autoSpaceDE/>
        <w:autoSpaceDN/>
        <w:bidi w:val="0"/>
        <w:adjustRightInd w:val="0"/>
        <w:snapToGrid w:val="0"/>
        <w:spacing w:line="580" w:lineRule="exact"/>
        <w:textAlignment w:val="auto"/>
        <w:rPr>
          <w:rFonts w:hint="eastAsia"/>
          <w:color w:val="auto"/>
          <w:sz w:val="32"/>
          <w:szCs w:val="32"/>
          <w:highlight w:val="none"/>
        </w:rPr>
      </w:pPr>
    </w:p>
    <w:p>
      <w:pPr>
        <w:pStyle w:val="31"/>
        <w:pageBreakBefore w:val="0"/>
        <w:widowControl w:val="0"/>
        <w:kinsoku/>
        <w:wordWrap/>
        <w:overflowPunct/>
        <w:topLinePunct w:val="0"/>
        <w:autoSpaceDE/>
        <w:autoSpaceDN/>
        <w:bidi w:val="0"/>
        <w:adjustRightInd w:val="0"/>
        <w:snapToGrid w:val="0"/>
        <w:spacing w:line="580" w:lineRule="exact"/>
        <w:textAlignment w:val="auto"/>
        <w:rPr>
          <w:rFonts w:hint="eastAsia"/>
          <w:color w:val="auto"/>
          <w:sz w:val="32"/>
          <w:szCs w:val="32"/>
          <w:highlight w:val="none"/>
        </w:rPr>
      </w:pPr>
    </w:p>
    <w:p>
      <w:pPr>
        <w:pStyle w:val="31"/>
        <w:pageBreakBefore w:val="0"/>
        <w:widowControl w:val="0"/>
        <w:kinsoku/>
        <w:wordWrap/>
        <w:overflowPunct/>
        <w:topLinePunct w:val="0"/>
        <w:autoSpaceDE/>
        <w:autoSpaceDN/>
        <w:bidi w:val="0"/>
        <w:adjustRightInd w:val="0"/>
        <w:snapToGrid w:val="0"/>
        <w:spacing w:line="580" w:lineRule="exact"/>
        <w:textAlignment w:val="auto"/>
        <w:rPr>
          <w:rFonts w:hint="eastAsia"/>
          <w:color w:val="auto"/>
          <w:sz w:val="32"/>
          <w:szCs w:val="32"/>
          <w:highlight w:val="none"/>
        </w:rPr>
      </w:pPr>
      <w:r>
        <w:rPr>
          <w:rFonts w:hint="eastAsia"/>
          <w:color w:val="auto"/>
          <w:sz w:val="32"/>
          <w:szCs w:val="32"/>
          <w:highlight w:val="none"/>
        </w:rPr>
        <w:t>加强普惠性、基础性、兜底性民生建设，解决好人民群众急难愁盼问题，扎实推进共同富裕，让自由贸易港建设成果更多更公平惠及人民群众，</w:t>
      </w:r>
      <w:r>
        <w:rPr>
          <w:rFonts w:hint="eastAsia"/>
          <w:color w:val="auto"/>
          <w:sz w:val="32"/>
          <w:szCs w:val="32"/>
          <w:highlight w:val="none"/>
          <w:lang w:eastAsia="zh-CN"/>
        </w:rPr>
        <w:t>促进人口高质量发展，</w:t>
      </w:r>
      <w:r>
        <w:rPr>
          <w:rFonts w:hint="eastAsia"/>
          <w:color w:val="auto"/>
          <w:sz w:val="32"/>
          <w:szCs w:val="32"/>
          <w:highlight w:val="none"/>
        </w:rPr>
        <w:t>不断增强人民群众的获得感、幸福感、安全感。</w:t>
      </w:r>
    </w:p>
    <w:p>
      <w:pPr>
        <w:pStyle w:val="4"/>
        <w:pageBreakBefore w:val="0"/>
        <w:widowControl w:val="0"/>
        <w:shd w:val="clear"/>
        <w:kinsoku/>
        <w:wordWrap/>
        <w:overflowPunct/>
        <w:topLinePunct w:val="0"/>
        <w:autoSpaceDE/>
        <w:autoSpaceDN/>
        <w:bidi w:val="0"/>
        <w:adjustRightInd w:val="0"/>
        <w:snapToGrid w:val="0"/>
        <w:spacing w:line="580" w:lineRule="exact"/>
        <w:ind w:left="0" w:leftChars="0" w:firstLine="0" w:firstLineChars="0"/>
        <w:textAlignment w:val="auto"/>
        <w:rPr>
          <w:rFonts w:hint="eastAsia"/>
          <w:color w:val="auto"/>
          <w:sz w:val="32"/>
          <w:szCs w:val="32"/>
          <w:highlight w:val="none"/>
        </w:rPr>
      </w:pPr>
      <w:bookmarkStart w:id="809" w:name="_Toc13001"/>
      <w:bookmarkStart w:id="810" w:name="_Toc1795333421"/>
      <w:bookmarkStart w:id="811" w:name="_Toc1174351287"/>
      <w:bookmarkStart w:id="812" w:name="_Toc138916002"/>
      <w:bookmarkStart w:id="813" w:name="_Toc1266896898"/>
      <w:bookmarkStart w:id="814" w:name="_Toc874922747"/>
      <w:bookmarkStart w:id="815" w:name="_Toc2020737592"/>
      <w:bookmarkStart w:id="816" w:name="_Toc485470024"/>
      <w:bookmarkStart w:id="817" w:name="_Toc213447282"/>
      <w:bookmarkStart w:id="818" w:name="_Toc1322124611"/>
    </w:p>
    <w:p>
      <w:pPr>
        <w:pStyle w:val="4"/>
        <w:pageBreakBefore w:val="0"/>
        <w:widowControl w:val="0"/>
        <w:shd w:val="clear"/>
        <w:kinsoku/>
        <w:wordWrap/>
        <w:overflowPunct/>
        <w:topLinePunct w:val="0"/>
        <w:autoSpaceDE/>
        <w:autoSpaceDN/>
        <w:bidi w:val="0"/>
        <w:adjustRightInd w:val="0"/>
        <w:snapToGrid w:val="0"/>
        <w:spacing w:line="580"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第一节  促进高质量充分就业和可持续增收</w:t>
      </w:r>
      <w:bookmarkEnd w:id="809"/>
      <w:bookmarkEnd w:id="810"/>
      <w:bookmarkEnd w:id="811"/>
      <w:bookmarkEnd w:id="812"/>
      <w:bookmarkEnd w:id="813"/>
      <w:bookmarkEnd w:id="814"/>
      <w:bookmarkEnd w:id="815"/>
      <w:bookmarkEnd w:id="816"/>
      <w:bookmarkEnd w:id="817"/>
      <w:bookmarkEnd w:id="818"/>
    </w:p>
    <w:p>
      <w:pPr>
        <w:pStyle w:val="31"/>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黑体" w:hAnsi="黑体" w:eastAsia="黑体" w:cs="黑体"/>
          <w:color w:val="auto"/>
          <w:sz w:val="32"/>
          <w:szCs w:val="32"/>
          <w:highlight w:val="none"/>
        </w:rPr>
      </w:pPr>
    </w:p>
    <w:p>
      <w:pPr>
        <w:pStyle w:val="31"/>
        <w:pageBreakBefore w:val="0"/>
        <w:widowControl w:val="0"/>
        <w:kinsoku/>
        <w:wordWrap/>
        <w:overflowPunct/>
        <w:topLinePunct w:val="0"/>
        <w:autoSpaceDE/>
        <w:autoSpaceDN/>
        <w:bidi w:val="0"/>
        <w:adjustRightInd w:val="0"/>
        <w:snapToGrid w:val="0"/>
        <w:spacing w:line="580" w:lineRule="exact"/>
        <w:textAlignment w:val="auto"/>
        <w:rPr>
          <w:rFonts w:hint="eastAsia"/>
          <w:color w:val="auto"/>
          <w:sz w:val="32"/>
          <w:szCs w:val="32"/>
          <w:highlight w:val="none"/>
        </w:rPr>
      </w:pPr>
      <w:r>
        <w:rPr>
          <w:rFonts w:hint="eastAsia"/>
          <w:b/>
          <w:bCs/>
          <w:color w:val="auto"/>
          <w:sz w:val="32"/>
          <w:szCs w:val="32"/>
          <w:highlight w:val="none"/>
        </w:rPr>
        <w:t>实施就业优先战略。</w:t>
      </w:r>
      <w:r>
        <w:rPr>
          <w:rFonts w:hint="eastAsia"/>
          <w:color w:val="auto"/>
          <w:sz w:val="32"/>
          <w:szCs w:val="32"/>
          <w:highlight w:val="none"/>
        </w:rPr>
        <w:t>健全就业促进机制，推动扩大就业容量和提升就业质量有机结合。提高就业公共服务能力，持续打造覆盖全民的就业公共服务体系，促进服务资源向基层延伸、向农村覆盖、向就业困难群体倾斜。强化产业和就业协同，积极培育新职业新岗位，支持企业稳岗扩岗</w:t>
      </w:r>
      <w:r>
        <w:rPr>
          <w:rFonts w:hint="eastAsia"/>
          <w:color w:val="auto"/>
          <w:sz w:val="32"/>
          <w:szCs w:val="32"/>
          <w:highlight w:val="none"/>
          <w:lang w:eastAsia="zh-CN"/>
        </w:rPr>
        <w:t>。发展吸纳就业能力强的产业和企业。健全终身职业技能培训制度，</w:t>
      </w:r>
      <w:r>
        <w:rPr>
          <w:rFonts w:hint="eastAsia"/>
          <w:color w:val="auto"/>
          <w:sz w:val="32"/>
          <w:szCs w:val="32"/>
          <w:highlight w:val="none"/>
        </w:rPr>
        <w:t>全面推进</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互联网</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就业服务，支持高校毕业生、农民工、防止返贫致贫对象等重点群体就业。</w:t>
      </w:r>
      <w:r>
        <w:rPr>
          <w:rFonts w:hint="eastAsia"/>
          <w:color w:val="auto"/>
          <w:sz w:val="32"/>
          <w:szCs w:val="32"/>
          <w:highlight w:val="none"/>
          <w:lang w:eastAsia="zh-CN"/>
        </w:rPr>
        <w:t>全面推行企业新型学徒制度，培育特色劳务品牌。推动灵活就业、</w:t>
      </w:r>
      <w:r>
        <w:rPr>
          <w:rFonts w:hint="eastAsia"/>
          <w:color w:val="auto"/>
          <w:sz w:val="32"/>
          <w:szCs w:val="32"/>
          <w:highlight w:val="none"/>
        </w:rPr>
        <w:t>新就业形态</w:t>
      </w:r>
      <w:r>
        <w:rPr>
          <w:rFonts w:hint="eastAsia"/>
          <w:color w:val="auto"/>
          <w:sz w:val="32"/>
          <w:szCs w:val="32"/>
          <w:highlight w:val="none"/>
          <w:lang w:eastAsia="zh-CN"/>
        </w:rPr>
        <w:t>健康发展</w:t>
      </w:r>
      <w:r>
        <w:rPr>
          <w:rFonts w:hint="eastAsia"/>
          <w:color w:val="auto"/>
          <w:sz w:val="32"/>
          <w:szCs w:val="32"/>
          <w:highlight w:val="none"/>
        </w:rPr>
        <w:t>。完善用工信息平台建设，</w:t>
      </w:r>
      <w:r>
        <w:rPr>
          <w:color w:val="auto"/>
          <w:sz w:val="32"/>
          <w:szCs w:val="32"/>
          <w:highlight w:val="none"/>
        </w:rPr>
        <w:t>提升</w:t>
      </w:r>
      <w:r>
        <w:rPr>
          <w:rFonts w:hint="eastAsia"/>
          <w:color w:val="auto"/>
          <w:sz w:val="32"/>
          <w:szCs w:val="32"/>
          <w:highlight w:val="none"/>
        </w:rPr>
        <w:t>就业驿站常态化运营</w:t>
      </w:r>
      <w:r>
        <w:rPr>
          <w:color w:val="auto"/>
          <w:sz w:val="32"/>
          <w:szCs w:val="32"/>
          <w:highlight w:val="none"/>
        </w:rPr>
        <w:t>服务质效</w:t>
      </w:r>
      <w:r>
        <w:rPr>
          <w:rFonts w:hint="eastAsia"/>
          <w:color w:val="auto"/>
          <w:sz w:val="32"/>
          <w:szCs w:val="32"/>
          <w:highlight w:val="none"/>
        </w:rPr>
        <w:t>，开展就业服务进社区活动，</w:t>
      </w:r>
      <w:r>
        <w:rPr>
          <w:rFonts w:hint="eastAsia"/>
          <w:color w:val="auto"/>
          <w:sz w:val="32"/>
          <w:szCs w:val="32"/>
          <w:highlight w:val="none"/>
          <w:lang w:eastAsia="zh-CN"/>
        </w:rPr>
        <w:t>完善创业支持体系，</w:t>
      </w:r>
      <w:r>
        <w:rPr>
          <w:rFonts w:hint="eastAsia"/>
          <w:color w:val="auto"/>
          <w:sz w:val="32"/>
          <w:szCs w:val="32"/>
          <w:highlight w:val="none"/>
        </w:rPr>
        <w:t>增强创业带动就业效应。到</w:t>
      </w:r>
      <w:r>
        <w:rPr>
          <w:rFonts w:hint="default" w:ascii="Times New Roman" w:hAnsi="Times New Roman" w:cs="Times New Roman"/>
          <w:color w:val="auto"/>
          <w:sz w:val="32"/>
          <w:szCs w:val="32"/>
          <w:highlight w:val="none"/>
        </w:rPr>
        <w:t>2030</w:t>
      </w:r>
      <w:r>
        <w:rPr>
          <w:rFonts w:hint="eastAsia"/>
          <w:color w:val="auto"/>
          <w:sz w:val="32"/>
          <w:szCs w:val="32"/>
          <w:highlight w:val="none"/>
        </w:rPr>
        <w:t>年，全市城镇新增就业不低于</w:t>
      </w:r>
      <w:r>
        <w:rPr>
          <w:rFonts w:hint="default" w:ascii="Times New Roman" w:hAnsi="Times New Roman" w:cs="Times New Roman"/>
          <w:color w:val="auto"/>
          <w:sz w:val="32"/>
          <w:szCs w:val="32"/>
          <w:highlight w:val="none"/>
          <w:lang w:val="en-US" w:eastAsia="zh-CN"/>
        </w:rPr>
        <w:t>23</w:t>
      </w:r>
      <w:r>
        <w:rPr>
          <w:rFonts w:hint="eastAsia"/>
          <w:color w:val="auto"/>
          <w:sz w:val="32"/>
          <w:szCs w:val="32"/>
          <w:highlight w:val="none"/>
        </w:rPr>
        <w:t>万人，实现</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零就业家庭</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动态清零。</w:t>
      </w:r>
    </w:p>
    <w:tbl>
      <w:tblPr>
        <w:tblStyle w:val="36"/>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hd w:val="clear"/>
              <w:tabs>
                <w:tab w:val="right" w:leader="dot" w:pos="8296"/>
              </w:tabs>
              <w:kinsoku/>
              <w:wordWrap/>
              <w:overflowPunct/>
              <w:topLinePunct w:val="0"/>
              <w:autoSpaceDE/>
              <w:autoSpaceDN/>
              <w:bidi w:val="0"/>
              <w:snapToGrid w:val="0"/>
              <w:spacing w:before="157" w:beforeLines="50" w:after="157" w:afterLines="50" w:line="440" w:lineRule="exact"/>
              <w:jc w:val="center"/>
              <w:textAlignment w:val="auto"/>
              <w:rPr>
                <w:rFonts w:ascii="Times New Roman" w:hAnsi="Times New Roman" w:eastAsia="黑体"/>
                <w:color w:val="auto"/>
                <w:kern w:val="0"/>
                <w:sz w:val="28"/>
                <w:szCs w:val="28"/>
                <w:highlight w:val="none"/>
              </w:rPr>
            </w:pPr>
            <w:r>
              <w:rPr>
                <w:rFonts w:hint="eastAsia" w:ascii="Times New Roman" w:hAnsi="Times New Roman" w:eastAsia="黑体"/>
                <w:color w:val="auto"/>
                <w:kern w:val="0"/>
                <w:sz w:val="28"/>
                <w:szCs w:val="28"/>
                <w:highlight w:val="none"/>
              </w:rPr>
              <w:t>专栏</w:t>
            </w:r>
            <w:r>
              <w:rPr>
                <w:rFonts w:hint="default" w:ascii="Times New Roman" w:hAnsi="Times New Roman" w:eastAsia="黑体" w:cs="Times New Roman"/>
                <w:bCs/>
                <w:color w:val="auto"/>
                <w:sz w:val="28"/>
                <w:szCs w:val="28"/>
                <w:highlight w:val="none"/>
              </w:rPr>
              <w:fldChar w:fldCharType="begin"/>
            </w:r>
            <w:r>
              <w:rPr>
                <w:rFonts w:hint="default" w:ascii="Times New Roman" w:hAnsi="Times New Roman" w:eastAsia="黑体" w:cs="Times New Roman"/>
                <w:bCs/>
                <w:color w:val="auto"/>
                <w:sz w:val="28"/>
                <w:szCs w:val="28"/>
                <w:highlight w:val="none"/>
              </w:rPr>
              <w:instrText xml:space="preserve"> SEQ 表格 \* ARABIC </w:instrText>
            </w:r>
            <w:r>
              <w:rPr>
                <w:rFonts w:hint="default" w:ascii="Times New Roman" w:hAnsi="Times New Roman" w:eastAsia="黑体" w:cs="Times New Roman"/>
                <w:bCs/>
                <w:color w:val="auto"/>
                <w:sz w:val="28"/>
                <w:szCs w:val="28"/>
                <w:highlight w:val="none"/>
              </w:rPr>
              <w:fldChar w:fldCharType="separate"/>
            </w:r>
            <w:r>
              <w:rPr>
                <w:rFonts w:hint="default" w:ascii="Times New Roman" w:hAnsi="Times New Roman" w:eastAsia="黑体" w:cs="Times New Roman"/>
                <w:bCs/>
                <w:color w:val="auto"/>
                <w:sz w:val="28"/>
                <w:szCs w:val="28"/>
                <w:highlight w:val="none"/>
              </w:rPr>
              <w:t>1</w:t>
            </w:r>
            <w:r>
              <w:rPr>
                <w:rFonts w:hint="default" w:ascii="Times New Roman" w:hAnsi="Times New Roman" w:eastAsia="黑体" w:cs="Times New Roman"/>
                <w:bCs/>
                <w:color w:val="auto"/>
                <w:sz w:val="28"/>
                <w:szCs w:val="28"/>
                <w:highlight w:val="none"/>
              </w:rPr>
              <w:fldChar w:fldCharType="end"/>
            </w:r>
            <w:r>
              <w:rPr>
                <w:rFonts w:hint="default" w:ascii="Times New Roman" w:hAnsi="Times New Roman" w:eastAsia="黑体" w:cs="Times New Roman"/>
                <w:bCs/>
                <w:color w:val="auto"/>
                <w:sz w:val="28"/>
                <w:szCs w:val="28"/>
                <w:highlight w:val="none"/>
                <w:lang w:val="en-US" w:eastAsia="zh-CN"/>
              </w:rPr>
              <w:t>2</w:t>
            </w:r>
            <w:r>
              <w:rPr>
                <w:rFonts w:hint="eastAsia" w:ascii="Times New Roman" w:hAnsi="Times New Roman" w:eastAsia="黑体"/>
                <w:color w:val="auto"/>
                <w:kern w:val="0"/>
                <w:sz w:val="28"/>
                <w:szCs w:val="28"/>
                <w:highlight w:val="none"/>
                <w:lang w:val="en-US" w:eastAsia="zh-CN"/>
              </w:rPr>
              <w:t xml:space="preserve">  </w:t>
            </w:r>
            <w:r>
              <w:rPr>
                <w:rFonts w:hint="eastAsia" w:ascii="Times New Roman" w:hAnsi="Times New Roman" w:eastAsia="黑体"/>
                <w:color w:val="auto"/>
                <w:kern w:val="0"/>
                <w:sz w:val="28"/>
                <w:szCs w:val="28"/>
                <w:highlight w:val="none"/>
              </w:rPr>
              <w:t>推动高质量充分就业工程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6" w:hRule="atLeast"/>
          <w:jc w:val="center"/>
        </w:trPr>
        <w:tc>
          <w:tcPr>
            <w:tcW w:w="8844" w:type="dxa"/>
            <w:tcBorders>
              <w:top w:val="single" w:color="auto" w:sz="4" w:space="0"/>
              <w:left w:val="single" w:color="auto" w:sz="4" w:space="0"/>
              <w:bottom w:val="single" w:color="auto" w:sz="4" w:space="0"/>
              <w:right w:val="single" w:color="auto" w:sz="4" w:space="0"/>
            </w:tcBorders>
            <w:vAlign w:val="center"/>
          </w:tcPr>
          <w:p>
            <w:pPr>
              <w:pStyle w:val="33"/>
              <w:keepNext w:val="0"/>
              <w:keepLines w:val="0"/>
              <w:pageBreakBefore w:val="0"/>
              <w:widowControl w:val="0"/>
              <w:shd w:val="clear"/>
              <w:kinsoku/>
              <w:wordWrap/>
              <w:overflowPunct/>
              <w:topLinePunct w:val="0"/>
              <w:autoSpaceDE/>
              <w:autoSpaceDN/>
              <w:bidi w:val="0"/>
              <w:snapToGrid w:val="0"/>
              <w:spacing w:before="157" w:beforeLines="50" w:after="157" w:afterLines="50" w:line="440" w:lineRule="exact"/>
              <w:ind w:firstLine="562"/>
              <w:textAlignment w:val="auto"/>
              <w:rPr>
                <w:rFonts w:hint="eastAsia"/>
                <w:color w:val="auto"/>
                <w:highlight w:val="none"/>
              </w:rPr>
            </w:pPr>
            <w:r>
              <w:rPr>
                <w:rFonts w:hint="default" w:ascii="Times New Roman" w:hAnsi="Times New Roman" w:cs="Times New Roman"/>
                <w:b/>
                <w:bCs/>
                <w:color w:val="auto"/>
                <w:highlight w:val="none"/>
              </w:rPr>
              <w:t>1</w:t>
            </w:r>
            <w:r>
              <w:rPr>
                <w:rFonts w:hint="eastAsia" w:ascii="楷体_GB2312" w:hAnsi="楷体_GB2312" w:eastAsia="楷体_GB2312" w:cs="楷体_GB2312"/>
                <w:b/>
                <w:bCs/>
                <w:color w:val="auto"/>
                <w:highlight w:val="none"/>
                <w:lang w:eastAsia="zh-CN"/>
              </w:rPr>
              <w:t>.</w:t>
            </w:r>
            <w:r>
              <w:rPr>
                <w:rFonts w:hint="eastAsia"/>
                <w:b/>
                <w:bCs/>
                <w:color w:val="auto"/>
                <w:highlight w:val="none"/>
              </w:rPr>
              <w:t>实施就业启航工程</w:t>
            </w:r>
            <w:r>
              <w:rPr>
                <w:b/>
                <w:bCs/>
                <w:color w:val="auto"/>
                <w:highlight w:val="none"/>
              </w:rPr>
              <w:t>。</w:t>
            </w:r>
            <w:r>
              <w:rPr>
                <w:rFonts w:hint="eastAsia"/>
                <w:color w:val="auto"/>
                <w:highlight w:val="none"/>
                <w:lang w:eastAsia="zh-CN"/>
              </w:rPr>
              <w:t>鼓励</w:t>
            </w:r>
            <w:r>
              <w:rPr>
                <w:rFonts w:hint="eastAsia"/>
                <w:color w:val="auto"/>
                <w:highlight w:val="none"/>
              </w:rPr>
              <w:t>企业建立高校毕业生就业见习基地，开发就业见习岗位</w:t>
            </w:r>
            <w:r>
              <w:rPr>
                <w:color w:val="auto"/>
                <w:highlight w:val="none"/>
              </w:rPr>
              <w:t>，完善</w:t>
            </w:r>
            <w:r>
              <w:rPr>
                <w:rFonts w:hint="eastAsia" w:ascii="仿宋_GB2312" w:hAnsi="仿宋_GB2312" w:eastAsia="仿宋_GB2312" w:cs="仿宋_GB2312"/>
                <w:color w:val="auto"/>
                <w:highlight w:val="none"/>
              </w:rPr>
              <w:t>“</w:t>
            </w:r>
            <w:r>
              <w:rPr>
                <w:rFonts w:hint="eastAsia"/>
                <w:color w:val="auto"/>
                <w:highlight w:val="none"/>
              </w:rPr>
              <w:t>见习</w:t>
            </w:r>
            <w:r>
              <w:rPr>
                <w:rFonts w:hint="eastAsia" w:ascii="仿宋_GB2312" w:hAnsi="仿宋_GB2312" w:eastAsia="仿宋_GB2312" w:cs="仿宋_GB2312"/>
                <w:color w:val="auto"/>
                <w:highlight w:val="none"/>
              </w:rPr>
              <w:t>+</w:t>
            </w:r>
            <w:r>
              <w:rPr>
                <w:rFonts w:hint="eastAsia"/>
                <w:color w:val="auto"/>
                <w:highlight w:val="none"/>
              </w:rPr>
              <w:t>留用</w:t>
            </w:r>
            <w:r>
              <w:rPr>
                <w:rFonts w:hint="eastAsia" w:ascii="仿宋_GB2312" w:hAnsi="仿宋_GB2312" w:eastAsia="仿宋_GB2312" w:cs="仿宋_GB2312"/>
                <w:color w:val="auto"/>
                <w:highlight w:val="none"/>
              </w:rPr>
              <w:t>”</w:t>
            </w:r>
            <w:r>
              <w:rPr>
                <w:rFonts w:hint="eastAsia"/>
                <w:color w:val="auto"/>
                <w:highlight w:val="none"/>
              </w:rPr>
              <w:t>机制</w:t>
            </w:r>
            <w:r>
              <w:rPr>
                <w:color w:val="auto"/>
                <w:highlight w:val="none"/>
              </w:rPr>
              <w:t>。</w:t>
            </w:r>
            <w:r>
              <w:rPr>
                <w:rFonts w:hint="eastAsia" w:ascii="仿宋_GB2312" w:hAnsi="仿宋_GB2312" w:eastAsia="仿宋_GB2312" w:cs="仿宋_GB2312"/>
                <w:color w:val="auto"/>
                <w:highlight w:val="none"/>
                <w:lang w:eastAsia="zh-CN"/>
              </w:rPr>
              <w:t>到</w:t>
            </w:r>
            <w:r>
              <w:rPr>
                <w:rFonts w:hint="default" w:ascii="Times New Roman" w:hAnsi="Times New Roman" w:eastAsia="仿宋_GB2312" w:cs="Times New Roman"/>
                <w:color w:val="auto"/>
                <w:highlight w:val="none"/>
                <w:lang w:val="en-US" w:eastAsia="zh-CN"/>
              </w:rPr>
              <w:t>2030</w:t>
            </w:r>
            <w:r>
              <w:rPr>
                <w:rFonts w:hint="eastAsia" w:ascii="仿宋_GB2312" w:hAnsi="仿宋_GB2312" w:eastAsia="仿宋_GB2312" w:cs="仿宋_GB2312"/>
                <w:color w:val="auto"/>
                <w:highlight w:val="none"/>
                <w:lang w:val="en-US" w:eastAsia="zh-CN"/>
              </w:rPr>
              <w:t>年</w:t>
            </w:r>
            <w:r>
              <w:rPr>
                <w:rFonts w:hint="eastAsia"/>
                <w:color w:val="auto"/>
                <w:highlight w:val="none"/>
              </w:rPr>
              <w:t>，离校未就业高校毕业生帮扶率</w:t>
            </w:r>
            <w:r>
              <w:rPr>
                <w:rFonts w:hint="eastAsia"/>
                <w:color w:val="auto"/>
                <w:highlight w:val="none"/>
                <w:lang w:eastAsia="zh-CN"/>
              </w:rPr>
              <w:t>超</w:t>
            </w:r>
            <w:r>
              <w:rPr>
                <w:rFonts w:hint="default" w:ascii="Times New Roman" w:hAnsi="Times New Roman" w:cs="Times New Roman"/>
                <w:color w:val="auto"/>
                <w:highlight w:val="none"/>
              </w:rPr>
              <w:t>95</w:t>
            </w:r>
            <w:r>
              <w:rPr>
                <w:rFonts w:hint="eastAsia"/>
                <w:color w:val="auto"/>
                <w:highlight w:val="none"/>
              </w:rPr>
              <w:t>%。</w:t>
            </w:r>
          </w:p>
          <w:p>
            <w:pPr>
              <w:pStyle w:val="33"/>
              <w:keepNext w:val="0"/>
              <w:keepLines w:val="0"/>
              <w:pageBreakBefore w:val="0"/>
              <w:widowControl w:val="0"/>
              <w:shd w:val="clear"/>
              <w:kinsoku/>
              <w:wordWrap/>
              <w:overflowPunct/>
              <w:topLinePunct w:val="0"/>
              <w:autoSpaceDE/>
              <w:autoSpaceDN/>
              <w:bidi w:val="0"/>
              <w:snapToGrid w:val="0"/>
              <w:spacing w:before="157" w:beforeLines="50" w:after="157" w:afterLines="50" w:line="440" w:lineRule="exact"/>
              <w:ind w:firstLine="562"/>
              <w:textAlignment w:val="auto"/>
              <w:rPr>
                <w:rFonts w:hint="eastAsia"/>
                <w:color w:val="auto"/>
                <w:highlight w:val="none"/>
              </w:rPr>
            </w:pPr>
            <w:r>
              <w:rPr>
                <w:rFonts w:hint="default" w:ascii="Times New Roman" w:hAnsi="Times New Roman" w:cs="Times New Roman"/>
                <w:b/>
                <w:bCs/>
                <w:color w:val="auto"/>
                <w:highlight w:val="none"/>
              </w:rPr>
              <w:t>2</w:t>
            </w:r>
            <w:r>
              <w:rPr>
                <w:rFonts w:hint="eastAsia" w:ascii="楷体_GB2312" w:hAnsi="楷体_GB2312" w:eastAsia="楷体_GB2312" w:cs="楷体_GB2312"/>
                <w:b/>
                <w:bCs/>
                <w:color w:val="auto"/>
                <w:highlight w:val="none"/>
                <w:lang w:eastAsia="zh-CN"/>
              </w:rPr>
              <w:t>.</w:t>
            </w:r>
            <w:r>
              <w:rPr>
                <w:rFonts w:hint="eastAsia"/>
                <w:b/>
                <w:bCs/>
                <w:color w:val="auto"/>
                <w:highlight w:val="none"/>
              </w:rPr>
              <w:t>推进职业技能培训高质量发展。</w:t>
            </w:r>
            <w:r>
              <w:rPr>
                <w:rFonts w:hint="eastAsia"/>
                <w:color w:val="auto"/>
                <w:highlight w:val="none"/>
              </w:rPr>
              <w:t>落实</w:t>
            </w:r>
            <w:r>
              <w:rPr>
                <w:rFonts w:hint="eastAsia" w:ascii="仿宋_GB2312" w:hAnsi="仿宋_GB2312" w:eastAsia="仿宋_GB2312" w:cs="仿宋_GB2312"/>
                <w:color w:val="auto"/>
                <w:highlight w:val="none"/>
              </w:rPr>
              <w:t>“</w:t>
            </w:r>
            <w:r>
              <w:rPr>
                <w:rFonts w:hint="eastAsia"/>
                <w:color w:val="auto"/>
                <w:highlight w:val="none"/>
              </w:rPr>
              <w:t>技能照亮前程</w:t>
            </w:r>
            <w:r>
              <w:rPr>
                <w:rFonts w:hint="eastAsia" w:ascii="仿宋_GB2312" w:hAnsi="仿宋_GB2312" w:eastAsia="仿宋_GB2312" w:cs="仿宋_GB2312"/>
                <w:color w:val="auto"/>
                <w:highlight w:val="none"/>
              </w:rPr>
              <w:t>”</w:t>
            </w:r>
            <w:r>
              <w:rPr>
                <w:rFonts w:hint="eastAsia"/>
                <w:color w:val="auto"/>
                <w:highlight w:val="none"/>
              </w:rPr>
              <w:t>行动，积极开展职业技能培训。</w:t>
            </w:r>
            <w:r>
              <w:rPr>
                <w:rFonts w:hint="eastAsia" w:ascii="仿宋_GB2312" w:hAnsi="仿宋_GB2312" w:eastAsia="仿宋_GB2312" w:cs="仿宋_GB2312"/>
                <w:color w:val="auto"/>
                <w:highlight w:val="none"/>
                <w:lang w:eastAsia="zh-CN"/>
              </w:rPr>
              <w:t>“十五五”期间</w:t>
            </w:r>
            <w:r>
              <w:rPr>
                <w:rFonts w:hint="eastAsia"/>
                <w:color w:val="auto"/>
                <w:highlight w:val="none"/>
              </w:rPr>
              <w:t>，全市开展补贴性职业技能培训累计</w:t>
            </w:r>
            <w:r>
              <w:rPr>
                <w:rFonts w:hint="default" w:ascii="Times New Roman" w:hAnsi="Times New Roman" w:cs="Times New Roman"/>
                <w:color w:val="auto"/>
                <w:highlight w:val="none"/>
              </w:rPr>
              <w:t>3</w:t>
            </w:r>
            <w:r>
              <w:rPr>
                <w:rFonts w:hint="eastAsia"/>
                <w:color w:val="auto"/>
                <w:highlight w:val="none"/>
              </w:rPr>
              <w:t>万人次以上。</w:t>
            </w:r>
          </w:p>
          <w:p>
            <w:pPr>
              <w:pStyle w:val="33"/>
              <w:keepNext w:val="0"/>
              <w:keepLines w:val="0"/>
              <w:pageBreakBefore w:val="0"/>
              <w:widowControl w:val="0"/>
              <w:shd w:val="clear"/>
              <w:kinsoku/>
              <w:wordWrap/>
              <w:overflowPunct/>
              <w:topLinePunct w:val="0"/>
              <w:autoSpaceDE/>
              <w:autoSpaceDN/>
              <w:bidi w:val="0"/>
              <w:snapToGrid w:val="0"/>
              <w:spacing w:before="157" w:beforeLines="50" w:after="157" w:afterLines="50" w:line="440" w:lineRule="exact"/>
              <w:ind w:firstLine="562"/>
              <w:textAlignment w:val="auto"/>
              <w:rPr>
                <w:rFonts w:hint="eastAsia"/>
                <w:color w:val="auto"/>
                <w:highlight w:val="none"/>
              </w:rPr>
            </w:pPr>
            <w:r>
              <w:rPr>
                <w:rFonts w:hint="default" w:ascii="Times New Roman" w:hAnsi="Times New Roman" w:cs="Times New Roman"/>
                <w:b/>
                <w:bCs/>
                <w:color w:val="auto"/>
                <w:highlight w:val="none"/>
              </w:rPr>
              <w:t>3</w:t>
            </w:r>
            <w:r>
              <w:rPr>
                <w:rFonts w:hint="eastAsia" w:ascii="楷体_GB2312" w:hAnsi="楷体_GB2312" w:eastAsia="楷体_GB2312" w:cs="楷体_GB2312"/>
                <w:b/>
                <w:bCs/>
                <w:color w:val="auto"/>
                <w:highlight w:val="none"/>
                <w:lang w:eastAsia="zh-CN"/>
              </w:rPr>
              <w:t>.</w:t>
            </w:r>
            <w:r>
              <w:rPr>
                <w:rFonts w:hint="eastAsia"/>
                <w:b/>
                <w:bCs/>
                <w:color w:val="auto"/>
                <w:highlight w:val="none"/>
              </w:rPr>
              <w:t>统筹推进重点群体就业。</w:t>
            </w:r>
            <w:r>
              <w:rPr>
                <w:rFonts w:hint="eastAsia"/>
                <w:color w:val="auto"/>
                <w:highlight w:val="none"/>
              </w:rPr>
              <w:t>积极开展</w:t>
            </w:r>
            <w:r>
              <w:rPr>
                <w:rFonts w:hint="eastAsia" w:ascii="仿宋_GB2312" w:hAnsi="仿宋_GB2312" w:eastAsia="仿宋_GB2312" w:cs="仿宋_GB2312"/>
                <w:color w:val="auto"/>
                <w:highlight w:val="none"/>
              </w:rPr>
              <w:t>“</w:t>
            </w:r>
            <w:r>
              <w:rPr>
                <w:rFonts w:hint="eastAsia"/>
                <w:color w:val="auto"/>
                <w:highlight w:val="none"/>
              </w:rPr>
              <w:t>春风行动</w:t>
            </w:r>
            <w:r>
              <w:rPr>
                <w:rFonts w:hint="eastAsia" w:ascii="仿宋_GB2312" w:hAnsi="仿宋_GB2312" w:eastAsia="仿宋_GB2312" w:cs="仿宋_GB2312"/>
                <w:color w:val="auto"/>
                <w:highlight w:val="none"/>
              </w:rPr>
              <w:t>”</w:t>
            </w:r>
            <w:r>
              <w:rPr>
                <w:rFonts w:hint="eastAsia"/>
                <w:color w:val="auto"/>
                <w:highlight w:val="none"/>
              </w:rPr>
              <w:t>，持续培育</w:t>
            </w:r>
            <w:r>
              <w:rPr>
                <w:rFonts w:hint="eastAsia" w:ascii="仿宋_GB2312" w:hAnsi="仿宋_GB2312" w:eastAsia="仿宋_GB2312" w:cs="仿宋_GB2312"/>
                <w:color w:val="auto"/>
                <w:highlight w:val="none"/>
              </w:rPr>
              <w:t>“</w:t>
            </w:r>
            <w:r>
              <w:rPr>
                <w:rFonts w:hint="eastAsia"/>
                <w:color w:val="auto"/>
                <w:highlight w:val="none"/>
              </w:rPr>
              <w:t>三支队伍</w:t>
            </w:r>
            <w:r>
              <w:rPr>
                <w:rFonts w:hint="eastAsia" w:ascii="仿宋_GB2312" w:hAnsi="仿宋_GB2312" w:eastAsia="仿宋_GB2312" w:cs="仿宋_GB2312"/>
                <w:color w:val="auto"/>
                <w:highlight w:val="none"/>
              </w:rPr>
              <w:t>”</w:t>
            </w:r>
            <w:r>
              <w:rPr>
                <w:rFonts w:hint="eastAsia"/>
                <w:color w:val="auto"/>
                <w:highlight w:val="none"/>
              </w:rPr>
              <w:t>。持续开展困难群体就业帮扶</w:t>
            </w:r>
            <w:r>
              <w:rPr>
                <w:rFonts w:hint="eastAsia" w:ascii="仿宋_GB2312" w:hAnsi="仿宋_GB2312" w:eastAsia="仿宋_GB2312" w:cs="仿宋_GB2312"/>
                <w:color w:val="auto"/>
                <w:highlight w:val="none"/>
              </w:rPr>
              <w:t>“</w:t>
            </w:r>
            <w:r>
              <w:rPr>
                <w:rFonts w:hint="eastAsia"/>
                <w:color w:val="auto"/>
                <w:highlight w:val="none"/>
              </w:rPr>
              <w:t>晴天行动</w:t>
            </w:r>
            <w:r>
              <w:rPr>
                <w:rFonts w:hint="eastAsia" w:ascii="仿宋_GB2312" w:hAnsi="仿宋_GB2312" w:eastAsia="仿宋_GB2312" w:cs="仿宋_GB2312"/>
                <w:color w:val="auto"/>
                <w:highlight w:val="none"/>
              </w:rPr>
              <w:t>”</w:t>
            </w:r>
            <w:r>
              <w:rPr>
                <w:rFonts w:hint="eastAsia"/>
                <w:color w:val="auto"/>
                <w:highlight w:val="none"/>
              </w:rPr>
              <w:t>和长期失业人员就业服务</w:t>
            </w:r>
            <w:r>
              <w:rPr>
                <w:rFonts w:hint="eastAsia" w:ascii="仿宋_GB2312" w:hAnsi="仿宋_GB2312" w:eastAsia="仿宋_GB2312" w:cs="仿宋_GB2312"/>
                <w:color w:val="auto"/>
                <w:highlight w:val="none"/>
              </w:rPr>
              <w:t>“</w:t>
            </w:r>
            <w:r>
              <w:rPr>
                <w:rFonts w:hint="eastAsia"/>
                <w:color w:val="auto"/>
                <w:highlight w:val="none"/>
              </w:rPr>
              <w:t>攻坚行动</w:t>
            </w:r>
            <w:r>
              <w:rPr>
                <w:rFonts w:hint="eastAsia" w:ascii="仿宋_GB2312" w:hAnsi="仿宋_GB2312" w:eastAsia="仿宋_GB2312" w:cs="仿宋_GB2312"/>
                <w:color w:val="auto"/>
                <w:highlight w:val="none"/>
              </w:rPr>
              <w:t>”</w:t>
            </w:r>
            <w:r>
              <w:rPr>
                <w:rFonts w:hint="eastAsia"/>
                <w:color w:val="auto"/>
                <w:highlight w:val="none"/>
              </w:rPr>
              <w:t>。</w:t>
            </w:r>
            <w:r>
              <w:rPr>
                <w:rFonts w:hint="eastAsia" w:ascii="仿宋_GB2312" w:hAnsi="仿宋_GB2312" w:eastAsia="仿宋_GB2312" w:cs="仿宋_GB2312"/>
                <w:color w:val="auto"/>
                <w:highlight w:val="none"/>
                <w:lang w:eastAsia="zh-CN"/>
              </w:rPr>
              <w:t>到</w:t>
            </w:r>
            <w:r>
              <w:rPr>
                <w:rFonts w:hint="default" w:ascii="Times New Roman" w:hAnsi="Times New Roman" w:eastAsia="仿宋_GB2312" w:cs="Times New Roman"/>
                <w:color w:val="auto"/>
                <w:highlight w:val="none"/>
                <w:lang w:val="en-US" w:eastAsia="zh-CN"/>
              </w:rPr>
              <w:t>2030</w:t>
            </w:r>
            <w:r>
              <w:rPr>
                <w:rFonts w:hint="eastAsia" w:ascii="仿宋_GB2312" w:hAnsi="仿宋_GB2312" w:eastAsia="仿宋_GB2312" w:cs="仿宋_GB2312"/>
                <w:color w:val="auto"/>
                <w:highlight w:val="none"/>
                <w:lang w:val="en-US" w:eastAsia="zh-CN"/>
              </w:rPr>
              <w:t>年</w:t>
            </w:r>
            <w:r>
              <w:rPr>
                <w:rFonts w:hint="eastAsia"/>
                <w:color w:val="auto"/>
                <w:highlight w:val="none"/>
              </w:rPr>
              <w:t>，长期失业人员就业服务率达</w:t>
            </w:r>
            <w:r>
              <w:rPr>
                <w:rFonts w:hint="default" w:ascii="Times New Roman" w:hAnsi="Times New Roman" w:cs="Times New Roman"/>
                <w:color w:val="auto"/>
                <w:highlight w:val="none"/>
              </w:rPr>
              <w:t>90</w:t>
            </w:r>
            <w:r>
              <w:rPr>
                <w:rFonts w:hint="eastAsia"/>
                <w:color w:val="auto"/>
                <w:highlight w:val="none"/>
              </w:rPr>
              <w:t>%以上，登记失业青年就业帮扶服务率达</w:t>
            </w:r>
            <w:r>
              <w:rPr>
                <w:rFonts w:hint="default" w:ascii="Times New Roman" w:hAnsi="Times New Roman" w:cs="Times New Roman"/>
                <w:color w:val="auto"/>
                <w:highlight w:val="none"/>
              </w:rPr>
              <w:t>95</w:t>
            </w:r>
            <w:r>
              <w:rPr>
                <w:rFonts w:hint="eastAsia"/>
                <w:color w:val="auto"/>
                <w:highlight w:val="none"/>
              </w:rPr>
              <w:t>%以上</w:t>
            </w:r>
            <w:r>
              <w:rPr>
                <w:color w:val="auto"/>
                <w:highlight w:val="none"/>
              </w:rPr>
              <w:t>。</w:t>
            </w:r>
          </w:p>
          <w:p>
            <w:pPr>
              <w:pStyle w:val="33"/>
              <w:keepNext w:val="0"/>
              <w:keepLines w:val="0"/>
              <w:pageBreakBefore w:val="0"/>
              <w:widowControl w:val="0"/>
              <w:shd w:val="clear"/>
              <w:kinsoku/>
              <w:wordWrap/>
              <w:overflowPunct/>
              <w:topLinePunct w:val="0"/>
              <w:autoSpaceDE/>
              <w:autoSpaceDN/>
              <w:bidi w:val="0"/>
              <w:snapToGrid w:val="0"/>
              <w:spacing w:before="157" w:beforeLines="50" w:after="157" w:afterLines="50" w:line="440" w:lineRule="exact"/>
              <w:ind w:firstLine="562"/>
              <w:textAlignment w:val="auto"/>
              <w:rPr>
                <w:color w:val="auto"/>
                <w:highlight w:val="none"/>
              </w:rPr>
            </w:pPr>
            <w:r>
              <w:rPr>
                <w:rFonts w:hint="default" w:ascii="Times New Roman" w:hAnsi="Times New Roman" w:cs="Times New Roman"/>
                <w:b/>
                <w:bCs/>
                <w:color w:val="auto"/>
                <w:highlight w:val="none"/>
              </w:rPr>
              <w:t>4</w:t>
            </w:r>
            <w:r>
              <w:rPr>
                <w:rFonts w:hint="eastAsia" w:ascii="楷体_GB2312" w:hAnsi="楷体_GB2312" w:eastAsia="楷体_GB2312" w:cs="楷体_GB2312"/>
                <w:b/>
                <w:bCs/>
                <w:color w:val="auto"/>
                <w:highlight w:val="none"/>
                <w:lang w:eastAsia="zh-CN"/>
              </w:rPr>
              <w:t>.</w:t>
            </w:r>
            <w:r>
              <w:rPr>
                <w:rFonts w:hint="eastAsia"/>
                <w:b/>
                <w:bCs/>
                <w:color w:val="auto"/>
                <w:highlight w:val="none"/>
              </w:rPr>
              <w:t>打造高水平就业服务平台。</w:t>
            </w:r>
            <w:r>
              <w:rPr>
                <w:rFonts w:hint="eastAsia"/>
                <w:color w:val="auto"/>
                <w:highlight w:val="none"/>
              </w:rPr>
              <w:t>持续推进中国海南人力资源服务产业园三亚分园和中国三亚旅游人才市场建设，打造集人才招聘、技能培训、政策咨询于一体的</w:t>
            </w:r>
            <w:r>
              <w:rPr>
                <w:rFonts w:hint="eastAsia" w:ascii="仿宋_GB2312" w:hAnsi="仿宋_GB2312" w:eastAsia="仿宋_GB2312" w:cs="仿宋_GB2312"/>
                <w:color w:val="auto"/>
                <w:highlight w:val="none"/>
              </w:rPr>
              <w:t>“</w:t>
            </w:r>
            <w:r>
              <w:rPr>
                <w:rFonts w:hint="eastAsia"/>
                <w:color w:val="auto"/>
                <w:highlight w:val="none"/>
              </w:rPr>
              <w:t>一站式</w:t>
            </w:r>
            <w:r>
              <w:rPr>
                <w:rFonts w:hint="eastAsia" w:ascii="仿宋_GB2312" w:hAnsi="仿宋_GB2312" w:eastAsia="仿宋_GB2312" w:cs="仿宋_GB2312"/>
                <w:color w:val="auto"/>
                <w:highlight w:val="none"/>
              </w:rPr>
              <w:t>”</w:t>
            </w:r>
            <w:r>
              <w:rPr>
                <w:rFonts w:hint="eastAsia"/>
                <w:color w:val="auto"/>
                <w:highlight w:val="none"/>
              </w:rPr>
              <w:t>服务平台。</w:t>
            </w:r>
          </w:p>
        </w:tc>
      </w:tr>
    </w:tbl>
    <w:p>
      <w:pPr>
        <w:pStyle w:val="31"/>
        <w:keepNext w:val="0"/>
        <w:keepLines w:val="0"/>
        <w:pageBreakBefore w:val="0"/>
        <w:widowControl w:val="0"/>
        <w:kinsoku/>
        <w:wordWrap/>
        <w:overflowPunct/>
        <w:topLinePunct w:val="0"/>
        <w:autoSpaceDE/>
        <w:autoSpaceDN/>
        <w:bidi w:val="0"/>
        <w:adjustRightInd w:val="0"/>
        <w:snapToGrid w:val="0"/>
        <w:spacing w:before="251" w:beforeLines="80" w:line="576" w:lineRule="exact"/>
        <w:textAlignment w:val="auto"/>
        <w:rPr>
          <w:rFonts w:hint="eastAsia"/>
          <w:color w:val="auto"/>
          <w:sz w:val="32"/>
          <w:szCs w:val="32"/>
          <w:highlight w:val="none"/>
        </w:rPr>
      </w:pPr>
      <w:r>
        <w:rPr>
          <w:rFonts w:hint="eastAsia"/>
          <w:b/>
          <w:bCs/>
          <w:color w:val="auto"/>
          <w:sz w:val="32"/>
          <w:szCs w:val="32"/>
          <w:highlight w:val="none"/>
        </w:rPr>
        <w:t>完善收入分配制度。</w:t>
      </w:r>
      <w:r>
        <w:rPr>
          <w:rFonts w:hint="eastAsia"/>
          <w:color w:val="auto"/>
          <w:sz w:val="32"/>
          <w:szCs w:val="32"/>
          <w:highlight w:val="none"/>
        </w:rPr>
        <w:t>落实好与自由贸易港建设相适应、体现工作绩效和分级分类管理的机关事业单位工资分配政策。严格落实最低工资制度，完善劳动者工资决定、合理增长、支付保障机制。创新更多适应家庭财富管理需求的金融产品，拓展</w:t>
      </w:r>
      <w:r>
        <w:rPr>
          <w:rFonts w:hint="eastAsia"/>
          <w:color w:val="auto"/>
          <w:sz w:val="32"/>
          <w:szCs w:val="32"/>
          <w:highlight w:val="none"/>
          <w:lang w:eastAsia="zh-CN"/>
        </w:rPr>
        <w:t>居民工资性、经营性、</w:t>
      </w:r>
      <w:r>
        <w:rPr>
          <w:rFonts w:hint="eastAsia"/>
          <w:color w:val="auto"/>
          <w:sz w:val="32"/>
          <w:szCs w:val="32"/>
          <w:highlight w:val="none"/>
        </w:rPr>
        <w:t>财产性收入渠道。稳步扩大中等收入群体规模，有效增加低收入群体收入。</w:t>
      </w:r>
      <w:r>
        <w:rPr>
          <w:rFonts w:hint="eastAsia"/>
          <w:color w:val="auto"/>
          <w:sz w:val="32"/>
          <w:szCs w:val="32"/>
          <w:highlight w:val="none"/>
          <w:lang w:eastAsia="zh-CN"/>
        </w:rPr>
        <w:t>严格</w:t>
      </w:r>
      <w:r>
        <w:rPr>
          <w:color w:val="auto"/>
          <w:sz w:val="32"/>
          <w:szCs w:val="32"/>
          <w:highlight w:val="none"/>
        </w:rPr>
        <w:t>落实惠农补贴政策，持续拓展农村居民工资性、经营性等多元增收渠道。</w:t>
      </w: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r>
        <w:rPr>
          <w:rFonts w:hint="eastAsia"/>
          <w:b/>
          <w:bCs/>
          <w:color w:val="auto"/>
          <w:sz w:val="32"/>
          <w:szCs w:val="32"/>
          <w:highlight w:val="none"/>
        </w:rPr>
        <w:t>强化劳动者权益保障。</w:t>
      </w:r>
      <w:r>
        <w:rPr>
          <w:rFonts w:hint="eastAsia"/>
          <w:color w:val="auto"/>
          <w:sz w:val="32"/>
          <w:szCs w:val="32"/>
          <w:highlight w:val="none"/>
        </w:rPr>
        <w:t>构建和谐劳动关系</w:t>
      </w:r>
      <w:r>
        <w:rPr>
          <w:rFonts w:hint="eastAsia"/>
          <w:color w:val="auto"/>
          <w:sz w:val="32"/>
          <w:szCs w:val="32"/>
          <w:highlight w:val="none"/>
          <w:lang w:eastAsia="zh-CN"/>
        </w:rPr>
        <w:t>，</w:t>
      </w:r>
      <w:r>
        <w:rPr>
          <w:rFonts w:hint="eastAsia"/>
          <w:color w:val="auto"/>
          <w:sz w:val="32"/>
          <w:szCs w:val="32"/>
          <w:highlight w:val="none"/>
        </w:rPr>
        <w:t>加强对企业实行劳动合同制度的监督、指导和服务，推进劳动合同智慧化管理，切实提高劳动合同签订率和履行质量。健全根治欠薪工作长效机制，提升</w:t>
      </w:r>
      <w:r>
        <w:rPr>
          <w:rFonts w:hint="eastAsia"/>
          <w:color w:val="auto"/>
          <w:sz w:val="32"/>
          <w:szCs w:val="32"/>
          <w:highlight w:val="none"/>
          <w:lang w:eastAsia="zh-CN"/>
        </w:rPr>
        <w:t>对</w:t>
      </w:r>
      <w:r>
        <w:rPr>
          <w:rFonts w:hint="eastAsia"/>
          <w:color w:val="auto"/>
          <w:sz w:val="32"/>
          <w:szCs w:val="32"/>
          <w:highlight w:val="none"/>
        </w:rPr>
        <w:t>劳动监察</w:t>
      </w:r>
      <w:r>
        <w:rPr>
          <w:rFonts w:hint="eastAsia"/>
          <w:color w:val="auto"/>
          <w:sz w:val="32"/>
          <w:szCs w:val="32"/>
          <w:highlight w:val="none"/>
          <w:lang w:eastAsia="zh-CN"/>
        </w:rPr>
        <w:t>和</w:t>
      </w:r>
      <w:r>
        <w:rPr>
          <w:rFonts w:hint="eastAsia"/>
          <w:color w:val="auto"/>
          <w:sz w:val="32"/>
          <w:szCs w:val="32"/>
          <w:highlight w:val="none"/>
        </w:rPr>
        <w:t>工资支付</w:t>
      </w:r>
      <w:r>
        <w:rPr>
          <w:rFonts w:hint="eastAsia"/>
          <w:color w:val="auto"/>
          <w:sz w:val="32"/>
          <w:szCs w:val="32"/>
          <w:highlight w:val="none"/>
          <w:lang w:eastAsia="zh-CN"/>
        </w:rPr>
        <w:t>的</w:t>
      </w:r>
      <w:r>
        <w:rPr>
          <w:rFonts w:hint="eastAsia"/>
          <w:color w:val="auto"/>
          <w:sz w:val="32"/>
          <w:szCs w:val="32"/>
          <w:highlight w:val="none"/>
        </w:rPr>
        <w:t>数字化监管水平，加大欠薪违法案件查处力度，实现对全市建筑工地务工人数和工资支付实时动态监管。到</w:t>
      </w:r>
      <w:r>
        <w:rPr>
          <w:rFonts w:hint="default" w:ascii="Times New Roman" w:hAnsi="Times New Roman" w:cs="Times New Roman"/>
          <w:color w:val="auto"/>
          <w:sz w:val="32"/>
          <w:szCs w:val="32"/>
          <w:highlight w:val="none"/>
        </w:rPr>
        <w:t>2030</w:t>
      </w:r>
      <w:r>
        <w:rPr>
          <w:rFonts w:hint="eastAsia"/>
          <w:color w:val="auto"/>
          <w:sz w:val="32"/>
          <w:szCs w:val="32"/>
          <w:highlight w:val="none"/>
        </w:rPr>
        <w:t>年</w:t>
      </w:r>
      <w:r>
        <w:rPr>
          <w:color w:val="auto"/>
          <w:sz w:val="32"/>
          <w:szCs w:val="32"/>
          <w:highlight w:val="none"/>
        </w:rPr>
        <w:t>，全市劳动人事争议调解成功率不低于</w:t>
      </w:r>
      <w:r>
        <w:rPr>
          <w:rFonts w:hint="default" w:ascii="Times New Roman" w:hAnsi="Times New Roman" w:cs="Times New Roman"/>
          <w:color w:val="auto"/>
          <w:sz w:val="32"/>
          <w:szCs w:val="32"/>
          <w:highlight w:val="none"/>
        </w:rPr>
        <w:t>6</w:t>
      </w:r>
      <w:r>
        <w:rPr>
          <w:rFonts w:hint="eastAsia" w:cs="Times New Roman"/>
          <w:color w:val="auto"/>
          <w:sz w:val="32"/>
          <w:szCs w:val="32"/>
          <w:highlight w:val="none"/>
          <w:lang w:val="en-US" w:eastAsia="zh-CN"/>
        </w:rPr>
        <w:t>5</w:t>
      </w:r>
      <w:r>
        <w:rPr>
          <w:color w:val="auto"/>
          <w:sz w:val="32"/>
          <w:szCs w:val="32"/>
          <w:highlight w:val="none"/>
        </w:rPr>
        <w:t>%</w:t>
      </w:r>
      <w:r>
        <w:rPr>
          <w:rFonts w:hint="eastAsia"/>
          <w:color w:val="auto"/>
          <w:sz w:val="32"/>
          <w:szCs w:val="32"/>
          <w:highlight w:val="none"/>
        </w:rPr>
        <w:t>，劳动人事争议仲裁结案率不低于</w:t>
      </w:r>
      <w:r>
        <w:rPr>
          <w:rFonts w:hint="default" w:ascii="Times New Roman" w:hAnsi="Times New Roman" w:cs="Times New Roman"/>
          <w:color w:val="auto"/>
          <w:sz w:val="32"/>
          <w:szCs w:val="32"/>
          <w:highlight w:val="none"/>
        </w:rPr>
        <w:t>9</w:t>
      </w:r>
      <w:r>
        <w:rPr>
          <w:rFonts w:hint="eastAsia" w:cs="Times New Roman"/>
          <w:color w:val="auto"/>
          <w:sz w:val="32"/>
          <w:szCs w:val="32"/>
          <w:highlight w:val="none"/>
          <w:lang w:val="en-US" w:eastAsia="zh-CN"/>
        </w:rPr>
        <w:t>3</w:t>
      </w:r>
      <w:r>
        <w:rPr>
          <w:color w:val="auto"/>
          <w:sz w:val="32"/>
          <w:szCs w:val="32"/>
          <w:highlight w:val="none"/>
        </w:rPr>
        <w:t>%</w:t>
      </w:r>
      <w:r>
        <w:rPr>
          <w:rFonts w:hint="eastAsia"/>
          <w:color w:val="auto"/>
          <w:sz w:val="32"/>
          <w:szCs w:val="32"/>
          <w:highlight w:val="none"/>
        </w:rPr>
        <w:t>，拖欠农民工工资举报投诉案件结案率</w:t>
      </w:r>
      <w:r>
        <w:rPr>
          <w:rFonts w:hint="default" w:ascii="Times New Roman" w:hAnsi="Times New Roman" w:cs="Times New Roman"/>
          <w:color w:val="auto"/>
          <w:sz w:val="32"/>
          <w:szCs w:val="32"/>
          <w:highlight w:val="none"/>
        </w:rPr>
        <w:t>100</w:t>
      </w:r>
      <w:r>
        <w:rPr>
          <w:color w:val="auto"/>
          <w:sz w:val="32"/>
          <w:szCs w:val="32"/>
          <w:highlight w:val="none"/>
        </w:rPr>
        <w:t>%</w:t>
      </w:r>
      <w:r>
        <w:rPr>
          <w:rFonts w:hint="eastAsia"/>
          <w:color w:val="auto"/>
          <w:sz w:val="32"/>
          <w:szCs w:val="32"/>
          <w:highlight w:val="none"/>
        </w:rPr>
        <w:t>，劳动保障监察举报投诉案件结案率</w:t>
      </w:r>
      <w:r>
        <w:rPr>
          <w:rFonts w:hint="default" w:ascii="Times New Roman" w:hAnsi="Times New Roman" w:cs="Times New Roman"/>
          <w:color w:val="auto"/>
          <w:sz w:val="32"/>
          <w:szCs w:val="32"/>
          <w:highlight w:val="none"/>
        </w:rPr>
        <w:t>100</w:t>
      </w:r>
      <w:r>
        <w:rPr>
          <w:color w:val="auto"/>
          <w:sz w:val="32"/>
          <w:szCs w:val="32"/>
          <w:highlight w:val="none"/>
        </w:rPr>
        <w:t>%</w:t>
      </w:r>
      <w:r>
        <w:rPr>
          <w:rFonts w:hint="eastAsia"/>
          <w:color w:val="auto"/>
          <w:sz w:val="32"/>
          <w:szCs w:val="32"/>
          <w:highlight w:val="none"/>
        </w:rPr>
        <w:t>。</w:t>
      </w:r>
      <w:bookmarkStart w:id="819" w:name="_Toc327006007"/>
      <w:bookmarkStart w:id="820" w:name="_Toc638068700"/>
      <w:bookmarkStart w:id="821" w:name="_Toc1836132979"/>
      <w:bookmarkStart w:id="822" w:name="_Toc213447283"/>
      <w:bookmarkStart w:id="823" w:name="_Toc342508546"/>
      <w:bookmarkStart w:id="824" w:name="_Toc1032751445"/>
      <w:bookmarkStart w:id="825" w:name="_Toc72310262"/>
      <w:bookmarkStart w:id="826" w:name="_Toc782386477"/>
      <w:bookmarkStart w:id="827" w:name="_Toc400753715"/>
      <w:bookmarkStart w:id="828" w:name="_Toc10563"/>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p>
    <w:p>
      <w:pPr>
        <w:pStyle w:val="31"/>
        <w:keepNext w:val="0"/>
        <w:keepLines w:val="0"/>
        <w:pageBreakBefore w:val="0"/>
        <w:widowControl w:val="0"/>
        <w:kinsoku/>
        <w:wordWrap/>
        <w:overflowPunct/>
        <w:topLinePunct w:val="0"/>
        <w:autoSpaceDE/>
        <w:autoSpaceDN/>
        <w:bidi w:val="0"/>
        <w:adjustRightInd w:val="0"/>
        <w:snapToGrid w:val="0"/>
        <w:spacing w:line="576" w:lineRule="exact"/>
        <w:ind w:left="0" w:leftChars="0" w:firstLine="0" w:firstLineChars="0"/>
        <w:jc w:val="center"/>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第二节  推动教育提质升级</w:t>
      </w:r>
      <w:bookmarkEnd w:id="819"/>
      <w:bookmarkEnd w:id="820"/>
      <w:bookmarkEnd w:id="821"/>
      <w:bookmarkEnd w:id="822"/>
      <w:bookmarkEnd w:id="823"/>
      <w:bookmarkEnd w:id="824"/>
      <w:bookmarkEnd w:id="825"/>
      <w:bookmarkEnd w:id="826"/>
      <w:bookmarkEnd w:id="827"/>
      <w:bookmarkEnd w:id="828"/>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default"/>
          <w:color w:val="auto"/>
          <w:sz w:val="32"/>
          <w:szCs w:val="32"/>
          <w:highlight w:val="none"/>
          <w:lang w:eastAsia="zh-CN"/>
        </w:rPr>
      </w:pP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default"/>
          <w:b/>
          <w:bCs/>
          <w:color w:val="auto"/>
          <w:sz w:val="32"/>
          <w:szCs w:val="32"/>
          <w:highlight w:val="none"/>
          <w:lang w:eastAsia="zh-CN"/>
        </w:rPr>
        <w:t>推动基础教育公平优质发展。</w:t>
      </w:r>
      <w:r>
        <w:rPr>
          <w:rFonts w:hint="default"/>
          <w:color w:val="auto"/>
          <w:sz w:val="32"/>
          <w:szCs w:val="32"/>
          <w:highlight w:val="none"/>
          <w:lang w:eastAsia="zh-CN"/>
        </w:rPr>
        <w:t>完善教育评价体系，扩大优质教育资源供给。推动基础教育资源统筹调配机制改革，健全与人口变化相适应的学位供需动态监测与教育资源配置机制，优化中小学校布局，加强农村寄宿制学校标准化建设和特殊教育学校建设。稳步扩大免费教育范围，统筹学前教育优质普惠发展，培育优质幼儿园，落实科学保教</w:t>
      </w:r>
      <w:r>
        <w:rPr>
          <w:rFonts w:hint="eastAsia"/>
          <w:color w:val="auto"/>
          <w:sz w:val="32"/>
          <w:szCs w:val="32"/>
          <w:highlight w:val="none"/>
          <w:lang w:eastAsia="zh-CN"/>
        </w:rPr>
        <w:t>，</w:t>
      </w:r>
      <w:r>
        <w:rPr>
          <w:rFonts w:hint="default"/>
          <w:color w:val="auto"/>
          <w:sz w:val="32"/>
          <w:szCs w:val="32"/>
          <w:highlight w:val="none"/>
          <w:lang w:eastAsia="zh-CN"/>
        </w:rPr>
        <w:t>扩大公办园学位供给，到</w:t>
      </w:r>
      <w:r>
        <w:rPr>
          <w:rFonts w:hint="default" w:ascii="Times New Roman" w:hAnsi="Times New Roman" w:cs="Times New Roman"/>
          <w:color w:val="auto"/>
          <w:sz w:val="32"/>
          <w:szCs w:val="32"/>
          <w:highlight w:val="none"/>
          <w:lang w:eastAsia="zh-CN"/>
        </w:rPr>
        <w:t>2030</w:t>
      </w:r>
      <w:r>
        <w:rPr>
          <w:rFonts w:hint="default"/>
          <w:color w:val="auto"/>
          <w:sz w:val="32"/>
          <w:szCs w:val="32"/>
          <w:highlight w:val="none"/>
          <w:lang w:eastAsia="zh-CN"/>
        </w:rPr>
        <w:t>年公办园在园幼儿占比达到</w:t>
      </w:r>
      <w:r>
        <w:rPr>
          <w:rFonts w:hint="default" w:ascii="Times New Roman" w:hAnsi="Times New Roman" w:cs="Times New Roman"/>
          <w:color w:val="auto"/>
          <w:sz w:val="32"/>
          <w:szCs w:val="32"/>
          <w:highlight w:val="none"/>
          <w:lang w:eastAsia="zh-CN"/>
        </w:rPr>
        <w:t>60</w:t>
      </w:r>
      <w:r>
        <w:rPr>
          <w:rFonts w:hint="default"/>
          <w:color w:val="auto"/>
          <w:sz w:val="32"/>
          <w:szCs w:val="32"/>
          <w:highlight w:val="none"/>
          <w:lang w:eastAsia="zh-CN"/>
        </w:rPr>
        <w:t>%，普惠园覆盖率达到</w:t>
      </w:r>
      <w:r>
        <w:rPr>
          <w:rFonts w:hint="default" w:ascii="Times New Roman" w:hAnsi="Times New Roman" w:cs="Times New Roman"/>
          <w:color w:val="auto"/>
          <w:sz w:val="32"/>
          <w:szCs w:val="32"/>
          <w:highlight w:val="none"/>
          <w:lang w:eastAsia="zh-CN"/>
        </w:rPr>
        <w:t>90</w:t>
      </w:r>
      <w:r>
        <w:rPr>
          <w:rFonts w:hint="default"/>
          <w:color w:val="auto"/>
          <w:sz w:val="32"/>
          <w:szCs w:val="32"/>
          <w:highlight w:val="none"/>
          <w:lang w:eastAsia="zh-CN"/>
        </w:rPr>
        <w:t>%</w:t>
      </w:r>
      <w:r>
        <w:rPr>
          <w:rFonts w:hint="eastAsia"/>
          <w:color w:val="auto"/>
          <w:sz w:val="32"/>
          <w:szCs w:val="32"/>
          <w:highlight w:val="none"/>
          <w:lang w:eastAsia="zh-CN"/>
        </w:rPr>
        <w:t>。</w:t>
      </w:r>
      <w:r>
        <w:rPr>
          <w:rFonts w:hint="default"/>
          <w:color w:val="auto"/>
          <w:sz w:val="32"/>
          <w:szCs w:val="32"/>
          <w:highlight w:val="none"/>
          <w:lang w:eastAsia="zh-CN"/>
        </w:rPr>
        <w:t>加快推进义务教育优质均衡发展</w:t>
      </w:r>
      <w:r>
        <w:rPr>
          <w:rFonts w:hint="eastAsia"/>
          <w:color w:val="auto"/>
          <w:sz w:val="32"/>
          <w:szCs w:val="32"/>
          <w:highlight w:val="none"/>
          <w:lang w:eastAsia="zh-CN"/>
        </w:rPr>
        <w:t>，做好家庭教育工作，</w:t>
      </w:r>
      <w:r>
        <w:rPr>
          <w:rFonts w:hint="eastAsia"/>
          <w:color w:val="auto"/>
          <w:sz w:val="32"/>
          <w:szCs w:val="32"/>
          <w:highlight w:val="none"/>
        </w:rPr>
        <w:t>加强义务教育学校标准化建设，深化集团化办学，重点</w:t>
      </w:r>
      <w:r>
        <w:rPr>
          <w:color w:val="auto"/>
          <w:sz w:val="32"/>
          <w:szCs w:val="32"/>
          <w:highlight w:val="none"/>
        </w:rPr>
        <w:t>支持</w:t>
      </w:r>
      <w:r>
        <w:rPr>
          <w:rFonts w:hint="eastAsia"/>
          <w:color w:val="auto"/>
          <w:sz w:val="32"/>
          <w:szCs w:val="32"/>
          <w:highlight w:val="none"/>
        </w:rPr>
        <w:t>薄弱学校</w:t>
      </w:r>
      <w:r>
        <w:rPr>
          <w:color w:val="auto"/>
          <w:sz w:val="32"/>
          <w:szCs w:val="32"/>
          <w:highlight w:val="none"/>
        </w:rPr>
        <w:t>和乡村学校提质发展</w:t>
      </w:r>
      <w:r>
        <w:rPr>
          <w:rFonts w:hint="default"/>
          <w:color w:val="auto"/>
          <w:sz w:val="32"/>
          <w:szCs w:val="32"/>
          <w:highlight w:val="none"/>
          <w:lang w:eastAsia="zh-CN"/>
        </w:rPr>
        <w:t>，实现乡村小规模学校应撤尽撤</w:t>
      </w:r>
      <w:r>
        <w:rPr>
          <w:rFonts w:hint="eastAsia"/>
          <w:color w:val="auto"/>
          <w:sz w:val="32"/>
          <w:szCs w:val="32"/>
          <w:highlight w:val="none"/>
        </w:rPr>
        <w:t>。</w:t>
      </w:r>
      <w:r>
        <w:rPr>
          <w:rFonts w:hint="default"/>
          <w:color w:val="auto"/>
          <w:sz w:val="32"/>
          <w:szCs w:val="32"/>
          <w:highlight w:val="none"/>
          <w:lang w:eastAsia="zh-CN"/>
        </w:rPr>
        <w:t>扩大普通高中教育学位供给，改善高中办学条件</w:t>
      </w:r>
      <w:r>
        <w:rPr>
          <w:rFonts w:hint="eastAsia"/>
          <w:color w:val="auto"/>
          <w:sz w:val="32"/>
          <w:szCs w:val="32"/>
          <w:highlight w:val="none"/>
          <w:lang w:eastAsia="zh-CN"/>
        </w:rPr>
        <w:t>，提升</w:t>
      </w:r>
      <w:r>
        <w:rPr>
          <w:rFonts w:hint="default"/>
          <w:color w:val="auto"/>
          <w:sz w:val="32"/>
          <w:szCs w:val="32"/>
          <w:highlight w:val="none"/>
          <w:lang w:eastAsia="zh-CN"/>
        </w:rPr>
        <w:t>师资力量，推动高中教育特色化发展</w:t>
      </w:r>
      <w:r>
        <w:rPr>
          <w:rFonts w:hint="eastAsia"/>
          <w:color w:val="auto"/>
          <w:sz w:val="32"/>
          <w:szCs w:val="32"/>
          <w:highlight w:val="none"/>
          <w:lang w:eastAsia="zh-CN"/>
        </w:rPr>
        <w:t>，</w:t>
      </w:r>
      <w:r>
        <w:rPr>
          <w:rFonts w:hint="default"/>
          <w:color w:val="auto"/>
          <w:sz w:val="32"/>
          <w:szCs w:val="32"/>
          <w:highlight w:val="none"/>
          <w:lang w:eastAsia="zh-CN"/>
        </w:rPr>
        <w:t>引导民办教育规范健康发展</w:t>
      </w:r>
      <w:r>
        <w:rPr>
          <w:rFonts w:hint="eastAsia"/>
          <w:color w:val="auto"/>
          <w:sz w:val="32"/>
          <w:szCs w:val="32"/>
          <w:highlight w:val="none"/>
          <w:lang w:eastAsia="zh-CN"/>
        </w:rPr>
        <w:t>。到</w:t>
      </w:r>
      <w:r>
        <w:rPr>
          <w:rFonts w:hint="eastAsia"/>
          <w:color w:val="auto"/>
          <w:sz w:val="32"/>
          <w:szCs w:val="32"/>
          <w:highlight w:val="none"/>
          <w:lang w:val="en-US" w:eastAsia="zh-CN"/>
        </w:rPr>
        <w:t>2030年，</w:t>
      </w:r>
      <w:r>
        <w:rPr>
          <w:rFonts w:hint="default"/>
          <w:color w:val="auto"/>
          <w:sz w:val="32"/>
          <w:szCs w:val="32"/>
          <w:highlight w:val="none"/>
          <w:lang w:eastAsia="zh-CN"/>
        </w:rPr>
        <w:t>争取高中毛入学率达到</w:t>
      </w:r>
      <w:r>
        <w:rPr>
          <w:rFonts w:hint="default" w:ascii="Times New Roman" w:hAnsi="Times New Roman" w:cs="Times New Roman"/>
          <w:color w:val="auto"/>
          <w:sz w:val="32"/>
          <w:szCs w:val="32"/>
          <w:highlight w:val="none"/>
          <w:lang w:eastAsia="zh-CN"/>
        </w:rPr>
        <w:t>98</w:t>
      </w:r>
      <w:r>
        <w:rPr>
          <w:rFonts w:hint="default"/>
          <w:color w:val="auto"/>
          <w:sz w:val="32"/>
          <w:szCs w:val="32"/>
          <w:highlight w:val="none"/>
          <w:lang w:eastAsia="zh-CN"/>
        </w:rPr>
        <w:t>%以上，高中阶段教育完成率达到</w:t>
      </w:r>
      <w:r>
        <w:rPr>
          <w:rFonts w:hint="default" w:ascii="Times New Roman" w:hAnsi="Times New Roman" w:cs="Times New Roman"/>
          <w:color w:val="auto"/>
          <w:sz w:val="32"/>
          <w:szCs w:val="32"/>
          <w:highlight w:val="none"/>
          <w:lang w:eastAsia="zh-CN"/>
        </w:rPr>
        <w:t>89</w:t>
      </w:r>
      <w:r>
        <w:rPr>
          <w:rFonts w:hint="default"/>
          <w:color w:val="auto"/>
          <w:sz w:val="32"/>
          <w:szCs w:val="32"/>
          <w:highlight w:val="none"/>
          <w:lang w:eastAsia="zh-CN"/>
        </w:rPr>
        <w:t>%以上。</w:t>
      </w:r>
      <w:r>
        <w:rPr>
          <w:rFonts w:hint="eastAsia"/>
          <w:color w:val="auto"/>
          <w:sz w:val="32"/>
          <w:szCs w:val="32"/>
          <w:highlight w:val="none"/>
          <w:lang w:eastAsia="zh-CN"/>
        </w:rPr>
        <w:t>推进特殊教育普惠融合发展，保障特殊儿童受教育权。扩大专门教育学位供给，深化</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lang w:eastAsia="zh-CN"/>
        </w:rPr>
        <w:t>警师共育</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lang w:eastAsia="zh-CN"/>
        </w:rPr>
        <w:t>，不断提高专门教育和矫治教育成效。加强各级教研部门教研员配备，实施高效课堂改革，努力构建基础教育品质课程</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lang w:eastAsia="zh-CN"/>
        </w:rPr>
        <w:t>三亚样板</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rPr>
        <w:t>，打造</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学在三亚</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品牌。</w:t>
      </w: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r>
        <w:rPr>
          <w:rFonts w:hint="eastAsia"/>
          <w:b/>
          <w:bCs/>
          <w:color w:val="auto"/>
          <w:sz w:val="32"/>
          <w:szCs w:val="32"/>
          <w:highlight w:val="none"/>
          <w:lang w:eastAsia="zh-CN"/>
        </w:rPr>
        <w:t>助力高等教育和职业教育提质扩容</w:t>
      </w:r>
      <w:r>
        <w:rPr>
          <w:b/>
          <w:bCs/>
          <w:color w:val="auto"/>
          <w:sz w:val="32"/>
          <w:szCs w:val="32"/>
          <w:highlight w:val="none"/>
        </w:rPr>
        <w:t>。</w:t>
      </w:r>
      <w:r>
        <w:rPr>
          <w:rFonts w:hint="eastAsia"/>
          <w:color w:val="auto"/>
          <w:sz w:val="32"/>
          <w:szCs w:val="32"/>
          <w:highlight w:val="none"/>
        </w:rPr>
        <w:t>推动优化学科专业设</w:t>
      </w:r>
      <w:r>
        <w:rPr>
          <w:rFonts w:hint="eastAsia"/>
          <w:color w:val="auto"/>
          <w:spacing w:val="6"/>
          <w:sz w:val="32"/>
          <w:szCs w:val="32"/>
          <w:highlight w:val="none"/>
        </w:rPr>
        <w:t>置，加强新兴学科、交叉学科建设，聚焦南繁种业、深海科技、生物制造、数字经济等前沿领域开展科研攻关</w:t>
      </w:r>
      <w:r>
        <w:rPr>
          <w:rFonts w:hint="eastAsia"/>
          <w:color w:val="auto"/>
          <w:spacing w:val="6"/>
          <w:sz w:val="32"/>
          <w:szCs w:val="32"/>
          <w:highlight w:val="none"/>
          <w:lang w:eastAsia="zh-CN"/>
        </w:rPr>
        <w:t>。</w:t>
      </w:r>
      <w:r>
        <w:rPr>
          <w:rFonts w:hint="eastAsia"/>
          <w:color w:val="auto"/>
          <w:spacing w:val="6"/>
          <w:sz w:val="32"/>
          <w:szCs w:val="32"/>
          <w:highlight w:val="none"/>
        </w:rPr>
        <w:t>支持海南热带海洋学院、三亚学院更名大学，推动三亚航空旅游职业学院新校区建设与搬迁，</w:t>
      </w:r>
      <w:r>
        <w:rPr>
          <w:rFonts w:hint="eastAsia"/>
          <w:color w:val="auto"/>
          <w:spacing w:val="6"/>
          <w:sz w:val="32"/>
          <w:szCs w:val="32"/>
          <w:highlight w:val="none"/>
          <w:lang w:eastAsia="zh-CN"/>
        </w:rPr>
        <w:t>支持三亚技师学院扩大办学规模，</w:t>
      </w:r>
      <w:r>
        <w:rPr>
          <w:rFonts w:hint="eastAsia"/>
          <w:color w:val="auto"/>
          <w:spacing w:val="6"/>
          <w:sz w:val="32"/>
          <w:szCs w:val="32"/>
          <w:highlight w:val="none"/>
        </w:rPr>
        <w:t>全面提升办学层次和人才培养能力。深化职普融通、</w:t>
      </w:r>
      <w:r>
        <w:rPr>
          <w:color w:val="auto"/>
          <w:spacing w:val="6"/>
          <w:sz w:val="32"/>
          <w:szCs w:val="32"/>
          <w:highlight w:val="none"/>
        </w:rPr>
        <w:t>产教融合、校企合作，推动职业教育资源向重点园区聚集。</w:t>
      </w: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color w:val="auto"/>
          <w:spacing w:val="6"/>
          <w:sz w:val="32"/>
          <w:szCs w:val="32"/>
          <w:highlight w:val="none"/>
        </w:rPr>
      </w:pPr>
      <w:r>
        <w:rPr>
          <w:rFonts w:hint="eastAsia"/>
          <w:b/>
          <w:bCs/>
          <w:color w:val="auto"/>
          <w:sz w:val="32"/>
          <w:szCs w:val="32"/>
          <w:highlight w:val="none"/>
        </w:rPr>
        <w:t>提升教育治理</w:t>
      </w:r>
      <w:r>
        <w:rPr>
          <w:b/>
          <w:bCs/>
          <w:color w:val="auto"/>
          <w:sz w:val="32"/>
          <w:szCs w:val="32"/>
          <w:highlight w:val="none"/>
        </w:rPr>
        <w:t>现代化</w:t>
      </w:r>
      <w:r>
        <w:rPr>
          <w:rFonts w:hint="eastAsia"/>
          <w:b/>
          <w:bCs/>
          <w:color w:val="auto"/>
          <w:sz w:val="32"/>
          <w:szCs w:val="32"/>
          <w:highlight w:val="none"/>
        </w:rPr>
        <w:t>水平。</w:t>
      </w:r>
      <w:r>
        <w:rPr>
          <w:rFonts w:hint="eastAsia"/>
          <w:color w:val="auto"/>
          <w:sz w:val="32"/>
          <w:szCs w:val="32"/>
          <w:highlight w:val="none"/>
        </w:rPr>
        <w:t>持续推进新时代立德树人工程，</w:t>
      </w:r>
      <w:r>
        <w:rPr>
          <w:rFonts w:hint="eastAsia"/>
          <w:color w:val="auto"/>
          <w:sz w:val="32"/>
          <w:szCs w:val="32"/>
          <w:highlight w:val="none"/>
          <w:lang w:eastAsia="zh-CN"/>
        </w:rPr>
        <w:t>坚持</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lang w:eastAsia="zh-CN"/>
        </w:rPr>
        <w:t>五育并举</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lang w:eastAsia="zh-CN"/>
        </w:rPr>
        <w:t>，突出青少年理想信念教育，促进思政课堂和</w:t>
      </w:r>
      <w:r>
        <w:rPr>
          <w:rFonts w:hint="eastAsia"/>
          <w:color w:val="auto"/>
          <w:spacing w:val="6"/>
          <w:sz w:val="32"/>
          <w:szCs w:val="32"/>
          <w:highlight w:val="none"/>
          <w:lang w:eastAsia="zh-CN"/>
        </w:rPr>
        <w:t>社会课堂有效融合，加强心理健康和劳动教育，实施学生体质强健计划和学校美育浸润行动。健全学校、家庭、社会协同育人机制。严控学科类培训，规范非学科类培训，因地制宜开设课后服务特色课程。</w:t>
      </w:r>
      <w:r>
        <w:rPr>
          <w:color w:val="auto"/>
          <w:spacing w:val="6"/>
          <w:sz w:val="32"/>
          <w:szCs w:val="32"/>
          <w:highlight w:val="none"/>
        </w:rPr>
        <w:t>加快</w:t>
      </w:r>
      <w:r>
        <w:rPr>
          <w:rFonts w:hint="eastAsia"/>
          <w:color w:val="auto"/>
          <w:spacing w:val="6"/>
          <w:sz w:val="32"/>
          <w:szCs w:val="32"/>
          <w:highlight w:val="none"/>
          <w:lang w:val="en-US" w:eastAsia="zh-CN"/>
        </w:rPr>
        <w:t>教育领域</w:t>
      </w:r>
      <w:r>
        <w:rPr>
          <w:rFonts w:hint="eastAsia"/>
          <w:color w:val="auto"/>
          <w:spacing w:val="6"/>
          <w:sz w:val="32"/>
          <w:szCs w:val="32"/>
          <w:highlight w:val="none"/>
        </w:rPr>
        <w:t>关键业务数字化</w:t>
      </w:r>
      <w:r>
        <w:rPr>
          <w:color w:val="auto"/>
          <w:spacing w:val="6"/>
          <w:sz w:val="32"/>
          <w:szCs w:val="32"/>
          <w:highlight w:val="none"/>
        </w:rPr>
        <w:t>转型</w:t>
      </w:r>
      <w:r>
        <w:rPr>
          <w:rFonts w:hint="eastAsia"/>
          <w:color w:val="auto"/>
          <w:spacing w:val="6"/>
          <w:sz w:val="32"/>
          <w:szCs w:val="32"/>
          <w:highlight w:val="none"/>
        </w:rPr>
        <w:t>，打造智慧校园，助力</w:t>
      </w:r>
      <w:r>
        <w:rPr>
          <w:rFonts w:hint="eastAsia" w:ascii="仿宋_GB2312" w:hAnsi="仿宋_GB2312" w:eastAsia="仿宋_GB2312" w:cs="仿宋_GB2312"/>
          <w:color w:val="auto"/>
          <w:spacing w:val="6"/>
          <w:sz w:val="32"/>
          <w:szCs w:val="32"/>
          <w:highlight w:val="none"/>
        </w:rPr>
        <w:t>“</w:t>
      </w:r>
      <w:r>
        <w:rPr>
          <w:rFonts w:hint="eastAsia"/>
          <w:color w:val="auto"/>
          <w:spacing w:val="6"/>
          <w:sz w:val="32"/>
          <w:szCs w:val="32"/>
          <w:highlight w:val="none"/>
        </w:rPr>
        <w:t>智慧教育岛</w:t>
      </w:r>
      <w:r>
        <w:rPr>
          <w:rFonts w:hint="eastAsia" w:ascii="仿宋_GB2312" w:hAnsi="仿宋_GB2312" w:eastAsia="仿宋_GB2312" w:cs="仿宋_GB2312"/>
          <w:color w:val="auto"/>
          <w:spacing w:val="6"/>
          <w:sz w:val="32"/>
          <w:szCs w:val="32"/>
          <w:highlight w:val="none"/>
        </w:rPr>
        <w:t>”</w:t>
      </w:r>
      <w:r>
        <w:rPr>
          <w:rFonts w:hint="eastAsia"/>
          <w:color w:val="auto"/>
          <w:spacing w:val="6"/>
          <w:sz w:val="32"/>
          <w:szCs w:val="32"/>
          <w:highlight w:val="none"/>
        </w:rPr>
        <w:t>建设，优化终身学习公共服务。弘扬教育家精神，继续实施“好校长、好教师”引育工程和“银发精英”汇聚计划，完善分层培养与激励机制，拓展研修渠道，</w:t>
      </w:r>
      <w:r>
        <w:rPr>
          <w:rFonts w:hint="eastAsia"/>
          <w:color w:val="auto"/>
          <w:spacing w:val="6"/>
          <w:sz w:val="32"/>
          <w:szCs w:val="32"/>
          <w:highlight w:val="none"/>
          <w:lang w:eastAsia="zh-CN"/>
        </w:rPr>
        <w:t>建立教师减负长效机制，</w:t>
      </w:r>
      <w:r>
        <w:rPr>
          <w:rFonts w:hint="eastAsia"/>
          <w:color w:val="auto"/>
          <w:spacing w:val="6"/>
          <w:sz w:val="32"/>
          <w:szCs w:val="32"/>
          <w:highlight w:val="none"/>
        </w:rPr>
        <w:t>全面提升教师专业素养与待遇保障。</w:t>
      </w:r>
      <w:r>
        <w:rPr>
          <w:rFonts w:hint="eastAsia"/>
          <w:color w:val="auto"/>
          <w:spacing w:val="6"/>
          <w:sz w:val="32"/>
          <w:szCs w:val="32"/>
          <w:highlight w:val="none"/>
          <w:lang w:eastAsia="zh-CN"/>
        </w:rPr>
        <w:t>构建联动高效的教育大安全格局，常态化开展</w:t>
      </w:r>
      <w:r>
        <w:rPr>
          <w:rFonts w:hint="eastAsia" w:ascii="仿宋_GB2312" w:hAnsi="仿宋_GB2312" w:eastAsia="仿宋_GB2312" w:cs="仿宋_GB2312"/>
          <w:color w:val="auto"/>
          <w:spacing w:val="6"/>
          <w:sz w:val="32"/>
          <w:szCs w:val="32"/>
          <w:highlight w:val="none"/>
          <w:lang w:eastAsia="zh-CN"/>
        </w:rPr>
        <w:t>“</w:t>
      </w:r>
      <w:r>
        <w:rPr>
          <w:rFonts w:hint="eastAsia"/>
          <w:color w:val="auto"/>
          <w:spacing w:val="6"/>
          <w:sz w:val="32"/>
          <w:szCs w:val="32"/>
          <w:highlight w:val="none"/>
          <w:lang w:eastAsia="zh-CN"/>
        </w:rPr>
        <w:t>护苗</w:t>
      </w:r>
      <w:r>
        <w:rPr>
          <w:rFonts w:hint="eastAsia" w:ascii="仿宋_GB2312" w:hAnsi="仿宋_GB2312" w:eastAsia="仿宋_GB2312" w:cs="仿宋_GB2312"/>
          <w:color w:val="auto"/>
          <w:sz w:val="32"/>
          <w:szCs w:val="32"/>
          <w:highlight w:val="none"/>
          <w:lang w:eastAsia="zh-CN"/>
        </w:rPr>
        <w:t>”</w:t>
      </w:r>
      <w:r>
        <w:rPr>
          <w:rFonts w:hint="eastAsia"/>
          <w:color w:val="auto"/>
          <w:spacing w:val="6"/>
          <w:sz w:val="32"/>
          <w:szCs w:val="32"/>
          <w:highlight w:val="none"/>
          <w:lang w:eastAsia="zh-CN"/>
        </w:rPr>
        <w:t>专项行动，提升校园智能化安防水平，强化校外托管机构监管和规范管理。</w:t>
      </w:r>
    </w:p>
    <w:tbl>
      <w:tblPr>
        <w:tblStyle w:val="37"/>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4"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shd w:val="clear"/>
              <w:tabs>
                <w:tab w:val="right" w:leader="dot" w:pos="8296"/>
              </w:tabs>
              <w:kinsoku/>
              <w:wordWrap/>
              <w:overflowPunct/>
              <w:topLinePunct w:val="0"/>
              <w:autoSpaceDE/>
              <w:autoSpaceDN/>
              <w:bidi w:val="0"/>
              <w:snapToGrid w:val="0"/>
              <w:spacing w:before="157" w:beforeLines="50" w:after="157" w:afterLines="50" w:line="440" w:lineRule="exact"/>
              <w:jc w:val="center"/>
              <w:textAlignment w:val="auto"/>
              <w:rPr>
                <w:rFonts w:ascii="黑体" w:hAnsi="黑体" w:eastAsia="黑体"/>
                <w:color w:val="auto"/>
                <w:kern w:val="0"/>
                <w:sz w:val="28"/>
                <w:szCs w:val="28"/>
                <w:highlight w:val="none"/>
                <w:shd w:val="clear" w:color="auto" w:fill="FFFFFF"/>
              </w:rPr>
            </w:pPr>
            <w:r>
              <w:rPr>
                <w:rFonts w:hint="eastAsia" w:ascii="黑体" w:hAnsi="黑体" w:eastAsia="黑体"/>
                <w:color w:val="auto"/>
                <w:kern w:val="0"/>
                <w:sz w:val="28"/>
                <w:szCs w:val="28"/>
                <w:highlight w:val="none"/>
              </w:rPr>
              <w:t>专栏</w:t>
            </w:r>
            <w:r>
              <w:rPr>
                <w:rFonts w:hint="default" w:ascii="Times New Roman" w:hAnsi="Times New Roman" w:eastAsia="黑体" w:cs="Times New Roman"/>
                <w:bCs/>
                <w:color w:val="auto"/>
                <w:sz w:val="28"/>
                <w:szCs w:val="28"/>
                <w:highlight w:val="none"/>
              </w:rPr>
              <w:fldChar w:fldCharType="begin"/>
            </w:r>
            <w:r>
              <w:rPr>
                <w:rFonts w:hint="default" w:ascii="Times New Roman" w:hAnsi="Times New Roman" w:eastAsia="黑体" w:cs="Times New Roman"/>
                <w:bCs/>
                <w:color w:val="auto"/>
                <w:sz w:val="28"/>
                <w:szCs w:val="28"/>
                <w:highlight w:val="none"/>
              </w:rPr>
              <w:instrText xml:space="preserve"> SEQ 表格 \* ARABIC </w:instrText>
            </w:r>
            <w:r>
              <w:rPr>
                <w:rFonts w:hint="default" w:ascii="Times New Roman" w:hAnsi="Times New Roman" w:eastAsia="黑体" w:cs="Times New Roman"/>
                <w:bCs/>
                <w:color w:val="auto"/>
                <w:sz w:val="28"/>
                <w:szCs w:val="28"/>
                <w:highlight w:val="none"/>
              </w:rPr>
              <w:fldChar w:fldCharType="separate"/>
            </w:r>
            <w:r>
              <w:rPr>
                <w:rFonts w:hint="default" w:ascii="Times New Roman" w:hAnsi="Times New Roman" w:eastAsia="黑体" w:cs="Times New Roman"/>
                <w:bCs/>
                <w:color w:val="auto"/>
                <w:sz w:val="28"/>
                <w:szCs w:val="28"/>
                <w:highlight w:val="none"/>
              </w:rPr>
              <w:t>1</w:t>
            </w:r>
            <w:r>
              <w:rPr>
                <w:rFonts w:hint="default" w:ascii="Times New Roman" w:hAnsi="Times New Roman" w:eastAsia="黑体" w:cs="Times New Roman"/>
                <w:bCs/>
                <w:color w:val="auto"/>
                <w:sz w:val="28"/>
                <w:szCs w:val="28"/>
                <w:highlight w:val="none"/>
              </w:rPr>
              <w:fldChar w:fldCharType="end"/>
            </w:r>
            <w:r>
              <w:rPr>
                <w:rFonts w:hint="default" w:ascii="Times New Roman" w:hAnsi="Times New Roman" w:eastAsia="黑体" w:cs="Times New Roman"/>
                <w:bCs/>
                <w:color w:val="auto"/>
                <w:sz w:val="28"/>
                <w:szCs w:val="28"/>
                <w:highlight w:val="none"/>
                <w:lang w:val="en-US" w:eastAsia="zh-CN"/>
              </w:rPr>
              <w:t>3</w:t>
            </w:r>
            <w:r>
              <w:rPr>
                <w:rFonts w:hint="eastAsia" w:ascii="黑体" w:hAnsi="黑体" w:eastAsia="黑体"/>
                <w:color w:val="auto"/>
                <w:kern w:val="0"/>
                <w:sz w:val="28"/>
                <w:szCs w:val="28"/>
                <w:highlight w:val="none"/>
                <w:lang w:val="en-US" w:eastAsia="zh-CN"/>
              </w:rPr>
              <w:t xml:space="preserve">  </w:t>
            </w:r>
            <w:r>
              <w:rPr>
                <w:rFonts w:ascii="黑体" w:hAnsi="黑体" w:eastAsia="黑体"/>
                <w:color w:val="auto"/>
                <w:kern w:val="0"/>
                <w:sz w:val="28"/>
                <w:szCs w:val="28"/>
                <w:highlight w:val="none"/>
              </w:rPr>
              <w:t>推动基础教育高质量发展工程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4" w:type="dxa"/>
            <w:tcBorders>
              <w:top w:val="single" w:color="auto" w:sz="4" w:space="0"/>
              <w:left w:val="single" w:color="auto" w:sz="4" w:space="0"/>
              <w:bottom w:val="single" w:color="auto" w:sz="4" w:space="0"/>
              <w:right w:val="single" w:color="auto" w:sz="4" w:space="0"/>
            </w:tcBorders>
            <w:vAlign w:val="top"/>
          </w:tcPr>
          <w:p>
            <w:pPr>
              <w:pStyle w:val="33"/>
              <w:keepNext w:val="0"/>
              <w:keepLines w:val="0"/>
              <w:pageBreakBefore w:val="0"/>
              <w:widowControl w:val="0"/>
              <w:shd w:val="clear"/>
              <w:kinsoku/>
              <w:wordWrap/>
              <w:overflowPunct/>
              <w:topLinePunct w:val="0"/>
              <w:autoSpaceDE/>
              <w:autoSpaceDN/>
              <w:bidi w:val="0"/>
              <w:snapToGrid w:val="0"/>
              <w:spacing w:before="157" w:beforeLines="50" w:after="157" w:afterLines="50" w:line="440" w:lineRule="exact"/>
              <w:ind w:firstLine="562"/>
              <w:textAlignment w:val="auto"/>
              <w:rPr>
                <w:color w:val="auto"/>
                <w:highlight w:val="none"/>
              </w:rPr>
            </w:pPr>
            <w:r>
              <w:rPr>
                <w:rFonts w:hint="default" w:ascii="Times New Roman" w:hAnsi="Times New Roman" w:cs="Times New Roman"/>
                <w:b/>
                <w:bCs/>
                <w:color w:val="auto"/>
                <w:highlight w:val="none"/>
              </w:rPr>
              <w:t>1</w:t>
            </w:r>
            <w:r>
              <w:rPr>
                <w:rFonts w:hint="eastAsia" w:ascii="楷体_GB2312" w:hAnsi="楷体_GB2312" w:eastAsia="楷体_GB2312" w:cs="楷体_GB2312"/>
                <w:b/>
                <w:bCs/>
                <w:color w:val="auto"/>
                <w:highlight w:val="none"/>
                <w:lang w:eastAsia="zh-CN"/>
              </w:rPr>
              <w:t>.</w:t>
            </w:r>
            <w:r>
              <w:rPr>
                <w:rFonts w:hint="eastAsia"/>
                <w:b/>
                <w:bCs/>
                <w:color w:val="auto"/>
                <w:highlight w:val="none"/>
              </w:rPr>
              <w:t>实施乡村教育提升工程。</w:t>
            </w:r>
            <w:r>
              <w:rPr>
                <w:rFonts w:hint="eastAsia"/>
                <w:color w:val="auto"/>
                <w:highlight w:val="none"/>
              </w:rPr>
              <w:t>加大对乡村薄弱学校、教师队伍、办学水平的指导帮扶力度，提升农村寄宿制学校办学条件与管理水平，推动优质教育资源向农村延伸，促进教育优质均衡。</w:t>
            </w:r>
          </w:p>
          <w:p>
            <w:pPr>
              <w:pStyle w:val="33"/>
              <w:keepNext w:val="0"/>
              <w:keepLines w:val="0"/>
              <w:pageBreakBefore w:val="0"/>
              <w:widowControl w:val="0"/>
              <w:shd w:val="clear"/>
              <w:kinsoku/>
              <w:wordWrap/>
              <w:overflowPunct/>
              <w:topLinePunct w:val="0"/>
              <w:autoSpaceDE/>
              <w:autoSpaceDN/>
              <w:bidi w:val="0"/>
              <w:snapToGrid w:val="0"/>
              <w:spacing w:before="157" w:beforeLines="50" w:after="157" w:afterLines="50" w:line="440" w:lineRule="exact"/>
              <w:ind w:firstLine="562"/>
              <w:textAlignment w:val="auto"/>
              <w:rPr>
                <w:rFonts w:hint="eastAsia"/>
                <w:color w:val="auto"/>
                <w:highlight w:val="none"/>
              </w:rPr>
            </w:pPr>
            <w:r>
              <w:rPr>
                <w:rFonts w:hint="default" w:ascii="Times New Roman" w:hAnsi="Times New Roman" w:cs="Times New Roman"/>
                <w:b/>
                <w:bCs/>
                <w:color w:val="auto"/>
                <w:highlight w:val="none"/>
              </w:rPr>
              <w:t>2</w:t>
            </w:r>
            <w:r>
              <w:rPr>
                <w:rFonts w:hint="eastAsia" w:ascii="楷体_GB2312" w:hAnsi="楷体_GB2312" w:eastAsia="楷体_GB2312" w:cs="楷体_GB2312"/>
                <w:b/>
                <w:bCs/>
                <w:color w:val="auto"/>
                <w:highlight w:val="none"/>
                <w:lang w:eastAsia="zh-CN"/>
              </w:rPr>
              <w:t>.</w:t>
            </w:r>
            <w:r>
              <w:rPr>
                <w:rFonts w:hint="eastAsia"/>
                <w:b/>
                <w:bCs/>
                <w:color w:val="auto"/>
                <w:highlight w:val="none"/>
              </w:rPr>
              <w:t>推进合作办学工程。</w:t>
            </w:r>
            <w:r>
              <w:rPr>
                <w:rFonts w:hint="eastAsia"/>
                <w:color w:val="auto"/>
                <w:highlight w:val="none"/>
              </w:rPr>
              <w:t>推动苏州中学、襄阳市第四中学等合作办学项目落地见效，引入先进的办学理念和办学模式提升教育质量。</w:t>
            </w:r>
          </w:p>
          <w:p>
            <w:pPr>
              <w:pStyle w:val="33"/>
              <w:keepNext w:val="0"/>
              <w:keepLines w:val="0"/>
              <w:pageBreakBefore w:val="0"/>
              <w:widowControl w:val="0"/>
              <w:shd w:val="clear"/>
              <w:kinsoku/>
              <w:wordWrap/>
              <w:overflowPunct/>
              <w:topLinePunct w:val="0"/>
              <w:autoSpaceDE/>
              <w:autoSpaceDN/>
              <w:bidi w:val="0"/>
              <w:snapToGrid w:val="0"/>
              <w:spacing w:before="157" w:beforeLines="50" w:after="157" w:afterLines="50" w:line="440" w:lineRule="exact"/>
              <w:ind w:firstLine="562"/>
              <w:textAlignment w:val="auto"/>
              <w:rPr>
                <w:rFonts w:hint="eastAsia"/>
                <w:color w:val="auto"/>
                <w:highlight w:val="none"/>
              </w:rPr>
            </w:pPr>
            <w:r>
              <w:rPr>
                <w:rFonts w:hint="default" w:ascii="Times New Roman" w:hAnsi="Times New Roman" w:cs="Times New Roman"/>
                <w:b/>
                <w:bCs/>
                <w:color w:val="auto"/>
                <w:highlight w:val="none"/>
              </w:rPr>
              <w:t>3</w:t>
            </w:r>
            <w:r>
              <w:rPr>
                <w:rFonts w:hint="eastAsia" w:ascii="楷体_GB2312" w:hAnsi="楷体_GB2312" w:eastAsia="楷体_GB2312" w:cs="楷体_GB2312"/>
                <w:b/>
                <w:bCs/>
                <w:color w:val="auto"/>
                <w:highlight w:val="none"/>
                <w:lang w:eastAsia="zh-CN"/>
              </w:rPr>
              <w:t>.</w:t>
            </w:r>
            <w:r>
              <w:rPr>
                <w:rFonts w:hint="eastAsia"/>
                <w:b/>
                <w:bCs/>
                <w:color w:val="auto"/>
                <w:highlight w:val="none"/>
              </w:rPr>
              <w:t>实施科学教育工程。</w:t>
            </w:r>
            <w:r>
              <w:rPr>
                <w:rFonts w:hint="eastAsia"/>
                <w:color w:val="auto"/>
                <w:highlight w:val="none"/>
              </w:rPr>
              <w:t>鼓励学校因地制宜开展科学等特色教育，探索建立以科学教育为特色的普通高中。</w:t>
            </w:r>
          </w:p>
          <w:p>
            <w:pPr>
              <w:pStyle w:val="33"/>
              <w:keepNext w:val="0"/>
              <w:keepLines w:val="0"/>
              <w:pageBreakBefore w:val="0"/>
              <w:widowControl w:val="0"/>
              <w:shd w:val="clear"/>
              <w:kinsoku/>
              <w:wordWrap/>
              <w:overflowPunct/>
              <w:topLinePunct w:val="0"/>
              <w:autoSpaceDE/>
              <w:autoSpaceDN/>
              <w:bidi w:val="0"/>
              <w:snapToGrid w:val="0"/>
              <w:spacing w:before="157" w:beforeLines="50" w:after="157" w:afterLines="50" w:line="440" w:lineRule="exact"/>
              <w:ind w:firstLine="562"/>
              <w:textAlignment w:val="auto"/>
              <w:rPr>
                <w:rFonts w:hint="eastAsia"/>
                <w:color w:val="auto"/>
                <w:highlight w:val="none"/>
              </w:rPr>
            </w:pPr>
            <w:r>
              <w:rPr>
                <w:rFonts w:hint="default" w:ascii="Times New Roman" w:hAnsi="Times New Roman" w:cs="Times New Roman"/>
                <w:b/>
                <w:bCs/>
                <w:color w:val="auto"/>
                <w:highlight w:val="none"/>
              </w:rPr>
              <w:t>4</w:t>
            </w:r>
            <w:r>
              <w:rPr>
                <w:rFonts w:hint="eastAsia" w:ascii="楷体_GB2312" w:hAnsi="楷体_GB2312" w:eastAsia="楷体_GB2312" w:cs="楷体_GB2312"/>
                <w:b/>
                <w:bCs/>
                <w:color w:val="auto"/>
                <w:highlight w:val="none"/>
                <w:lang w:eastAsia="zh-CN"/>
              </w:rPr>
              <w:t>.</w:t>
            </w:r>
            <w:r>
              <w:rPr>
                <w:rFonts w:hint="eastAsia"/>
                <w:b/>
                <w:bCs/>
                <w:color w:val="auto"/>
                <w:highlight w:val="none"/>
              </w:rPr>
              <w:t>实施心理健康护航工程</w:t>
            </w:r>
            <w:r>
              <w:rPr>
                <w:rFonts w:hint="eastAsia"/>
                <w:color w:val="auto"/>
                <w:highlight w:val="none"/>
              </w:rPr>
              <w:t xml:space="preserve">。通过强化体育锻炼和心理健康教育，不断健全心理健康管理体系，守护学生身心健康。 </w:t>
            </w:r>
            <w:r>
              <w:rPr>
                <w:color w:val="auto"/>
                <w:highlight w:val="none"/>
              </w:rPr>
              <w:t xml:space="preserve">                                                                                                                                                                              </w:t>
            </w:r>
          </w:p>
          <w:p>
            <w:pPr>
              <w:pStyle w:val="33"/>
              <w:keepNext w:val="0"/>
              <w:keepLines w:val="0"/>
              <w:pageBreakBefore w:val="0"/>
              <w:widowControl w:val="0"/>
              <w:shd w:val="clear"/>
              <w:kinsoku/>
              <w:wordWrap/>
              <w:overflowPunct/>
              <w:topLinePunct w:val="0"/>
              <w:autoSpaceDE/>
              <w:autoSpaceDN/>
              <w:bidi w:val="0"/>
              <w:snapToGrid w:val="0"/>
              <w:spacing w:before="157" w:beforeLines="50" w:after="157" w:afterLines="50" w:line="440" w:lineRule="exact"/>
              <w:ind w:firstLine="562"/>
              <w:textAlignment w:val="auto"/>
              <w:rPr>
                <w:rFonts w:hint="eastAsia"/>
                <w:color w:val="auto"/>
                <w:highlight w:val="none"/>
                <w:shd w:val="clear" w:color="auto" w:fill="FFFFFF"/>
              </w:rPr>
            </w:pPr>
            <w:r>
              <w:rPr>
                <w:rFonts w:hint="default" w:ascii="Times New Roman" w:hAnsi="Times New Roman" w:cs="Times New Roman"/>
                <w:b/>
                <w:bCs/>
                <w:color w:val="auto"/>
                <w:highlight w:val="none"/>
              </w:rPr>
              <w:t>5</w:t>
            </w:r>
            <w:r>
              <w:rPr>
                <w:rFonts w:hint="eastAsia" w:ascii="楷体_GB2312" w:hAnsi="楷体_GB2312" w:eastAsia="楷体_GB2312" w:cs="楷体_GB2312"/>
                <w:b/>
                <w:bCs/>
                <w:color w:val="auto"/>
                <w:highlight w:val="none"/>
                <w:lang w:eastAsia="zh-CN"/>
              </w:rPr>
              <w:t>.</w:t>
            </w:r>
            <w:r>
              <w:rPr>
                <w:rFonts w:hint="eastAsia"/>
                <w:b/>
                <w:bCs/>
                <w:color w:val="auto"/>
                <w:highlight w:val="none"/>
              </w:rPr>
              <w:t>推进均衡优质基础教育体系工程。</w:t>
            </w:r>
            <w:r>
              <w:rPr>
                <w:rFonts w:hint="eastAsia"/>
                <w:color w:val="auto"/>
                <w:highlight w:val="none"/>
                <w:lang w:eastAsia="zh-CN"/>
              </w:rPr>
              <w:t>“十五五”期间，</w:t>
            </w:r>
            <w:r>
              <w:rPr>
                <w:rFonts w:hint="eastAsia"/>
                <w:color w:val="auto"/>
                <w:highlight w:val="none"/>
              </w:rPr>
              <w:t>扩增普惠性学前教育资源，</w:t>
            </w:r>
            <w:r>
              <w:rPr>
                <w:rFonts w:hint="eastAsia" w:ascii="Times New Roman" w:hAnsi="Times New Roman" w:eastAsia="楷体" w:cs="楷体"/>
                <w:color w:val="auto"/>
                <w:sz w:val="28"/>
                <w:szCs w:val="28"/>
                <w:highlight w:val="none"/>
                <w:lang w:eastAsia="zh-CN"/>
              </w:rPr>
              <w:t>规划建设幼儿园</w:t>
            </w:r>
            <w:r>
              <w:rPr>
                <w:rFonts w:hint="default" w:ascii="Times New Roman" w:hAnsi="Times New Roman" w:eastAsia="楷体" w:cs="Times New Roman"/>
                <w:color w:val="auto"/>
                <w:sz w:val="28"/>
                <w:szCs w:val="28"/>
                <w:highlight w:val="none"/>
                <w:lang w:eastAsia="zh-CN"/>
              </w:rPr>
              <w:t>8</w:t>
            </w:r>
            <w:r>
              <w:rPr>
                <w:rFonts w:hint="eastAsia" w:ascii="Times New Roman" w:hAnsi="Times New Roman" w:eastAsia="楷体" w:cs="楷体"/>
                <w:color w:val="auto"/>
                <w:sz w:val="28"/>
                <w:szCs w:val="28"/>
                <w:highlight w:val="none"/>
                <w:lang w:eastAsia="zh-CN"/>
              </w:rPr>
              <w:t>所，增加幼儿园学位</w:t>
            </w:r>
            <w:r>
              <w:rPr>
                <w:rFonts w:hint="default" w:ascii="Times New Roman" w:hAnsi="Times New Roman" w:eastAsia="楷体" w:cs="Times New Roman"/>
                <w:color w:val="auto"/>
                <w:sz w:val="28"/>
                <w:szCs w:val="28"/>
                <w:highlight w:val="none"/>
                <w:lang w:eastAsia="zh-CN"/>
              </w:rPr>
              <w:t>2010</w:t>
            </w:r>
            <w:r>
              <w:rPr>
                <w:rFonts w:hint="eastAsia" w:ascii="Times New Roman" w:hAnsi="Times New Roman" w:eastAsia="楷体" w:cs="楷体"/>
                <w:color w:val="auto"/>
                <w:sz w:val="28"/>
                <w:szCs w:val="28"/>
                <w:highlight w:val="none"/>
                <w:lang w:eastAsia="zh-CN"/>
              </w:rPr>
              <w:t>个</w:t>
            </w:r>
            <w:r>
              <w:rPr>
                <w:rFonts w:hint="eastAsia" w:cs="楷体"/>
                <w:color w:val="auto"/>
                <w:sz w:val="28"/>
                <w:szCs w:val="28"/>
                <w:highlight w:val="none"/>
                <w:lang w:eastAsia="zh-CN"/>
              </w:rPr>
              <w:t>。</w:t>
            </w:r>
            <w:r>
              <w:rPr>
                <w:rFonts w:hint="eastAsia" w:ascii="Times New Roman" w:hAnsi="Times New Roman" w:eastAsia="楷体" w:cs="楷体"/>
                <w:color w:val="auto"/>
                <w:sz w:val="28"/>
                <w:szCs w:val="28"/>
                <w:highlight w:val="none"/>
                <w:lang w:eastAsia="zh-CN"/>
              </w:rPr>
              <w:t>加快中心城区中小学校改扩建，规划建设中小学校项目</w:t>
            </w:r>
            <w:r>
              <w:rPr>
                <w:rFonts w:hint="default" w:ascii="Times New Roman" w:hAnsi="Times New Roman" w:eastAsia="楷体" w:cs="Times New Roman"/>
                <w:color w:val="auto"/>
                <w:sz w:val="28"/>
                <w:szCs w:val="28"/>
                <w:highlight w:val="none"/>
                <w:lang w:eastAsia="zh-CN"/>
              </w:rPr>
              <w:t>22</w:t>
            </w:r>
            <w:r>
              <w:rPr>
                <w:rFonts w:hint="eastAsia" w:ascii="Times New Roman" w:hAnsi="Times New Roman" w:eastAsia="楷体" w:cs="楷体"/>
                <w:color w:val="auto"/>
                <w:sz w:val="28"/>
                <w:szCs w:val="28"/>
                <w:highlight w:val="none"/>
                <w:lang w:eastAsia="zh-CN"/>
              </w:rPr>
              <w:t>个，增加义务教育学位</w:t>
            </w:r>
            <w:r>
              <w:rPr>
                <w:rFonts w:hint="default" w:ascii="Times New Roman" w:hAnsi="Times New Roman" w:eastAsia="楷体" w:cs="Times New Roman"/>
                <w:color w:val="auto"/>
                <w:sz w:val="28"/>
                <w:szCs w:val="28"/>
                <w:highlight w:val="none"/>
                <w:lang w:eastAsia="zh-CN"/>
              </w:rPr>
              <w:t>23102</w:t>
            </w:r>
            <w:r>
              <w:rPr>
                <w:rFonts w:hint="eastAsia" w:ascii="Times New Roman" w:hAnsi="Times New Roman" w:eastAsia="楷体" w:cs="楷体"/>
                <w:color w:val="auto"/>
                <w:sz w:val="28"/>
                <w:szCs w:val="28"/>
                <w:highlight w:val="none"/>
                <w:lang w:eastAsia="zh-CN"/>
              </w:rPr>
              <w:t>个，增加高中学位</w:t>
            </w:r>
            <w:r>
              <w:rPr>
                <w:rFonts w:hint="default" w:ascii="Times New Roman" w:hAnsi="Times New Roman" w:eastAsia="楷体" w:cs="Times New Roman"/>
                <w:color w:val="auto"/>
                <w:sz w:val="28"/>
                <w:szCs w:val="28"/>
                <w:highlight w:val="none"/>
                <w:lang w:eastAsia="zh-CN"/>
              </w:rPr>
              <w:t>7720</w:t>
            </w:r>
            <w:r>
              <w:rPr>
                <w:rFonts w:hint="eastAsia" w:ascii="Times New Roman" w:hAnsi="Times New Roman" w:eastAsia="楷体" w:cs="楷体"/>
                <w:color w:val="auto"/>
                <w:sz w:val="28"/>
                <w:szCs w:val="28"/>
                <w:highlight w:val="none"/>
                <w:lang w:eastAsia="zh-CN"/>
              </w:rPr>
              <w:t>个，重点缓解中心城区办学压力。</w:t>
            </w:r>
          </w:p>
        </w:tc>
      </w:tr>
    </w:tbl>
    <w:p>
      <w:pPr>
        <w:pStyle w:val="4"/>
        <w:keepNext w:val="0"/>
        <w:keepLines w:val="0"/>
        <w:pageBreakBefore w:val="0"/>
        <w:widowControl w:val="0"/>
        <w:shd w:val="clear"/>
        <w:kinsoku/>
        <w:wordWrap/>
        <w:overflowPunct/>
        <w:topLinePunct w:val="0"/>
        <w:autoSpaceDE/>
        <w:autoSpaceDN/>
        <w:bidi w:val="0"/>
        <w:adjustRightInd w:val="0"/>
        <w:snapToGrid w:val="0"/>
        <w:spacing w:line="496" w:lineRule="exact"/>
        <w:ind w:left="0" w:leftChars="0" w:firstLine="0" w:firstLineChars="0"/>
        <w:textAlignment w:val="auto"/>
        <w:rPr>
          <w:color w:val="auto"/>
          <w:sz w:val="32"/>
          <w:szCs w:val="32"/>
          <w:highlight w:val="none"/>
        </w:rPr>
      </w:pPr>
      <w:bookmarkStart w:id="829" w:name="_Toc984678887"/>
      <w:bookmarkStart w:id="830" w:name="_Toc13989"/>
      <w:bookmarkStart w:id="831" w:name="_Toc848205029"/>
      <w:bookmarkStart w:id="832" w:name="_Toc1741660166"/>
      <w:bookmarkStart w:id="833" w:name="_Toc371175495"/>
      <w:bookmarkStart w:id="834" w:name="_Toc1049606568"/>
      <w:bookmarkStart w:id="835" w:name="_Toc649006806"/>
      <w:bookmarkStart w:id="836" w:name="_Toc213447284"/>
      <w:bookmarkStart w:id="837" w:name="_Toc2061898506"/>
      <w:bookmarkStart w:id="838" w:name="_Toc482267017"/>
    </w:p>
    <w:p>
      <w:pPr>
        <w:pStyle w:val="4"/>
        <w:keepNext w:val="0"/>
        <w:keepLines w:val="0"/>
        <w:pageBreakBefore w:val="0"/>
        <w:widowControl w:val="0"/>
        <w:shd w:val="clear"/>
        <w:kinsoku/>
        <w:wordWrap/>
        <w:overflowPunct/>
        <w:topLinePunct w:val="0"/>
        <w:autoSpaceDE/>
        <w:autoSpaceDN/>
        <w:bidi w:val="0"/>
        <w:adjustRightInd w:val="0"/>
        <w:snapToGrid w:val="0"/>
        <w:spacing w:line="496"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 xml:space="preserve">第三节 </w:t>
      </w:r>
      <w:r>
        <w:rPr>
          <w:rFonts w:hint="eastAsia" w:ascii="黑体" w:hAnsi="黑体" w:eastAsia="黑体" w:cs="黑体"/>
          <w:b w:val="0"/>
          <w:bCs/>
          <w:color w:val="auto"/>
          <w:sz w:val="32"/>
          <w:szCs w:val="32"/>
          <w:highlight w:val="none"/>
          <w:lang w:val="en-US" w:eastAsia="zh-CN"/>
        </w:rPr>
        <w:t xml:space="preserve"> </w:t>
      </w:r>
      <w:r>
        <w:rPr>
          <w:rFonts w:hint="eastAsia" w:ascii="黑体" w:hAnsi="黑体" w:eastAsia="黑体" w:cs="黑体"/>
          <w:b w:val="0"/>
          <w:bCs/>
          <w:color w:val="auto"/>
          <w:sz w:val="32"/>
          <w:szCs w:val="32"/>
          <w:highlight w:val="none"/>
        </w:rPr>
        <w:t>提升卫生健康事业发展水平</w:t>
      </w:r>
      <w:bookmarkEnd w:id="829"/>
      <w:bookmarkEnd w:id="830"/>
      <w:bookmarkEnd w:id="831"/>
      <w:bookmarkEnd w:id="832"/>
      <w:bookmarkEnd w:id="833"/>
      <w:bookmarkEnd w:id="834"/>
      <w:bookmarkEnd w:id="835"/>
      <w:bookmarkEnd w:id="836"/>
      <w:bookmarkEnd w:id="837"/>
      <w:bookmarkEnd w:id="838"/>
    </w:p>
    <w:p>
      <w:pPr>
        <w:pStyle w:val="31"/>
        <w:keepNext w:val="0"/>
        <w:keepLines w:val="0"/>
        <w:pageBreakBefore w:val="0"/>
        <w:widowControl w:val="0"/>
        <w:kinsoku/>
        <w:wordWrap/>
        <w:overflowPunct/>
        <w:topLinePunct w:val="0"/>
        <w:autoSpaceDE/>
        <w:autoSpaceDN/>
        <w:bidi w:val="0"/>
        <w:adjustRightInd w:val="0"/>
        <w:snapToGrid w:val="0"/>
        <w:spacing w:line="496" w:lineRule="exact"/>
        <w:jc w:val="center"/>
        <w:textAlignment w:val="auto"/>
        <w:rPr>
          <w:rFonts w:hint="eastAsia" w:ascii="黑体" w:hAnsi="黑体" w:eastAsia="黑体" w:cs="黑体"/>
          <w:color w:val="auto"/>
          <w:sz w:val="32"/>
          <w:szCs w:val="32"/>
          <w:highlight w:val="none"/>
        </w:rPr>
      </w:pPr>
    </w:p>
    <w:p>
      <w:pPr>
        <w:pStyle w:val="31"/>
        <w:keepNext w:val="0"/>
        <w:keepLines w:val="0"/>
        <w:pageBreakBefore w:val="0"/>
        <w:widowControl w:val="0"/>
        <w:kinsoku/>
        <w:wordWrap/>
        <w:overflowPunct/>
        <w:topLinePunct w:val="0"/>
        <w:autoSpaceDE/>
        <w:autoSpaceDN/>
        <w:bidi w:val="0"/>
        <w:adjustRightInd w:val="0"/>
        <w:snapToGrid w:val="0"/>
        <w:spacing w:line="556" w:lineRule="exact"/>
        <w:textAlignment w:val="auto"/>
        <w:rPr>
          <w:rFonts w:hint="eastAsia"/>
          <w:color w:val="auto"/>
          <w:sz w:val="32"/>
          <w:szCs w:val="32"/>
          <w:highlight w:val="none"/>
        </w:rPr>
      </w:pPr>
      <w:r>
        <w:rPr>
          <w:rFonts w:hint="eastAsia"/>
          <w:b/>
          <w:bCs/>
          <w:color w:val="auto"/>
          <w:sz w:val="32"/>
          <w:szCs w:val="32"/>
          <w:highlight w:val="none"/>
        </w:rPr>
        <w:t>实施健康优先发展战略</w:t>
      </w:r>
      <w:r>
        <w:rPr>
          <w:b/>
          <w:bCs/>
          <w:color w:val="auto"/>
          <w:sz w:val="32"/>
          <w:szCs w:val="32"/>
          <w:highlight w:val="none"/>
        </w:rPr>
        <w:t>。</w:t>
      </w:r>
      <w:r>
        <w:rPr>
          <w:rFonts w:hint="eastAsia"/>
          <w:color w:val="auto"/>
          <w:sz w:val="32"/>
          <w:szCs w:val="32"/>
          <w:highlight w:val="none"/>
        </w:rPr>
        <w:t>提高人均预期寿命与人均健康水平，</w:t>
      </w:r>
      <w:r>
        <w:rPr>
          <w:color w:val="auto"/>
          <w:sz w:val="32"/>
          <w:szCs w:val="32"/>
          <w:highlight w:val="none"/>
        </w:rPr>
        <w:t>持续推进健康海南专项行动</w:t>
      </w:r>
      <w:r>
        <w:rPr>
          <w:rFonts w:hint="eastAsia"/>
          <w:color w:val="auto"/>
          <w:sz w:val="32"/>
          <w:szCs w:val="32"/>
          <w:highlight w:val="none"/>
        </w:rPr>
        <w:t>。</w:t>
      </w:r>
      <w:r>
        <w:rPr>
          <w:color w:val="auto"/>
          <w:sz w:val="32"/>
          <w:szCs w:val="32"/>
          <w:highlight w:val="none"/>
        </w:rPr>
        <w:t>开展重大健康风险干预跨部门专项行动和主动健康协同行动。持续</w:t>
      </w:r>
      <w:r>
        <w:rPr>
          <w:rFonts w:hint="eastAsia"/>
          <w:color w:val="auto"/>
          <w:sz w:val="32"/>
          <w:szCs w:val="32"/>
          <w:highlight w:val="none"/>
          <w:lang w:eastAsia="zh-CN"/>
        </w:rPr>
        <w:t>深入</w:t>
      </w:r>
      <w:r>
        <w:rPr>
          <w:color w:val="auto"/>
          <w:sz w:val="32"/>
          <w:szCs w:val="32"/>
          <w:highlight w:val="none"/>
        </w:rPr>
        <w:t>开展爱国卫生运动</w:t>
      </w:r>
      <w:r>
        <w:rPr>
          <w:rFonts w:hint="eastAsia"/>
          <w:color w:val="auto"/>
          <w:sz w:val="32"/>
          <w:szCs w:val="32"/>
          <w:highlight w:val="none"/>
          <w:lang w:eastAsia="zh-CN"/>
        </w:rPr>
        <w:t>，积极创建全国健康城市，促进城市治理与人的健康协调发展</w:t>
      </w:r>
      <w:r>
        <w:rPr>
          <w:color w:val="auto"/>
          <w:sz w:val="32"/>
          <w:szCs w:val="32"/>
          <w:highlight w:val="none"/>
        </w:rPr>
        <w:t>。</w:t>
      </w:r>
      <w:r>
        <w:rPr>
          <w:rFonts w:hint="eastAsia"/>
          <w:color w:val="auto"/>
          <w:sz w:val="32"/>
          <w:szCs w:val="32"/>
          <w:highlight w:val="none"/>
        </w:rPr>
        <w:t>实施基本公共卫生服务优化提升行动，加强慢性病综合防控，发展防筛治康管全链条服务，</w:t>
      </w:r>
      <w:r>
        <w:rPr>
          <w:rFonts w:hint="eastAsia"/>
          <w:color w:val="auto"/>
          <w:sz w:val="32"/>
          <w:szCs w:val="32"/>
          <w:highlight w:val="none"/>
          <w:lang w:eastAsia="zh-CN"/>
        </w:rPr>
        <w:t>到</w:t>
      </w:r>
      <w:r>
        <w:rPr>
          <w:rFonts w:hint="eastAsia"/>
          <w:color w:val="auto"/>
          <w:sz w:val="32"/>
          <w:szCs w:val="32"/>
          <w:highlight w:val="none"/>
          <w:lang w:val="en-US" w:eastAsia="zh-CN"/>
        </w:rPr>
        <w:t>2030年，</w:t>
      </w:r>
      <w:r>
        <w:rPr>
          <w:rFonts w:hint="eastAsia"/>
          <w:color w:val="auto"/>
          <w:sz w:val="32"/>
          <w:szCs w:val="32"/>
          <w:highlight w:val="none"/>
        </w:rPr>
        <w:t>高血压、糖尿病等重点慢性病规范化管理率达到</w:t>
      </w:r>
      <w:r>
        <w:rPr>
          <w:rFonts w:hint="default" w:ascii="Times New Roman" w:hAnsi="Times New Roman" w:cs="Times New Roman"/>
          <w:color w:val="auto"/>
          <w:sz w:val="32"/>
          <w:szCs w:val="32"/>
          <w:highlight w:val="none"/>
        </w:rPr>
        <w:t>80</w:t>
      </w:r>
      <w:r>
        <w:rPr>
          <w:color w:val="auto"/>
          <w:sz w:val="32"/>
          <w:szCs w:val="32"/>
          <w:highlight w:val="none"/>
        </w:rPr>
        <w:t>%</w:t>
      </w:r>
      <w:r>
        <w:rPr>
          <w:rFonts w:hint="eastAsia"/>
          <w:color w:val="auto"/>
          <w:sz w:val="32"/>
          <w:szCs w:val="32"/>
          <w:highlight w:val="none"/>
        </w:rPr>
        <w:t>以上，国家免疫规划疫苗基础免疫接种率</w:t>
      </w:r>
      <w:r>
        <w:rPr>
          <w:rFonts w:hint="default" w:ascii="Times New Roman" w:hAnsi="Times New Roman" w:cs="Times New Roman"/>
          <w:color w:val="auto"/>
          <w:sz w:val="32"/>
          <w:szCs w:val="32"/>
          <w:highlight w:val="none"/>
        </w:rPr>
        <w:t>98</w:t>
      </w:r>
      <w:r>
        <w:rPr>
          <w:color w:val="auto"/>
          <w:sz w:val="32"/>
          <w:szCs w:val="32"/>
          <w:highlight w:val="none"/>
        </w:rPr>
        <w:t>%</w:t>
      </w:r>
      <w:r>
        <w:rPr>
          <w:rFonts w:hint="eastAsia"/>
          <w:color w:val="auto"/>
          <w:sz w:val="32"/>
          <w:szCs w:val="32"/>
          <w:highlight w:val="none"/>
        </w:rPr>
        <w:t>以上。完善心理健康和精神卫生服务体系</w:t>
      </w:r>
      <w:r>
        <w:rPr>
          <w:rFonts w:hint="eastAsia"/>
          <w:color w:val="auto"/>
          <w:sz w:val="32"/>
          <w:szCs w:val="32"/>
          <w:highlight w:val="none"/>
          <w:lang w:eastAsia="zh-CN"/>
        </w:rPr>
        <w:t>，</w:t>
      </w:r>
      <w:r>
        <w:rPr>
          <w:color w:val="auto"/>
          <w:sz w:val="32"/>
          <w:szCs w:val="32"/>
          <w:highlight w:val="none"/>
        </w:rPr>
        <w:t>健全人口动态监测与家庭健康支持体系</w:t>
      </w:r>
      <w:r>
        <w:rPr>
          <w:rFonts w:hint="eastAsia"/>
          <w:color w:val="auto"/>
          <w:sz w:val="32"/>
          <w:szCs w:val="32"/>
          <w:highlight w:val="none"/>
        </w:rPr>
        <w:t>。加强早孕关爱服务，提升出生缺陷综合防治能力。到</w:t>
      </w:r>
      <w:r>
        <w:rPr>
          <w:rFonts w:hint="default" w:ascii="Times New Roman" w:hAnsi="Times New Roman" w:cs="Times New Roman"/>
          <w:color w:val="auto"/>
          <w:sz w:val="32"/>
          <w:szCs w:val="32"/>
          <w:highlight w:val="none"/>
        </w:rPr>
        <w:t>2030</w:t>
      </w:r>
      <w:r>
        <w:rPr>
          <w:rFonts w:hint="eastAsia"/>
          <w:color w:val="auto"/>
          <w:sz w:val="32"/>
          <w:szCs w:val="32"/>
          <w:highlight w:val="none"/>
        </w:rPr>
        <w:t>年，全市人均预期寿命达</w:t>
      </w:r>
      <w:r>
        <w:rPr>
          <w:rFonts w:hint="default" w:ascii="Times New Roman" w:hAnsi="Times New Roman" w:cs="Times New Roman"/>
          <w:color w:val="auto"/>
          <w:sz w:val="32"/>
          <w:szCs w:val="32"/>
          <w:highlight w:val="none"/>
        </w:rPr>
        <w:t>82</w:t>
      </w:r>
      <w:r>
        <w:rPr>
          <w:rFonts w:hint="eastAsia"/>
          <w:color w:val="auto"/>
          <w:sz w:val="32"/>
          <w:szCs w:val="32"/>
          <w:highlight w:val="none"/>
        </w:rPr>
        <w:t>岁，孕产妇死亡率、婴儿死亡率和</w:t>
      </w:r>
      <w:r>
        <w:rPr>
          <w:rFonts w:hint="default" w:ascii="Times New Roman" w:hAnsi="Times New Roman" w:cs="Times New Roman"/>
          <w:color w:val="auto"/>
          <w:sz w:val="32"/>
          <w:szCs w:val="32"/>
          <w:highlight w:val="none"/>
        </w:rPr>
        <w:t>5</w:t>
      </w:r>
      <w:r>
        <w:rPr>
          <w:rFonts w:hint="eastAsia"/>
          <w:color w:val="auto"/>
          <w:sz w:val="32"/>
          <w:szCs w:val="32"/>
          <w:highlight w:val="none"/>
        </w:rPr>
        <w:t>岁以下儿童死亡率低于全省平均水平。</w:t>
      </w:r>
    </w:p>
    <w:p>
      <w:pPr>
        <w:pStyle w:val="31"/>
        <w:keepNext w:val="0"/>
        <w:keepLines w:val="0"/>
        <w:pageBreakBefore w:val="0"/>
        <w:widowControl w:val="0"/>
        <w:kinsoku/>
        <w:wordWrap/>
        <w:overflowPunct/>
        <w:topLinePunct w:val="0"/>
        <w:autoSpaceDE/>
        <w:autoSpaceDN/>
        <w:bidi w:val="0"/>
        <w:adjustRightInd w:val="0"/>
        <w:snapToGrid w:val="0"/>
        <w:spacing w:line="556" w:lineRule="exact"/>
        <w:textAlignment w:val="auto"/>
        <w:rPr>
          <w:color w:val="auto"/>
          <w:sz w:val="32"/>
          <w:szCs w:val="32"/>
          <w:highlight w:val="none"/>
        </w:rPr>
      </w:pPr>
      <w:r>
        <w:rPr>
          <w:rFonts w:hint="eastAsia"/>
          <w:b/>
          <w:bCs/>
          <w:color w:val="auto"/>
          <w:sz w:val="32"/>
          <w:szCs w:val="32"/>
          <w:highlight w:val="none"/>
        </w:rPr>
        <w:t>建设现代化医疗服务体系。</w:t>
      </w:r>
      <w:r>
        <w:rPr>
          <w:rFonts w:hint="eastAsia"/>
          <w:color w:val="auto"/>
          <w:sz w:val="32"/>
          <w:szCs w:val="32"/>
          <w:highlight w:val="none"/>
        </w:rPr>
        <w:t>锚定“小病不进城、大病不出市”目标，充分发挥国家区域医疗中心作用，持续推动优质医疗资源扩容下沉，加强临床专科能力建设</w:t>
      </w:r>
      <w:r>
        <w:rPr>
          <w:rFonts w:hint="eastAsia"/>
          <w:color w:val="auto"/>
          <w:sz w:val="32"/>
          <w:szCs w:val="32"/>
          <w:highlight w:val="none"/>
          <w:lang w:eastAsia="zh-CN"/>
        </w:rPr>
        <w:t>，</w:t>
      </w:r>
      <w:r>
        <w:rPr>
          <w:rFonts w:hint="eastAsia"/>
          <w:color w:val="auto"/>
          <w:sz w:val="32"/>
          <w:szCs w:val="32"/>
          <w:highlight w:val="none"/>
        </w:rPr>
        <w:t>不断提升集团化办医水平。优化医疗机构功能定位和布局，实施医疗卫生强基工程，深化紧密型医联体建设。持续改善医疗服务，推进医疗机构检查检验结果互认。</w:t>
      </w:r>
      <w:r>
        <w:rPr>
          <w:color w:val="auto"/>
          <w:sz w:val="32"/>
          <w:szCs w:val="32"/>
          <w:highlight w:val="none"/>
        </w:rPr>
        <w:t>实施市属医院医养结合改造，完善适老化</w:t>
      </w:r>
      <w:r>
        <w:rPr>
          <w:rFonts w:hint="eastAsia"/>
          <w:color w:val="auto"/>
          <w:sz w:val="32"/>
          <w:szCs w:val="32"/>
          <w:highlight w:val="none"/>
        </w:rPr>
        <w:t>和无障碍</w:t>
      </w:r>
      <w:r>
        <w:rPr>
          <w:color w:val="auto"/>
          <w:sz w:val="32"/>
          <w:szCs w:val="32"/>
          <w:highlight w:val="none"/>
        </w:rPr>
        <w:t>设施</w:t>
      </w:r>
      <w:r>
        <w:rPr>
          <w:rFonts w:hint="eastAsia"/>
          <w:color w:val="auto"/>
          <w:sz w:val="32"/>
          <w:szCs w:val="32"/>
          <w:highlight w:val="none"/>
        </w:rPr>
        <w:t>，</w:t>
      </w:r>
      <w:r>
        <w:rPr>
          <w:color w:val="auto"/>
          <w:sz w:val="32"/>
          <w:szCs w:val="32"/>
          <w:highlight w:val="none"/>
        </w:rPr>
        <w:t>完成</w:t>
      </w:r>
      <w:r>
        <w:rPr>
          <w:rFonts w:hint="eastAsia" w:ascii="仿宋_GB2312" w:hAnsi="仿宋_GB2312" w:eastAsia="仿宋_GB2312" w:cs="仿宋_GB2312"/>
          <w:color w:val="auto"/>
          <w:sz w:val="32"/>
          <w:szCs w:val="32"/>
          <w:highlight w:val="none"/>
        </w:rPr>
        <w:t>“</w:t>
      </w:r>
      <w:r>
        <w:rPr>
          <w:color w:val="auto"/>
          <w:sz w:val="32"/>
          <w:szCs w:val="32"/>
          <w:highlight w:val="none"/>
        </w:rPr>
        <w:t>数智健康三亚</w:t>
      </w:r>
      <w:r>
        <w:rPr>
          <w:rFonts w:hint="eastAsia" w:ascii="仿宋_GB2312" w:hAnsi="仿宋_GB2312" w:eastAsia="仿宋_GB2312" w:cs="仿宋_GB2312"/>
          <w:color w:val="auto"/>
          <w:sz w:val="32"/>
          <w:szCs w:val="32"/>
          <w:highlight w:val="none"/>
        </w:rPr>
        <w:t>”</w:t>
      </w:r>
      <w:r>
        <w:rPr>
          <w:color w:val="auto"/>
          <w:sz w:val="32"/>
          <w:szCs w:val="32"/>
          <w:highlight w:val="none"/>
        </w:rPr>
        <w:t>建设。</w:t>
      </w:r>
      <w:r>
        <w:rPr>
          <w:rFonts w:hint="eastAsia"/>
          <w:color w:val="auto"/>
          <w:sz w:val="32"/>
          <w:szCs w:val="32"/>
          <w:highlight w:val="none"/>
        </w:rPr>
        <w:t>引导规范民营医院发展，</w:t>
      </w:r>
      <w:r>
        <w:rPr>
          <w:color w:val="auto"/>
          <w:sz w:val="32"/>
          <w:szCs w:val="32"/>
          <w:highlight w:val="none"/>
        </w:rPr>
        <w:t>进一步提升医疗服务承载能力。深化与国内外优质医疗资源合作，</w:t>
      </w:r>
      <w:r>
        <w:rPr>
          <w:rFonts w:hint="eastAsia"/>
          <w:color w:val="auto"/>
          <w:sz w:val="32"/>
          <w:szCs w:val="32"/>
          <w:highlight w:val="none"/>
          <w:lang w:eastAsia="zh-CN"/>
        </w:rPr>
        <w:t>鼓励支持外资独资医院落地和规范发展</w:t>
      </w:r>
      <w:r>
        <w:rPr>
          <w:rFonts w:hint="eastAsia"/>
          <w:color w:val="auto"/>
          <w:sz w:val="32"/>
          <w:szCs w:val="32"/>
          <w:highlight w:val="none"/>
        </w:rPr>
        <w:t>，</w:t>
      </w:r>
      <w:r>
        <w:rPr>
          <w:color w:val="auto"/>
          <w:sz w:val="32"/>
          <w:szCs w:val="32"/>
          <w:highlight w:val="none"/>
        </w:rPr>
        <w:t>引入国际标准的诊疗流程与质控体系，提供跨境转诊对接和保险结算等一体化服务。</w:t>
      </w:r>
      <w:r>
        <w:rPr>
          <w:rFonts w:hint="eastAsia"/>
          <w:color w:val="auto"/>
          <w:sz w:val="32"/>
          <w:szCs w:val="32"/>
          <w:highlight w:val="none"/>
        </w:rPr>
        <w:t>加强医疗卫生队伍能力和作风建设。</w:t>
      </w:r>
    </w:p>
    <w:p>
      <w:pPr>
        <w:pStyle w:val="31"/>
        <w:keepNext w:val="0"/>
        <w:keepLines w:val="0"/>
        <w:pageBreakBefore w:val="0"/>
        <w:widowControl w:val="0"/>
        <w:kinsoku/>
        <w:wordWrap/>
        <w:overflowPunct/>
        <w:topLinePunct w:val="0"/>
        <w:autoSpaceDE/>
        <w:autoSpaceDN/>
        <w:bidi w:val="0"/>
        <w:adjustRightInd w:val="0"/>
        <w:snapToGrid w:val="0"/>
        <w:spacing w:line="556" w:lineRule="exact"/>
        <w:textAlignment w:val="auto"/>
        <w:rPr>
          <w:color w:val="auto"/>
          <w:sz w:val="32"/>
          <w:szCs w:val="32"/>
          <w:highlight w:val="none"/>
        </w:rPr>
      </w:pPr>
      <w:r>
        <w:rPr>
          <w:b/>
          <w:bCs/>
          <w:color w:val="auto"/>
          <w:sz w:val="32"/>
          <w:szCs w:val="32"/>
          <w:highlight w:val="none"/>
        </w:rPr>
        <w:t>织密公共卫生风险防控网络。</w:t>
      </w:r>
      <w:r>
        <w:rPr>
          <w:color w:val="auto"/>
          <w:sz w:val="32"/>
          <w:szCs w:val="32"/>
          <w:highlight w:val="none"/>
        </w:rPr>
        <w:t>推动疾病预防控制</w:t>
      </w:r>
      <w:r>
        <w:rPr>
          <w:rFonts w:hint="eastAsia"/>
          <w:color w:val="auto"/>
          <w:sz w:val="32"/>
          <w:szCs w:val="32"/>
          <w:highlight w:val="none"/>
          <w:lang w:eastAsia="zh-CN"/>
        </w:rPr>
        <w:t>工作</w:t>
      </w:r>
      <w:r>
        <w:rPr>
          <w:color w:val="auto"/>
          <w:sz w:val="32"/>
          <w:szCs w:val="32"/>
          <w:highlight w:val="none"/>
        </w:rPr>
        <w:t>高质量发展，</w:t>
      </w:r>
      <w:r>
        <w:rPr>
          <w:rFonts w:hint="eastAsia"/>
          <w:color w:val="auto"/>
          <w:sz w:val="32"/>
          <w:szCs w:val="32"/>
          <w:highlight w:val="none"/>
        </w:rPr>
        <w:t>加强重大传染病监测预警、检验检测、血液保障等能力建设，完善重大公共卫生事件应对所需的医疗应急救援体系。</w:t>
      </w:r>
      <w:r>
        <w:rPr>
          <w:color w:val="auto"/>
          <w:sz w:val="32"/>
          <w:szCs w:val="32"/>
          <w:highlight w:val="none"/>
        </w:rPr>
        <w:t>探索推进</w:t>
      </w:r>
      <w:r>
        <w:rPr>
          <w:rFonts w:hint="eastAsia" w:ascii="仿宋_GB2312" w:hAnsi="仿宋_GB2312" w:eastAsia="仿宋_GB2312" w:cs="仿宋_GB2312"/>
          <w:color w:val="auto"/>
          <w:sz w:val="32"/>
          <w:szCs w:val="32"/>
          <w:highlight w:val="none"/>
        </w:rPr>
        <w:t>“</w:t>
      </w:r>
      <w:r>
        <w:rPr>
          <w:color w:val="auto"/>
          <w:sz w:val="32"/>
          <w:szCs w:val="32"/>
          <w:highlight w:val="none"/>
        </w:rPr>
        <w:t>区域疾控联合体</w:t>
      </w:r>
      <w:r>
        <w:rPr>
          <w:rFonts w:hint="eastAsia" w:ascii="仿宋_GB2312" w:hAnsi="仿宋_GB2312" w:eastAsia="仿宋_GB2312" w:cs="仿宋_GB2312"/>
          <w:color w:val="auto"/>
          <w:sz w:val="32"/>
          <w:szCs w:val="32"/>
          <w:highlight w:val="none"/>
        </w:rPr>
        <w:t>”</w:t>
      </w:r>
      <w:r>
        <w:rPr>
          <w:color w:val="auto"/>
          <w:sz w:val="32"/>
          <w:szCs w:val="32"/>
          <w:highlight w:val="none"/>
        </w:rPr>
        <w:t>建设</w:t>
      </w:r>
      <w:r>
        <w:rPr>
          <w:rFonts w:hint="eastAsia"/>
          <w:color w:val="auto"/>
          <w:sz w:val="32"/>
          <w:szCs w:val="32"/>
          <w:highlight w:val="none"/>
          <w:lang w:eastAsia="zh-CN"/>
        </w:rPr>
        <w:t>，</w:t>
      </w:r>
      <w:r>
        <w:rPr>
          <w:color w:val="auto"/>
          <w:sz w:val="32"/>
          <w:szCs w:val="32"/>
          <w:highlight w:val="none"/>
        </w:rPr>
        <w:t>完善市、区两级疾控中心基础建设，建强公共卫生检验监测中心、应急调查处置中心和监测预警分析研判中心，推进卫生监督机构标准化建设。深化医防协同、医防融合。</w:t>
      </w:r>
    </w:p>
    <w:p>
      <w:pPr>
        <w:pStyle w:val="31"/>
        <w:keepNext w:val="0"/>
        <w:keepLines w:val="0"/>
        <w:pageBreakBefore w:val="0"/>
        <w:widowControl w:val="0"/>
        <w:kinsoku/>
        <w:wordWrap/>
        <w:overflowPunct/>
        <w:topLinePunct w:val="0"/>
        <w:autoSpaceDE/>
        <w:autoSpaceDN/>
        <w:bidi w:val="0"/>
        <w:adjustRightInd w:val="0"/>
        <w:snapToGrid w:val="0"/>
        <w:spacing w:line="556" w:lineRule="exact"/>
        <w:textAlignment w:val="auto"/>
        <w:rPr>
          <w:rFonts w:hint="eastAsia"/>
          <w:color w:val="auto"/>
          <w:sz w:val="32"/>
          <w:szCs w:val="32"/>
          <w:highlight w:val="none"/>
        </w:rPr>
      </w:pPr>
      <w:r>
        <w:rPr>
          <w:b/>
          <w:bCs/>
          <w:color w:val="auto"/>
          <w:sz w:val="32"/>
          <w:szCs w:val="32"/>
          <w:highlight w:val="none"/>
        </w:rPr>
        <w:t>系统化推进医药卫生体制改革。</w:t>
      </w:r>
      <w:r>
        <w:rPr>
          <w:color w:val="auto"/>
          <w:sz w:val="32"/>
          <w:szCs w:val="32"/>
          <w:highlight w:val="none"/>
        </w:rPr>
        <w:t>深化以公益性为导向的公立医院改革，</w:t>
      </w:r>
      <w:r>
        <w:rPr>
          <w:rFonts w:hint="eastAsia"/>
          <w:color w:val="auto"/>
          <w:sz w:val="32"/>
          <w:szCs w:val="32"/>
          <w:highlight w:val="none"/>
        </w:rPr>
        <w:t>完善医药品价格形成和集采考核机制，</w:t>
      </w:r>
      <w:r>
        <w:rPr>
          <w:color w:val="auto"/>
          <w:sz w:val="32"/>
          <w:szCs w:val="32"/>
          <w:highlight w:val="none"/>
        </w:rPr>
        <w:t>建立以医疗服务为主导的收费机制</w:t>
      </w:r>
      <w:r>
        <w:rPr>
          <w:rFonts w:hint="eastAsia"/>
          <w:color w:val="auto"/>
          <w:sz w:val="32"/>
          <w:szCs w:val="32"/>
          <w:highlight w:val="none"/>
          <w:lang w:eastAsia="zh-CN"/>
        </w:rPr>
        <w:t>，切实提升医疗服务便利度</w:t>
      </w:r>
      <w:r>
        <w:rPr>
          <w:color w:val="auto"/>
          <w:sz w:val="32"/>
          <w:szCs w:val="32"/>
          <w:highlight w:val="none"/>
        </w:rPr>
        <w:t>。完善公立医院薪酬改革，持续推进紧密型城市医疗集团国家试点建设，推进分级诊疗体系建设，实体化运作慢病管理中心、转诊中心，持续提升基层医疗服务水平。到</w:t>
      </w:r>
      <w:r>
        <w:rPr>
          <w:rFonts w:hint="default" w:ascii="Times New Roman" w:hAnsi="Times New Roman" w:cs="Times New Roman"/>
          <w:color w:val="auto"/>
          <w:sz w:val="32"/>
          <w:szCs w:val="32"/>
          <w:highlight w:val="none"/>
        </w:rPr>
        <w:t>2030</w:t>
      </w:r>
      <w:r>
        <w:rPr>
          <w:color w:val="auto"/>
          <w:sz w:val="32"/>
          <w:szCs w:val="32"/>
          <w:highlight w:val="none"/>
        </w:rPr>
        <w:t>年，基层诊疗量提升至</w:t>
      </w:r>
      <w:r>
        <w:rPr>
          <w:rFonts w:hint="default" w:ascii="Times New Roman" w:hAnsi="Times New Roman" w:cs="Times New Roman"/>
          <w:color w:val="auto"/>
          <w:sz w:val="32"/>
          <w:szCs w:val="32"/>
          <w:highlight w:val="none"/>
        </w:rPr>
        <w:t>60</w:t>
      </w:r>
      <w:r>
        <w:rPr>
          <w:color w:val="auto"/>
          <w:sz w:val="32"/>
          <w:szCs w:val="32"/>
          <w:highlight w:val="none"/>
        </w:rPr>
        <w:t>%以上。</w:t>
      </w:r>
    </w:p>
    <w:p>
      <w:pPr>
        <w:pStyle w:val="31"/>
        <w:keepNext w:val="0"/>
        <w:keepLines w:val="0"/>
        <w:pageBreakBefore w:val="0"/>
        <w:widowControl w:val="0"/>
        <w:kinsoku/>
        <w:wordWrap/>
        <w:overflowPunct/>
        <w:topLinePunct w:val="0"/>
        <w:autoSpaceDE/>
        <w:autoSpaceDN/>
        <w:bidi w:val="0"/>
        <w:adjustRightInd w:val="0"/>
        <w:snapToGrid w:val="0"/>
        <w:spacing w:after="251" w:afterLines="80" w:line="556" w:lineRule="exact"/>
        <w:textAlignment w:val="auto"/>
        <w:rPr>
          <w:color w:val="auto"/>
          <w:sz w:val="30"/>
          <w:szCs w:val="30"/>
          <w:highlight w:val="none"/>
        </w:rPr>
      </w:pPr>
      <w:r>
        <w:rPr>
          <w:b/>
          <w:bCs/>
          <w:color w:val="auto"/>
          <w:sz w:val="32"/>
          <w:szCs w:val="32"/>
          <w:highlight w:val="none"/>
        </w:rPr>
        <w:t>推进中医药传承创新发展。</w:t>
      </w:r>
      <w:r>
        <w:rPr>
          <w:rFonts w:hint="eastAsia"/>
          <w:color w:val="auto"/>
          <w:sz w:val="32"/>
          <w:szCs w:val="32"/>
          <w:highlight w:val="none"/>
        </w:rPr>
        <w:t>促进中西医协同发展，加强黎苗医药传承保护</w:t>
      </w:r>
      <w:r>
        <w:rPr>
          <w:rFonts w:hint="eastAsia"/>
          <w:color w:val="auto"/>
          <w:sz w:val="32"/>
          <w:szCs w:val="32"/>
          <w:highlight w:val="none"/>
          <w:lang w:eastAsia="zh-CN"/>
        </w:rPr>
        <w:t>。</w:t>
      </w:r>
      <w:r>
        <w:rPr>
          <w:color w:val="auto"/>
          <w:sz w:val="32"/>
          <w:szCs w:val="32"/>
          <w:highlight w:val="none"/>
        </w:rPr>
        <w:t>深入推进</w:t>
      </w:r>
      <w:r>
        <w:rPr>
          <w:rFonts w:hint="eastAsia" w:ascii="仿宋_GB2312" w:hAnsi="仿宋_GB2312" w:eastAsia="仿宋_GB2312" w:cs="仿宋_GB2312"/>
          <w:color w:val="auto"/>
          <w:sz w:val="32"/>
          <w:szCs w:val="32"/>
          <w:highlight w:val="none"/>
        </w:rPr>
        <w:t>“</w:t>
      </w:r>
      <w:r>
        <w:rPr>
          <w:color w:val="auto"/>
          <w:sz w:val="32"/>
          <w:szCs w:val="32"/>
          <w:highlight w:val="none"/>
        </w:rPr>
        <w:t>国家中医药传承创新发展试验区</w:t>
      </w:r>
      <w:r>
        <w:rPr>
          <w:rFonts w:hint="eastAsia" w:ascii="仿宋_GB2312" w:hAnsi="仿宋_GB2312" w:eastAsia="仿宋_GB2312" w:cs="仿宋_GB2312"/>
          <w:color w:val="auto"/>
          <w:sz w:val="32"/>
          <w:szCs w:val="32"/>
          <w:highlight w:val="none"/>
        </w:rPr>
        <w:t>”</w:t>
      </w:r>
      <w:r>
        <w:rPr>
          <w:color w:val="auto"/>
          <w:sz w:val="32"/>
          <w:szCs w:val="32"/>
          <w:highlight w:val="none"/>
        </w:rPr>
        <w:t>建设，探索中医药健康服务贸易体制机制创新，推进中医优质医疗资源扩容下沉和均衡布局。培养中医药健康服务贸易人才，建设优质高效中医药服务体系</w:t>
      </w:r>
      <w:r>
        <w:rPr>
          <w:rFonts w:hint="eastAsia"/>
          <w:color w:val="auto"/>
          <w:sz w:val="32"/>
          <w:szCs w:val="32"/>
          <w:highlight w:val="none"/>
          <w:lang w:eastAsia="zh-CN"/>
        </w:rPr>
        <w:t>，</w:t>
      </w:r>
      <w:r>
        <w:rPr>
          <w:color w:val="auto"/>
          <w:sz w:val="32"/>
          <w:szCs w:val="32"/>
          <w:highlight w:val="none"/>
        </w:rPr>
        <w:t>实现中医</w:t>
      </w:r>
      <w:r>
        <w:rPr>
          <w:rFonts w:hint="eastAsia"/>
          <w:color w:val="auto"/>
          <w:sz w:val="32"/>
          <w:szCs w:val="32"/>
          <w:highlight w:val="none"/>
          <w:lang w:eastAsia="zh-CN"/>
        </w:rPr>
        <w:t>药</w:t>
      </w:r>
      <w:r>
        <w:rPr>
          <w:color w:val="auto"/>
          <w:sz w:val="32"/>
          <w:szCs w:val="32"/>
          <w:highlight w:val="none"/>
        </w:rPr>
        <w:t>高质量发展。</w:t>
      </w:r>
    </w:p>
    <w:tbl>
      <w:tblPr>
        <w:tblStyle w:val="36"/>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00"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shd w:val="clear"/>
              <w:tabs>
                <w:tab w:val="right" w:leader="dot" w:pos="8296"/>
              </w:tabs>
              <w:kinsoku/>
              <w:wordWrap/>
              <w:overflowPunct/>
              <w:topLinePunct w:val="0"/>
              <w:autoSpaceDE/>
              <w:autoSpaceDN/>
              <w:bidi w:val="0"/>
              <w:snapToGrid w:val="0"/>
              <w:spacing w:before="157" w:beforeLines="50" w:after="157" w:afterLines="50" w:line="440" w:lineRule="exact"/>
              <w:jc w:val="center"/>
              <w:textAlignment w:val="auto"/>
              <w:rPr>
                <w:rFonts w:hint="eastAsia" w:ascii="Times New Roman" w:hAnsi="Times New Roman" w:eastAsia="黑体"/>
                <w:color w:val="auto"/>
                <w:kern w:val="0"/>
                <w:sz w:val="28"/>
                <w:szCs w:val="28"/>
                <w:highlight w:val="none"/>
                <w:lang w:eastAsia="zh-CN"/>
              </w:rPr>
            </w:pPr>
            <w:r>
              <w:rPr>
                <w:rFonts w:hint="eastAsia" w:ascii="Times New Roman" w:hAnsi="Times New Roman" w:eastAsia="黑体"/>
                <w:color w:val="auto"/>
                <w:kern w:val="0"/>
                <w:sz w:val="28"/>
                <w:szCs w:val="28"/>
                <w:highlight w:val="none"/>
              </w:rPr>
              <w:t>专栏</w:t>
            </w:r>
            <w:r>
              <w:rPr>
                <w:rFonts w:hint="default" w:ascii="Times New Roman" w:hAnsi="Times New Roman" w:eastAsia="黑体" w:cs="Times New Roman"/>
                <w:bCs/>
                <w:color w:val="auto"/>
                <w:sz w:val="28"/>
                <w:szCs w:val="28"/>
                <w:highlight w:val="none"/>
              </w:rPr>
              <w:fldChar w:fldCharType="begin"/>
            </w:r>
            <w:r>
              <w:rPr>
                <w:rFonts w:hint="default" w:ascii="Times New Roman" w:hAnsi="Times New Roman" w:eastAsia="黑体" w:cs="Times New Roman"/>
                <w:bCs/>
                <w:color w:val="auto"/>
                <w:sz w:val="28"/>
                <w:szCs w:val="28"/>
                <w:highlight w:val="none"/>
              </w:rPr>
              <w:instrText xml:space="preserve"> SEQ 表格 \* ARABIC </w:instrText>
            </w:r>
            <w:r>
              <w:rPr>
                <w:rFonts w:hint="default" w:ascii="Times New Roman" w:hAnsi="Times New Roman" w:eastAsia="黑体" w:cs="Times New Roman"/>
                <w:bCs/>
                <w:color w:val="auto"/>
                <w:sz w:val="28"/>
                <w:szCs w:val="28"/>
                <w:highlight w:val="none"/>
              </w:rPr>
              <w:fldChar w:fldCharType="separate"/>
            </w:r>
            <w:r>
              <w:rPr>
                <w:rFonts w:hint="default" w:ascii="Times New Roman" w:hAnsi="Times New Roman" w:eastAsia="黑体" w:cs="Times New Roman"/>
                <w:bCs/>
                <w:color w:val="auto"/>
                <w:sz w:val="28"/>
                <w:szCs w:val="28"/>
                <w:highlight w:val="none"/>
              </w:rPr>
              <w:t>1</w:t>
            </w:r>
            <w:r>
              <w:rPr>
                <w:rFonts w:hint="default" w:ascii="Times New Roman" w:hAnsi="Times New Roman" w:eastAsia="黑体" w:cs="Times New Roman"/>
                <w:bCs/>
                <w:color w:val="auto"/>
                <w:sz w:val="28"/>
                <w:szCs w:val="28"/>
                <w:highlight w:val="none"/>
              </w:rPr>
              <w:fldChar w:fldCharType="end"/>
            </w:r>
            <w:r>
              <w:rPr>
                <w:rFonts w:hint="default" w:ascii="Times New Roman" w:hAnsi="Times New Roman" w:eastAsia="黑体" w:cs="Times New Roman"/>
                <w:bCs/>
                <w:color w:val="auto"/>
                <w:sz w:val="28"/>
                <w:szCs w:val="28"/>
                <w:highlight w:val="none"/>
                <w:lang w:val="en-US" w:eastAsia="zh-CN"/>
              </w:rPr>
              <w:t>4</w:t>
            </w:r>
            <w:r>
              <w:rPr>
                <w:rFonts w:hint="eastAsia" w:ascii="Times New Roman" w:hAnsi="Times New Roman" w:eastAsia="黑体"/>
                <w:color w:val="auto"/>
                <w:kern w:val="0"/>
                <w:sz w:val="28"/>
                <w:szCs w:val="28"/>
                <w:highlight w:val="none"/>
                <w:lang w:val="en-US" w:eastAsia="zh-CN"/>
              </w:rPr>
              <w:t xml:space="preserve">  </w:t>
            </w:r>
            <w:r>
              <w:rPr>
                <w:rFonts w:hint="eastAsia" w:ascii="Times New Roman" w:hAnsi="Times New Roman" w:eastAsia="黑体"/>
                <w:color w:val="auto"/>
                <w:kern w:val="0"/>
                <w:sz w:val="28"/>
                <w:szCs w:val="28"/>
                <w:highlight w:val="none"/>
              </w:rPr>
              <w:t>卫生健康重大工程</w:t>
            </w:r>
            <w:r>
              <w:rPr>
                <w:rFonts w:hint="eastAsia" w:ascii="Times New Roman" w:hAnsi="Times New Roman" w:eastAsia="黑体"/>
                <w:color w:val="auto"/>
                <w:kern w:val="0"/>
                <w:sz w:val="28"/>
                <w:szCs w:val="28"/>
                <w:highlight w:val="none"/>
                <w:lang w:eastAsia="zh-CN"/>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5" w:hRule="atLeast"/>
          <w:jc w:val="center"/>
        </w:trPr>
        <w:tc>
          <w:tcPr>
            <w:tcW w:w="8800" w:type="dxa"/>
            <w:tcBorders>
              <w:top w:val="single" w:color="auto" w:sz="4" w:space="0"/>
              <w:left w:val="single" w:color="auto" w:sz="4" w:space="0"/>
              <w:bottom w:val="single" w:color="auto" w:sz="4" w:space="0"/>
              <w:right w:val="single" w:color="auto" w:sz="4" w:space="0"/>
            </w:tcBorders>
            <w:vAlign w:val="center"/>
          </w:tcPr>
          <w:p>
            <w:pPr>
              <w:pStyle w:val="33"/>
              <w:keepNext w:val="0"/>
              <w:keepLines w:val="0"/>
              <w:pageBreakBefore w:val="0"/>
              <w:widowControl w:val="0"/>
              <w:shd w:val="clear"/>
              <w:kinsoku/>
              <w:wordWrap/>
              <w:overflowPunct/>
              <w:topLinePunct w:val="0"/>
              <w:autoSpaceDE/>
              <w:autoSpaceDN/>
              <w:bidi w:val="0"/>
              <w:snapToGrid w:val="0"/>
              <w:spacing w:before="157" w:beforeLines="50" w:after="157" w:afterLines="50" w:line="440" w:lineRule="exact"/>
              <w:ind w:firstLine="562"/>
              <w:textAlignment w:val="auto"/>
              <w:rPr>
                <w:rFonts w:hint="eastAsia"/>
                <w:color w:val="auto"/>
                <w:highlight w:val="none"/>
              </w:rPr>
            </w:pPr>
            <w:r>
              <w:rPr>
                <w:rFonts w:hint="default" w:ascii="Times New Roman" w:hAnsi="Times New Roman" w:cs="Times New Roman"/>
                <w:b/>
                <w:bCs/>
                <w:color w:val="auto"/>
                <w:highlight w:val="none"/>
              </w:rPr>
              <w:t>1</w:t>
            </w:r>
            <w:r>
              <w:rPr>
                <w:rFonts w:hint="eastAsia" w:ascii="楷体_GB2312" w:hAnsi="楷体_GB2312" w:eastAsia="楷体_GB2312" w:cs="楷体_GB2312"/>
                <w:b/>
                <w:bCs/>
                <w:color w:val="auto"/>
                <w:highlight w:val="none"/>
                <w:lang w:eastAsia="zh-CN"/>
              </w:rPr>
              <w:t>.</w:t>
            </w:r>
            <w:r>
              <w:rPr>
                <w:rFonts w:hint="eastAsia"/>
                <w:b/>
                <w:bCs/>
                <w:color w:val="auto"/>
                <w:highlight w:val="none"/>
              </w:rPr>
              <w:t>建设现代化医疗服务体系。</w:t>
            </w:r>
            <w:r>
              <w:rPr>
                <w:rFonts w:hint="eastAsia"/>
                <w:color w:val="auto"/>
                <w:highlight w:val="none"/>
              </w:rPr>
              <w:t>三亚市中西医结合医院（广州中医药大学附属粤海三亚医院）改扩建项目、三亚中心医院改扩建项目、三亚市中医院改扩建项目（二期）、</w:t>
            </w:r>
            <w:r>
              <w:rPr>
                <w:rFonts w:hint="eastAsia"/>
                <w:color w:val="auto"/>
                <w:highlight w:val="none"/>
                <w:lang w:eastAsia="zh-CN"/>
              </w:rPr>
              <w:t>三亚市人民医院新院区项目、</w:t>
            </w:r>
            <w:r>
              <w:rPr>
                <w:rFonts w:hint="eastAsia"/>
                <w:color w:val="auto"/>
                <w:highlight w:val="none"/>
              </w:rPr>
              <w:t>三亚市人民医院特需医疗综合能力提升项目、三亚市人民医院公共防控救治能力提升项目、三亚市人民医院适老化（医养结合）改造项目、三亚中心医院适老化（医养结合）改造项目、三亚市中医院适老化（医养结合）改造项目、崖州湾科技城综合医院（二期）项目。</w:t>
            </w:r>
          </w:p>
          <w:p>
            <w:pPr>
              <w:pStyle w:val="33"/>
              <w:keepNext w:val="0"/>
              <w:keepLines w:val="0"/>
              <w:pageBreakBefore w:val="0"/>
              <w:widowControl w:val="0"/>
              <w:shd w:val="clear"/>
              <w:kinsoku/>
              <w:wordWrap/>
              <w:overflowPunct/>
              <w:topLinePunct w:val="0"/>
              <w:autoSpaceDE/>
              <w:autoSpaceDN/>
              <w:bidi w:val="0"/>
              <w:snapToGrid w:val="0"/>
              <w:spacing w:before="157" w:beforeLines="50" w:after="157" w:afterLines="50" w:line="440" w:lineRule="exact"/>
              <w:ind w:firstLine="562"/>
              <w:textAlignment w:val="auto"/>
              <w:rPr>
                <w:rFonts w:hint="eastAsia"/>
                <w:color w:val="auto"/>
                <w:highlight w:val="none"/>
              </w:rPr>
            </w:pPr>
            <w:r>
              <w:rPr>
                <w:rFonts w:hint="default" w:ascii="Times New Roman" w:hAnsi="Times New Roman" w:cs="Times New Roman"/>
                <w:b/>
                <w:bCs/>
                <w:color w:val="auto"/>
                <w:highlight w:val="none"/>
              </w:rPr>
              <w:t>2</w:t>
            </w:r>
            <w:r>
              <w:rPr>
                <w:rFonts w:hint="eastAsia" w:ascii="楷体_GB2312" w:hAnsi="楷体_GB2312" w:eastAsia="楷体_GB2312" w:cs="楷体_GB2312"/>
                <w:b/>
                <w:bCs/>
                <w:color w:val="auto"/>
                <w:highlight w:val="none"/>
                <w:lang w:eastAsia="zh-CN"/>
              </w:rPr>
              <w:t>.</w:t>
            </w:r>
            <w:r>
              <w:rPr>
                <w:rFonts w:hint="eastAsia"/>
                <w:b/>
                <w:bCs/>
                <w:color w:val="auto"/>
                <w:highlight w:val="none"/>
              </w:rPr>
              <w:t>大力发展智慧医疗。</w:t>
            </w:r>
            <w:r>
              <w:rPr>
                <w:rFonts w:hint="eastAsia"/>
                <w:color w:val="auto"/>
                <w:highlight w:val="none"/>
              </w:rPr>
              <w:t>三亚市人民医院高质量发展智慧医院建设项目、三亚中心医院（海南省第三人民医院）数字化智慧医院体系建设项目、上海儿童医学中心海南医院改革与高质量发展信息化项目、三亚市第二人民医院信息化建设项目、三亚市中医院传承创新工程重点中医医院信息化建设项目。</w:t>
            </w:r>
          </w:p>
          <w:p>
            <w:pPr>
              <w:pStyle w:val="33"/>
              <w:keepNext w:val="0"/>
              <w:keepLines w:val="0"/>
              <w:pageBreakBefore w:val="0"/>
              <w:widowControl w:val="0"/>
              <w:shd w:val="clear"/>
              <w:kinsoku/>
              <w:wordWrap/>
              <w:overflowPunct/>
              <w:topLinePunct w:val="0"/>
              <w:autoSpaceDE/>
              <w:autoSpaceDN/>
              <w:bidi w:val="0"/>
              <w:snapToGrid w:val="0"/>
              <w:spacing w:before="157" w:beforeLines="50" w:after="157" w:afterLines="50" w:line="440" w:lineRule="exact"/>
              <w:ind w:firstLine="562"/>
              <w:textAlignment w:val="auto"/>
              <w:rPr>
                <w:rFonts w:hint="eastAsia"/>
                <w:color w:val="auto"/>
                <w:highlight w:val="none"/>
              </w:rPr>
            </w:pPr>
            <w:r>
              <w:rPr>
                <w:rFonts w:hint="default" w:ascii="Times New Roman" w:hAnsi="Times New Roman" w:cs="Times New Roman"/>
                <w:b/>
                <w:bCs/>
                <w:color w:val="auto"/>
                <w:highlight w:val="none"/>
              </w:rPr>
              <w:t>3</w:t>
            </w:r>
            <w:r>
              <w:rPr>
                <w:rFonts w:hint="eastAsia" w:ascii="楷体_GB2312" w:hAnsi="楷体_GB2312" w:eastAsia="楷体_GB2312" w:cs="楷体_GB2312"/>
                <w:b/>
                <w:bCs/>
                <w:color w:val="auto"/>
                <w:highlight w:val="none"/>
                <w:lang w:eastAsia="zh-CN"/>
              </w:rPr>
              <w:t>.</w:t>
            </w:r>
            <w:r>
              <w:rPr>
                <w:rFonts w:hint="eastAsia"/>
                <w:b/>
                <w:bCs/>
                <w:color w:val="auto"/>
                <w:highlight w:val="none"/>
              </w:rPr>
              <w:t>提升公共卫生风险防控能力。</w:t>
            </w:r>
            <w:r>
              <w:rPr>
                <w:rFonts w:hint="eastAsia"/>
                <w:color w:val="auto"/>
                <w:highlight w:val="none"/>
              </w:rPr>
              <w:t>三亚市公共卫生临床中心二期建设项目、三亚市第二人民医院</w:t>
            </w:r>
            <w:r>
              <w:rPr>
                <w:rFonts w:hint="eastAsia" w:ascii="仿宋_GB2312" w:hAnsi="仿宋_GB2312" w:cs="仿宋_GB2312"/>
                <w:color w:val="auto"/>
                <w:highlight w:val="none"/>
                <w:lang w:eastAsia="zh-CN"/>
              </w:rPr>
              <w:t>—</w:t>
            </w:r>
            <w:r>
              <w:rPr>
                <w:rFonts w:hint="eastAsia"/>
                <w:color w:val="auto"/>
                <w:highlight w:val="none"/>
              </w:rPr>
              <w:t>国际儿童青少年心理健康促进基地、三亚市天涯区疾病控制中心项目、三亚市吉阳区公共卫生医疗提升工程项目、崖州区保港卫生院升级改造工程项目。</w:t>
            </w:r>
          </w:p>
        </w:tc>
      </w:tr>
    </w:tbl>
    <w:p>
      <w:pPr>
        <w:pStyle w:val="4"/>
        <w:keepNext w:val="0"/>
        <w:keepLines w:val="0"/>
        <w:pageBreakBefore w:val="0"/>
        <w:widowControl w:val="0"/>
        <w:shd w:val="clear"/>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bookmarkStart w:id="839" w:name="_Toc17724"/>
      <w:bookmarkStart w:id="840" w:name="_Toc215322861"/>
      <w:bookmarkStart w:id="841" w:name="_Toc1266857479"/>
      <w:bookmarkStart w:id="842" w:name="_Toc1997804000"/>
      <w:bookmarkStart w:id="843" w:name="_Toc1312296389"/>
      <w:bookmarkStart w:id="844" w:name="_Toc496032876"/>
      <w:bookmarkStart w:id="845" w:name="_Toc213447285"/>
      <w:bookmarkStart w:id="846" w:name="_Toc470714654"/>
      <w:bookmarkStart w:id="847" w:name="_Toc1373619885"/>
      <w:bookmarkStart w:id="848" w:name="_Toc1059574028"/>
    </w:p>
    <w:p>
      <w:pPr>
        <w:rPr>
          <w:rFonts w:hint="eastAsia"/>
        </w:rPr>
      </w:pPr>
    </w:p>
    <w:p>
      <w:pPr>
        <w:pStyle w:val="4"/>
        <w:keepNext w:val="0"/>
        <w:keepLines w:val="0"/>
        <w:pageBreakBefore w:val="0"/>
        <w:widowControl w:val="0"/>
        <w:shd w:val="clear"/>
        <w:kinsoku/>
        <w:wordWrap/>
        <w:overflowPunct/>
        <w:topLinePunct w:val="0"/>
        <w:autoSpaceDE/>
        <w:autoSpaceDN/>
        <w:bidi w:val="0"/>
        <w:adjustRightInd w:val="0"/>
        <w:snapToGrid w:val="0"/>
        <w:spacing w:line="576"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第四节  健全社会保障体系</w:t>
      </w:r>
      <w:bookmarkEnd w:id="839"/>
      <w:bookmarkEnd w:id="840"/>
      <w:bookmarkEnd w:id="841"/>
      <w:bookmarkEnd w:id="842"/>
      <w:bookmarkEnd w:id="843"/>
      <w:bookmarkEnd w:id="844"/>
      <w:bookmarkEnd w:id="845"/>
      <w:bookmarkEnd w:id="846"/>
      <w:bookmarkEnd w:id="847"/>
      <w:bookmarkEnd w:id="848"/>
    </w:p>
    <w:p>
      <w:pPr>
        <w:pStyle w:val="31"/>
        <w:keepNext w:val="0"/>
        <w:keepLines w:val="0"/>
        <w:pageBreakBefore w:val="0"/>
        <w:widowControl w:val="0"/>
        <w:kinsoku/>
        <w:wordWrap/>
        <w:overflowPunct/>
        <w:topLinePunct w:val="0"/>
        <w:autoSpaceDE/>
        <w:autoSpaceDN/>
        <w:bidi w:val="0"/>
        <w:adjustRightInd w:val="0"/>
        <w:snapToGrid w:val="0"/>
        <w:spacing w:line="576" w:lineRule="exact"/>
        <w:ind w:left="0" w:leftChars="0" w:firstLine="0" w:firstLineChars="0"/>
        <w:textAlignment w:val="auto"/>
        <w:rPr>
          <w:rFonts w:hint="eastAsia"/>
          <w:color w:val="auto"/>
          <w:sz w:val="32"/>
          <w:szCs w:val="32"/>
          <w:highlight w:val="none"/>
        </w:rPr>
      </w:pP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lang w:eastAsia="zh-CN"/>
        </w:rPr>
      </w:pPr>
      <w:r>
        <w:rPr>
          <w:rFonts w:hint="eastAsia"/>
          <w:b/>
          <w:bCs/>
          <w:color w:val="auto"/>
          <w:sz w:val="32"/>
          <w:szCs w:val="32"/>
          <w:highlight w:val="none"/>
        </w:rPr>
        <w:t>进一步完善社会保险</w:t>
      </w:r>
      <w:r>
        <w:rPr>
          <w:b/>
          <w:bCs/>
          <w:color w:val="auto"/>
          <w:sz w:val="32"/>
          <w:szCs w:val="32"/>
          <w:highlight w:val="none"/>
        </w:rPr>
        <w:t>体系</w:t>
      </w:r>
      <w:r>
        <w:rPr>
          <w:rFonts w:hint="eastAsia"/>
          <w:b/>
          <w:bCs/>
          <w:color w:val="auto"/>
          <w:sz w:val="32"/>
          <w:szCs w:val="32"/>
          <w:highlight w:val="none"/>
        </w:rPr>
        <w:t>。</w:t>
      </w:r>
      <w:r>
        <w:rPr>
          <w:rFonts w:hint="eastAsia"/>
          <w:color w:val="auto"/>
          <w:sz w:val="32"/>
          <w:szCs w:val="32"/>
          <w:highlight w:val="none"/>
        </w:rPr>
        <w:t>稳妥实施渐进式延迟法定退休年龄政策，落实基本养老保险全国统筹制度，完善多层次、多支柱养老保险体系</w:t>
      </w:r>
      <w:r>
        <w:rPr>
          <w:rFonts w:hint="eastAsia"/>
          <w:color w:val="auto"/>
          <w:sz w:val="32"/>
          <w:szCs w:val="32"/>
          <w:highlight w:val="none"/>
          <w:lang w:eastAsia="zh-CN"/>
        </w:rPr>
        <w:t>。</w:t>
      </w:r>
      <w:r>
        <w:rPr>
          <w:rFonts w:hint="eastAsia"/>
          <w:color w:val="auto"/>
          <w:sz w:val="32"/>
          <w:szCs w:val="32"/>
          <w:highlight w:val="none"/>
        </w:rPr>
        <w:t>扩大社会保险参保范围，提高灵活就业人员、农民工、新就业形态人员参保率。实施高质量参保行动，扩大失业保险保障范围</w:t>
      </w:r>
      <w:r>
        <w:rPr>
          <w:rFonts w:hint="eastAsia"/>
          <w:color w:val="auto"/>
          <w:sz w:val="32"/>
          <w:szCs w:val="32"/>
          <w:highlight w:val="none"/>
          <w:lang w:eastAsia="zh-CN"/>
        </w:rPr>
        <w:t>，</w:t>
      </w:r>
      <w:r>
        <w:rPr>
          <w:color w:val="auto"/>
          <w:sz w:val="32"/>
          <w:szCs w:val="32"/>
          <w:highlight w:val="none"/>
        </w:rPr>
        <w:t>加大对</w:t>
      </w:r>
      <w:r>
        <w:rPr>
          <w:rFonts w:hint="eastAsia"/>
          <w:color w:val="auto"/>
          <w:sz w:val="32"/>
          <w:szCs w:val="32"/>
          <w:highlight w:val="none"/>
        </w:rPr>
        <w:t>新就业形态人员、见习人员、农民工等</w:t>
      </w:r>
      <w:r>
        <w:rPr>
          <w:color w:val="auto"/>
          <w:sz w:val="32"/>
          <w:szCs w:val="32"/>
          <w:highlight w:val="none"/>
        </w:rPr>
        <w:t>群体工伤保险覆盖力度，</w:t>
      </w:r>
      <w:r>
        <w:rPr>
          <w:rFonts w:hint="eastAsia"/>
          <w:color w:val="auto"/>
          <w:sz w:val="32"/>
          <w:szCs w:val="32"/>
          <w:highlight w:val="none"/>
        </w:rPr>
        <w:t>完善工伤保险基金省级统筹和预防、补偿、康复</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三位一体</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制度。</w:t>
      </w:r>
      <w:r>
        <w:rPr>
          <w:rFonts w:hint="eastAsia"/>
          <w:color w:val="auto"/>
          <w:sz w:val="32"/>
          <w:szCs w:val="32"/>
          <w:highlight w:val="none"/>
          <w:lang w:eastAsia="zh-CN"/>
        </w:rPr>
        <w:t>到</w:t>
      </w:r>
      <w:r>
        <w:rPr>
          <w:rFonts w:hint="default" w:ascii="Times New Roman" w:hAnsi="Times New Roman" w:cs="Times New Roman"/>
          <w:color w:val="auto"/>
          <w:sz w:val="32"/>
          <w:szCs w:val="32"/>
          <w:highlight w:val="none"/>
          <w:lang w:val="en-US" w:eastAsia="zh-CN"/>
        </w:rPr>
        <w:t>2030</w:t>
      </w:r>
      <w:r>
        <w:rPr>
          <w:rFonts w:hint="eastAsia"/>
          <w:color w:val="auto"/>
          <w:sz w:val="32"/>
          <w:szCs w:val="32"/>
          <w:highlight w:val="none"/>
          <w:lang w:val="en-US" w:eastAsia="zh-CN"/>
        </w:rPr>
        <w:t>年</w:t>
      </w:r>
      <w:r>
        <w:rPr>
          <w:color w:val="auto"/>
          <w:sz w:val="32"/>
          <w:szCs w:val="32"/>
          <w:highlight w:val="none"/>
        </w:rPr>
        <w:t>，全市基本养老保险参保人数达到</w:t>
      </w:r>
      <w:r>
        <w:rPr>
          <w:rFonts w:hint="eastAsia" w:cs="Times New Roman"/>
          <w:color w:val="auto"/>
          <w:sz w:val="32"/>
          <w:szCs w:val="32"/>
          <w:highlight w:val="none"/>
          <w:lang w:val="en-US" w:eastAsia="zh-CN"/>
        </w:rPr>
        <w:t>83</w:t>
      </w:r>
      <w:r>
        <w:rPr>
          <w:color w:val="auto"/>
          <w:sz w:val="32"/>
          <w:szCs w:val="32"/>
          <w:highlight w:val="none"/>
        </w:rPr>
        <w:t>万人，失业保险参保人数达到</w:t>
      </w:r>
      <w:r>
        <w:rPr>
          <w:rFonts w:hint="eastAsia" w:cs="Times New Roman"/>
          <w:color w:val="auto"/>
          <w:sz w:val="32"/>
          <w:szCs w:val="32"/>
          <w:highlight w:val="none"/>
          <w:lang w:val="en-US" w:eastAsia="zh-CN"/>
        </w:rPr>
        <w:t>43</w:t>
      </w:r>
      <w:r>
        <w:rPr>
          <w:color w:val="auto"/>
          <w:sz w:val="32"/>
          <w:szCs w:val="32"/>
          <w:highlight w:val="none"/>
        </w:rPr>
        <w:t>万人，工伤保险参保人数达到</w:t>
      </w:r>
      <w:r>
        <w:rPr>
          <w:rFonts w:hint="eastAsia" w:cs="Times New Roman"/>
          <w:color w:val="auto"/>
          <w:sz w:val="32"/>
          <w:szCs w:val="32"/>
          <w:highlight w:val="none"/>
          <w:lang w:val="en-US" w:eastAsia="zh-CN"/>
        </w:rPr>
        <w:t>31</w:t>
      </w:r>
      <w:r>
        <w:rPr>
          <w:color w:val="auto"/>
          <w:sz w:val="32"/>
          <w:szCs w:val="32"/>
          <w:highlight w:val="none"/>
        </w:rPr>
        <w:t>万人</w:t>
      </w:r>
      <w:r>
        <w:rPr>
          <w:rFonts w:hint="eastAsia"/>
          <w:color w:val="auto"/>
          <w:sz w:val="32"/>
          <w:szCs w:val="32"/>
          <w:highlight w:val="none"/>
          <w:lang w:eastAsia="zh-CN"/>
        </w:rPr>
        <w:t>。</w:t>
      </w: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r>
        <w:rPr>
          <w:rFonts w:hint="eastAsia"/>
          <w:b/>
          <w:bCs/>
          <w:color w:val="auto"/>
          <w:sz w:val="32"/>
          <w:szCs w:val="32"/>
          <w:highlight w:val="none"/>
        </w:rPr>
        <w:t>完善多层次医疗保障体系。</w:t>
      </w:r>
      <w:r>
        <w:rPr>
          <w:rFonts w:hint="eastAsia"/>
          <w:color w:val="auto"/>
          <w:sz w:val="32"/>
          <w:szCs w:val="32"/>
          <w:highlight w:val="none"/>
          <w:lang w:eastAsia="zh-CN"/>
        </w:rPr>
        <w:t>扩大</w:t>
      </w:r>
      <w:r>
        <w:rPr>
          <w:rFonts w:hint="eastAsia"/>
          <w:color w:val="auto"/>
          <w:sz w:val="32"/>
          <w:szCs w:val="32"/>
          <w:highlight w:val="none"/>
        </w:rPr>
        <w:t>基本医保参保</w:t>
      </w:r>
      <w:r>
        <w:rPr>
          <w:rFonts w:hint="eastAsia"/>
          <w:color w:val="auto"/>
          <w:sz w:val="32"/>
          <w:szCs w:val="32"/>
          <w:highlight w:val="none"/>
          <w:lang w:eastAsia="zh-CN"/>
        </w:rPr>
        <w:t>范围，</w:t>
      </w:r>
      <w:r>
        <w:rPr>
          <w:rFonts w:hint="eastAsia"/>
          <w:color w:val="auto"/>
          <w:sz w:val="32"/>
          <w:szCs w:val="32"/>
          <w:highlight w:val="none"/>
        </w:rPr>
        <w:t>基本医疗保险参保覆盖率稳定在</w:t>
      </w:r>
      <w:r>
        <w:rPr>
          <w:rFonts w:hint="default" w:ascii="Times New Roman" w:hAnsi="Times New Roman" w:cs="Times New Roman"/>
          <w:color w:val="auto"/>
          <w:sz w:val="32"/>
          <w:szCs w:val="32"/>
          <w:highlight w:val="none"/>
        </w:rPr>
        <w:t>95</w:t>
      </w:r>
      <w:r>
        <w:rPr>
          <w:rFonts w:hint="eastAsia"/>
          <w:color w:val="auto"/>
          <w:sz w:val="32"/>
          <w:szCs w:val="32"/>
          <w:highlight w:val="none"/>
        </w:rPr>
        <w:t>%以上。落实大病保险制度，对低保、特困等群体实施优惠政策。深化医养医育融合发展</w:t>
      </w:r>
      <w:r>
        <w:rPr>
          <w:rFonts w:hint="eastAsia"/>
          <w:color w:val="auto"/>
          <w:sz w:val="32"/>
          <w:szCs w:val="32"/>
          <w:highlight w:val="none"/>
          <w:lang w:eastAsia="zh-CN"/>
        </w:rPr>
        <w:t>。</w:t>
      </w:r>
      <w:r>
        <w:rPr>
          <w:rFonts w:hint="eastAsia"/>
          <w:color w:val="auto"/>
          <w:sz w:val="32"/>
          <w:szCs w:val="32"/>
          <w:highlight w:val="none"/>
        </w:rPr>
        <w:t>按省级统筹政策落实长期护理保险服务工作。</w:t>
      </w:r>
      <w:r>
        <w:rPr>
          <w:rFonts w:hint="eastAsia"/>
          <w:color w:val="auto"/>
          <w:sz w:val="32"/>
          <w:szCs w:val="32"/>
          <w:highlight w:val="none"/>
          <w:lang w:eastAsia="zh-CN"/>
        </w:rPr>
        <w:t>促进</w:t>
      </w:r>
      <w:r>
        <w:rPr>
          <w:rFonts w:hint="eastAsia"/>
          <w:color w:val="auto"/>
          <w:sz w:val="32"/>
          <w:szCs w:val="32"/>
          <w:highlight w:val="none"/>
        </w:rPr>
        <w:t>惠民型商业补充医疗保险发展，继续增加罕见病特效药品保障，落实政府为低保人员定额代缴、特困人员全额代缴保费工作。</w:t>
      </w: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rPr>
        <w:t>建立健全社会救助体系。</w:t>
      </w:r>
      <w:r>
        <w:rPr>
          <w:rFonts w:hint="eastAsia"/>
          <w:color w:val="auto"/>
          <w:sz w:val="32"/>
          <w:szCs w:val="32"/>
          <w:highlight w:val="none"/>
          <w:lang w:eastAsia="zh-CN"/>
        </w:rPr>
        <w:t>开展社会保险与社会救助、社会福利制度衔接，实现应保尽保、应助尽助。</w:t>
      </w:r>
      <w:r>
        <w:rPr>
          <w:rFonts w:hint="eastAsia"/>
          <w:color w:val="auto"/>
          <w:sz w:val="32"/>
          <w:szCs w:val="32"/>
          <w:highlight w:val="none"/>
        </w:rPr>
        <w:t>深化社会救助扩围增效，提高困难群众基本生活救助标准，完善空巢老人、困境儿童、残疾人等群体服务保障体系。实施好“米袋子”“菜篮子”工程，做好重要民生商品保供工作。促进和规范公益慈善事业发展。深化殡葬改革，完善殡葬基本公共服务网络，提升殡葬服务水平。</w:t>
      </w: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b/>
          <w:bCs/>
          <w:color w:val="auto"/>
          <w:sz w:val="32"/>
          <w:szCs w:val="32"/>
          <w:highlight w:val="none"/>
        </w:rPr>
        <w:t>建立健全租购并举的住房体系。</w:t>
      </w:r>
      <w:r>
        <w:rPr>
          <w:rFonts w:hint="eastAsia"/>
          <w:color w:val="auto"/>
          <w:sz w:val="32"/>
          <w:szCs w:val="32"/>
          <w:highlight w:val="none"/>
        </w:rPr>
        <w:t>优化保障性住房供给，</w:t>
      </w:r>
      <w:r>
        <w:rPr>
          <w:color w:val="auto"/>
          <w:sz w:val="32"/>
          <w:szCs w:val="32"/>
          <w:highlight w:val="none"/>
        </w:rPr>
        <w:t>构建多主体供给、多渠道</w:t>
      </w:r>
      <w:r>
        <w:rPr>
          <w:rFonts w:hint="eastAsia"/>
          <w:color w:val="auto"/>
          <w:sz w:val="32"/>
          <w:szCs w:val="32"/>
          <w:highlight w:val="none"/>
          <w:lang w:eastAsia="zh-CN"/>
        </w:rPr>
        <w:t>保障</w:t>
      </w:r>
      <w:r>
        <w:rPr>
          <w:color w:val="auto"/>
          <w:sz w:val="32"/>
          <w:szCs w:val="32"/>
          <w:highlight w:val="none"/>
        </w:rPr>
        <w:t>、租购并举的住房制度，重点发展以安居房、保障性租赁住房和公共租赁住房为主体的保障体系</w:t>
      </w:r>
      <w:r>
        <w:rPr>
          <w:rFonts w:hint="eastAsia"/>
          <w:color w:val="auto"/>
          <w:sz w:val="32"/>
          <w:szCs w:val="32"/>
          <w:highlight w:val="none"/>
        </w:rPr>
        <w:t>，更好满足刚性和多样化改善性住房需求。</w:t>
      </w:r>
      <w:r>
        <w:rPr>
          <w:color w:val="auto"/>
          <w:sz w:val="32"/>
          <w:szCs w:val="32"/>
          <w:highlight w:val="none"/>
        </w:rPr>
        <w:t>支持利用集体建设用地、企事业单位自有闲置土地建设租赁住房，允许非住宅房屋改建为保障性租赁住房。</w:t>
      </w:r>
    </w:p>
    <w:p>
      <w:pPr>
        <w:pStyle w:val="4"/>
        <w:keepNext w:val="0"/>
        <w:keepLines w:val="0"/>
        <w:pageBreakBefore w:val="0"/>
        <w:widowControl w:val="0"/>
        <w:shd w:val="clear"/>
        <w:kinsoku/>
        <w:wordWrap/>
        <w:overflowPunct/>
        <w:topLinePunct w:val="0"/>
        <w:autoSpaceDE/>
        <w:autoSpaceDN/>
        <w:bidi w:val="0"/>
        <w:adjustRightInd w:val="0"/>
        <w:snapToGrid w:val="0"/>
        <w:spacing w:line="576" w:lineRule="exact"/>
        <w:ind w:left="0" w:leftChars="0" w:firstLine="0" w:firstLineChars="0"/>
        <w:textAlignment w:val="auto"/>
        <w:rPr>
          <w:rFonts w:hint="eastAsia"/>
          <w:color w:val="auto"/>
          <w:sz w:val="32"/>
          <w:szCs w:val="32"/>
          <w:highlight w:val="none"/>
        </w:rPr>
      </w:pPr>
      <w:bookmarkStart w:id="849" w:name="_Toc557551112"/>
      <w:bookmarkStart w:id="850" w:name="_Toc1359873137"/>
      <w:bookmarkStart w:id="851" w:name="_Toc716121845"/>
      <w:bookmarkStart w:id="852" w:name="_Toc1568197639"/>
      <w:bookmarkStart w:id="853" w:name="_Toc576660927"/>
      <w:bookmarkStart w:id="854" w:name="_Toc2144550748"/>
      <w:bookmarkStart w:id="855" w:name="_Toc1853703381"/>
      <w:bookmarkStart w:id="856" w:name="_Toc6573"/>
      <w:bookmarkStart w:id="857" w:name="_Toc213447286"/>
      <w:bookmarkStart w:id="858" w:name="_Toc612938680"/>
    </w:p>
    <w:p>
      <w:pPr>
        <w:pStyle w:val="4"/>
        <w:keepNext w:val="0"/>
        <w:keepLines w:val="0"/>
        <w:pageBreakBefore w:val="0"/>
        <w:widowControl w:val="0"/>
        <w:shd w:val="clear"/>
        <w:kinsoku/>
        <w:wordWrap/>
        <w:overflowPunct/>
        <w:topLinePunct w:val="0"/>
        <w:autoSpaceDE/>
        <w:autoSpaceDN/>
        <w:bidi w:val="0"/>
        <w:adjustRightInd w:val="0"/>
        <w:snapToGrid w:val="0"/>
        <w:spacing w:line="576"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第五节  构筑全龄友好型社会</w:t>
      </w:r>
      <w:bookmarkEnd w:id="849"/>
      <w:bookmarkEnd w:id="850"/>
      <w:bookmarkEnd w:id="851"/>
      <w:bookmarkEnd w:id="852"/>
      <w:bookmarkEnd w:id="853"/>
      <w:bookmarkEnd w:id="854"/>
      <w:bookmarkEnd w:id="855"/>
      <w:bookmarkEnd w:id="856"/>
      <w:bookmarkEnd w:id="857"/>
      <w:bookmarkEnd w:id="858"/>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color w:val="auto"/>
          <w:sz w:val="32"/>
          <w:szCs w:val="32"/>
          <w:highlight w:val="none"/>
        </w:rPr>
      </w:pPr>
      <w:r>
        <w:rPr>
          <w:rFonts w:hint="eastAsia"/>
          <w:b/>
          <w:bCs/>
          <w:color w:val="auto"/>
          <w:sz w:val="32"/>
          <w:szCs w:val="32"/>
          <w:highlight w:val="none"/>
        </w:rPr>
        <w:t>加快推进儿童友好城市建设。</w:t>
      </w:r>
      <w:r>
        <w:rPr>
          <w:rFonts w:hint="eastAsia"/>
          <w:color w:val="auto"/>
          <w:sz w:val="32"/>
          <w:szCs w:val="32"/>
          <w:highlight w:val="none"/>
        </w:rPr>
        <w:t>引入</w:t>
      </w:r>
      <w:r>
        <w:rPr>
          <w:rFonts w:hint="eastAsia" w:ascii="仿宋_GB2312" w:hAnsi="仿宋_GB2312" w:eastAsia="仿宋_GB2312" w:cs="仿宋_GB2312"/>
          <w:color w:val="auto"/>
          <w:sz w:val="32"/>
          <w:szCs w:val="32"/>
          <w:highlight w:val="none"/>
        </w:rPr>
        <w:t>“</w:t>
      </w:r>
      <w:r>
        <w:rPr>
          <w:rFonts w:hint="default" w:ascii="Times New Roman" w:hAnsi="Times New Roman" w:cs="Times New Roman"/>
          <w:color w:val="auto"/>
          <w:sz w:val="32"/>
          <w:szCs w:val="32"/>
          <w:highlight w:val="none"/>
        </w:rPr>
        <w:t>1</w:t>
      </w:r>
      <w:r>
        <w:rPr>
          <w:rFonts w:hint="eastAsia"/>
          <w:color w:val="auto"/>
          <w:sz w:val="32"/>
          <w:szCs w:val="32"/>
          <w:highlight w:val="none"/>
        </w:rPr>
        <w:t>米高度看城市</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儿童视角，将儿童友好理念融入城市规划建设，推进公共空间和公共服务设施适儿化改造</w:t>
      </w:r>
      <w:r>
        <w:rPr>
          <w:rFonts w:hint="eastAsia"/>
          <w:color w:val="auto"/>
          <w:sz w:val="32"/>
          <w:szCs w:val="32"/>
          <w:highlight w:val="none"/>
          <w:lang w:val="en-US" w:eastAsia="zh-CN"/>
        </w:rPr>
        <w:t>，试点建设儿童友好街区</w:t>
      </w:r>
      <w:r>
        <w:rPr>
          <w:rFonts w:hint="eastAsia"/>
          <w:color w:val="auto"/>
          <w:sz w:val="32"/>
          <w:szCs w:val="32"/>
          <w:highlight w:val="none"/>
        </w:rPr>
        <w:t>，拓展儿童友好自然生态空间。</w:t>
      </w:r>
      <w:r>
        <w:rPr>
          <w:color w:val="auto"/>
          <w:sz w:val="32"/>
          <w:szCs w:val="32"/>
          <w:highlight w:val="none"/>
        </w:rPr>
        <w:t>重点推进儿童友好公园、学校、社区、医院等单元建设。加快建设儿童友好景区、酒店、免税店等配套服务设施。扩大普惠托育、优质教育和健康服务供给，加强儿童权益和心理健康支持。</w:t>
      </w:r>
    </w:p>
    <w:p>
      <w:pPr>
        <w:pStyle w:val="31"/>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r>
        <w:rPr>
          <w:rFonts w:hint="eastAsia"/>
          <w:b/>
          <w:bCs/>
          <w:color w:val="auto"/>
          <w:sz w:val="32"/>
          <w:szCs w:val="32"/>
          <w:highlight w:val="none"/>
        </w:rPr>
        <w:t>加快完善青年友好型城市建设。</w:t>
      </w:r>
      <w:r>
        <w:rPr>
          <w:rFonts w:hint="eastAsia"/>
          <w:color w:val="auto"/>
          <w:sz w:val="32"/>
          <w:szCs w:val="32"/>
          <w:highlight w:val="none"/>
          <w:lang w:eastAsia="zh-CN"/>
        </w:rPr>
        <w:t>构建青年友好政策支持体系，</w:t>
      </w:r>
      <w:r>
        <w:rPr>
          <w:rFonts w:hint="eastAsia"/>
          <w:color w:val="auto"/>
          <w:sz w:val="32"/>
          <w:szCs w:val="32"/>
          <w:highlight w:val="none"/>
        </w:rPr>
        <w:t>完善青年人才发现、培育、使用、保障机制</w:t>
      </w:r>
      <w:r>
        <w:rPr>
          <w:rFonts w:hint="eastAsia"/>
          <w:color w:val="auto"/>
          <w:sz w:val="32"/>
          <w:szCs w:val="32"/>
          <w:highlight w:val="none"/>
          <w:lang w:eastAsia="zh-CN"/>
        </w:rPr>
        <w:t>。</w:t>
      </w:r>
      <w:r>
        <w:rPr>
          <w:rFonts w:hint="eastAsia"/>
          <w:color w:val="auto"/>
          <w:sz w:val="32"/>
          <w:szCs w:val="32"/>
          <w:highlight w:val="none"/>
        </w:rPr>
        <w:t>推出青年就业创业专项计划，激活青年就业创业动能</w:t>
      </w:r>
      <w:r>
        <w:rPr>
          <w:rFonts w:hint="eastAsia"/>
          <w:color w:val="auto"/>
          <w:sz w:val="32"/>
          <w:szCs w:val="32"/>
          <w:highlight w:val="none"/>
          <w:lang w:eastAsia="zh-CN"/>
        </w:rPr>
        <w:t>，</w:t>
      </w:r>
      <w:r>
        <w:rPr>
          <w:rFonts w:hint="eastAsia"/>
          <w:color w:val="auto"/>
          <w:sz w:val="32"/>
          <w:szCs w:val="32"/>
          <w:highlight w:val="none"/>
        </w:rPr>
        <w:t>实施青年友好品牌项目，打造青年友好街区</w:t>
      </w:r>
      <w:r>
        <w:rPr>
          <w:rFonts w:hint="eastAsia"/>
          <w:color w:val="auto"/>
          <w:sz w:val="32"/>
          <w:szCs w:val="32"/>
          <w:highlight w:val="none"/>
          <w:lang w:eastAsia="zh-CN"/>
        </w:rPr>
        <w:t>，</w:t>
      </w:r>
      <w:r>
        <w:rPr>
          <w:rFonts w:hint="eastAsia"/>
          <w:color w:val="auto"/>
          <w:sz w:val="32"/>
          <w:szCs w:val="32"/>
          <w:highlight w:val="none"/>
        </w:rPr>
        <w:t>建设青年友好社区和公益阵地，完善</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rPr>
        <w:t>青年（人才）筑梦驿站</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rPr>
        <w:t>等短期居住服务体系。打造特色社交场景，拓宽青年社交圈，促进青年文化交流与融合。倡导积极婚育观，严格落实生育休假</w:t>
      </w:r>
      <w:r>
        <w:rPr>
          <w:rFonts w:hint="eastAsia"/>
          <w:color w:val="auto"/>
          <w:sz w:val="32"/>
          <w:szCs w:val="32"/>
          <w:highlight w:val="none"/>
          <w:lang w:eastAsia="zh-CN"/>
        </w:rPr>
        <w:t>和</w:t>
      </w:r>
      <w:r>
        <w:rPr>
          <w:rFonts w:hint="eastAsia"/>
          <w:color w:val="auto"/>
          <w:sz w:val="32"/>
          <w:szCs w:val="32"/>
          <w:highlight w:val="none"/>
        </w:rPr>
        <w:t>育儿补贴制度，发挥个人所得税抵扣政策作用，有效降低</w:t>
      </w:r>
      <w:r>
        <w:rPr>
          <w:rFonts w:hint="eastAsia"/>
          <w:color w:val="auto"/>
          <w:sz w:val="32"/>
          <w:szCs w:val="32"/>
          <w:highlight w:val="none"/>
          <w:lang w:eastAsia="zh-CN"/>
        </w:rPr>
        <w:t>青年</w:t>
      </w:r>
      <w:r>
        <w:rPr>
          <w:rFonts w:hint="eastAsia"/>
          <w:color w:val="auto"/>
          <w:sz w:val="32"/>
          <w:szCs w:val="32"/>
          <w:highlight w:val="none"/>
        </w:rPr>
        <w:t>家庭生育养育教育成本。</w:t>
      </w:r>
    </w:p>
    <w:p>
      <w:pPr>
        <w:pStyle w:val="31"/>
        <w:keepNext w:val="0"/>
        <w:keepLines w:val="0"/>
        <w:pageBreakBefore w:val="0"/>
        <w:widowControl w:val="0"/>
        <w:kinsoku/>
        <w:wordWrap/>
        <w:overflowPunct/>
        <w:topLinePunct w:val="0"/>
        <w:autoSpaceDE/>
        <w:autoSpaceDN/>
        <w:bidi w:val="0"/>
        <w:adjustRightInd w:val="0"/>
        <w:snapToGrid w:val="0"/>
        <w:spacing w:after="251" w:afterLines="80" w:line="576" w:lineRule="exact"/>
        <w:textAlignment w:val="auto"/>
        <w:rPr>
          <w:rFonts w:hint="eastAsia" w:eastAsia="仿宋"/>
          <w:color w:val="auto"/>
          <w:szCs w:val="21"/>
          <w:highlight w:val="none"/>
          <w:lang w:eastAsia="zh-CN"/>
        </w:rPr>
      </w:pPr>
      <w:r>
        <w:rPr>
          <w:rFonts w:hint="eastAsia"/>
          <w:b/>
          <w:bCs/>
          <w:color w:val="auto"/>
          <w:sz w:val="32"/>
          <w:szCs w:val="32"/>
          <w:highlight w:val="none"/>
        </w:rPr>
        <w:t>加快打造老年友好型社会。</w:t>
      </w:r>
      <w:r>
        <w:rPr>
          <w:rFonts w:hint="eastAsia"/>
          <w:color w:val="auto"/>
          <w:sz w:val="32"/>
          <w:szCs w:val="32"/>
          <w:highlight w:val="none"/>
        </w:rPr>
        <w:t>实施积极应对人口老龄化国家战略，推进基本养老服务体系和服务设施建设，</w:t>
      </w:r>
      <w:r>
        <w:rPr>
          <w:rFonts w:hint="eastAsia"/>
          <w:color w:val="auto"/>
          <w:sz w:val="32"/>
          <w:szCs w:val="32"/>
          <w:highlight w:val="none"/>
          <w:lang w:eastAsia="zh-CN"/>
        </w:rPr>
        <w:t>推动新建</w:t>
      </w:r>
      <w:r>
        <w:rPr>
          <w:rFonts w:hint="eastAsia"/>
          <w:color w:val="auto"/>
          <w:sz w:val="32"/>
          <w:szCs w:val="32"/>
          <w:highlight w:val="none"/>
        </w:rPr>
        <w:t>片区</w:t>
      </w:r>
      <w:r>
        <w:rPr>
          <w:rFonts w:hint="eastAsia"/>
          <w:color w:val="auto"/>
          <w:sz w:val="32"/>
          <w:szCs w:val="32"/>
          <w:highlight w:val="none"/>
          <w:lang w:eastAsia="zh-CN"/>
        </w:rPr>
        <w:t>养老机构</w:t>
      </w:r>
      <w:r>
        <w:rPr>
          <w:rFonts w:hint="eastAsia"/>
          <w:color w:val="auto"/>
          <w:sz w:val="32"/>
          <w:szCs w:val="32"/>
          <w:highlight w:val="none"/>
        </w:rPr>
        <w:t>建成投用</w:t>
      </w:r>
      <w:r>
        <w:rPr>
          <w:rFonts w:hint="eastAsia"/>
          <w:color w:val="auto"/>
          <w:sz w:val="32"/>
          <w:szCs w:val="32"/>
          <w:highlight w:val="none"/>
          <w:lang w:eastAsia="zh-CN"/>
        </w:rPr>
        <w:t>，</w:t>
      </w:r>
      <w:r>
        <w:rPr>
          <w:rFonts w:hint="eastAsia"/>
          <w:color w:val="auto"/>
          <w:sz w:val="32"/>
          <w:szCs w:val="32"/>
          <w:highlight w:val="none"/>
        </w:rPr>
        <w:t>推广</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建枢纽带站点进家庭</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模式</w:t>
      </w:r>
      <w:r>
        <w:rPr>
          <w:rFonts w:hint="eastAsia"/>
          <w:color w:val="auto"/>
          <w:sz w:val="32"/>
          <w:szCs w:val="32"/>
          <w:highlight w:val="none"/>
          <w:lang w:eastAsia="zh-CN"/>
        </w:rPr>
        <w:t>，</w:t>
      </w:r>
      <w:r>
        <w:rPr>
          <w:rFonts w:hint="eastAsia"/>
          <w:color w:val="auto"/>
          <w:sz w:val="32"/>
          <w:szCs w:val="32"/>
          <w:highlight w:val="none"/>
        </w:rPr>
        <w:t>鼓励民办养老机构提供普惠型养老服务。优化</w:t>
      </w:r>
      <w:r>
        <w:rPr>
          <w:rFonts w:hint="eastAsia"/>
          <w:color w:val="auto"/>
          <w:sz w:val="32"/>
          <w:szCs w:val="32"/>
          <w:highlight w:val="none"/>
          <w:lang w:eastAsia="zh-CN"/>
        </w:rPr>
        <w:t>以</w:t>
      </w:r>
      <w:r>
        <w:rPr>
          <w:rFonts w:hint="eastAsia"/>
          <w:color w:val="auto"/>
          <w:sz w:val="32"/>
          <w:szCs w:val="32"/>
          <w:highlight w:val="none"/>
        </w:rPr>
        <w:t>居家为基础、社区为依托、机构为专业支撑、医养相结合的养老服务供给格局，健全普惠可及、覆盖城乡的养老服务体系</w:t>
      </w:r>
      <w:r>
        <w:rPr>
          <w:rFonts w:hint="eastAsia"/>
          <w:color w:val="auto"/>
          <w:sz w:val="32"/>
          <w:szCs w:val="32"/>
          <w:highlight w:val="none"/>
          <w:lang w:eastAsia="zh-CN"/>
        </w:rPr>
        <w:t>，到</w:t>
      </w:r>
      <w:r>
        <w:rPr>
          <w:rFonts w:hint="eastAsia"/>
          <w:color w:val="auto"/>
          <w:sz w:val="32"/>
          <w:szCs w:val="32"/>
          <w:highlight w:val="none"/>
          <w:lang w:val="en-US" w:eastAsia="zh-CN"/>
        </w:rPr>
        <w:t>2030年，</w:t>
      </w:r>
      <w:r>
        <w:rPr>
          <w:rFonts w:hint="eastAsia"/>
          <w:color w:val="auto"/>
          <w:sz w:val="32"/>
          <w:szCs w:val="32"/>
          <w:highlight w:val="none"/>
        </w:rPr>
        <w:t>实现养老服务设施覆盖全部城镇社区和</w:t>
      </w:r>
      <w:r>
        <w:rPr>
          <w:rFonts w:hint="default" w:ascii="Times New Roman" w:hAnsi="Times New Roman" w:cs="Times New Roman"/>
          <w:color w:val="auto"/>
          <w:sz w:val="32"/>
          <w:szCs w:val="32"/>
          <w:highlight w:val="none"/>
        </w:rPr>
        <w:t>60</w:t>
      </w:r>
      <w:r>
        <w:rPr>
          <w:color w:val="auto"/>
          <w:sz w:val="32"/>
          <w:szCs w:val="32"/>
          <w:highlight w:val="none"/>
        </w:rPr>
        <w:t>%</w:t>
      </w:r>
      <w:r>
        <w:rPr>
          <w:rFonts w:hint="eastAsia"/>
          <w:color w:val="auto"/>
          <w:sz w:val="32"/>
          <w:szCs w:val="32"/>
          <w:highlight w:val="none"/>
          <w:lang w:eastAsia="zh-CN"/>
        </w:rPr>
        <w:t>以上</w:t>
      </w:r>
      <w:r>
        <w:rPr>
          <w:rFonts w:hint="eastAsia"/>
          <w:color w:val="auto"/>
          <w:sz w:val="32"/>
          <w:szCs w:val="32"/>
          <w:highlight w:val="none"/>
        </w:rPr>
        <w:t>的农村社区。</w:t>
      </w:r>
      <w:r>
        <w:rPr>
          <w:rFonts w:hint="eastAsia"/>
          <w:color w:val="auto"/>
          <w:sz w:val="32"/>
          <w:szCs w:val="32"/>
          <w:highlight w:val="none"/>
          <w:lang w:eastAsia="zh-CN"/>
        </w:rPr>
        <w:t>鼓励发展互助养老、养老助餐等服务，</w:t>
      </w:r>
      <w:r>
        <w:rPr>
          <w:rFonts w:hint="eastAsia"/>
          <w:color w:val="auto"/>
          <w:sz w:val="32"/>
          <w:szCs w:val="32"/>
          <w:highlight w:val="none"/>
        </w:rPr>
        <w:t>支持养老机构与医疗机构开展多种形式的合作，提高养老机构服务能力。开展集教学、旅游、康养于一体的</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rPr>
        <w:t>游学养</w:t>
      </w:r>
      <w:r>
        <w:rPr>
          <w:rFonts w:hint="eastAsia" w:ascii="仿宋_GB2312" w:hAnsi="仿宋_GB2312" w:eastAsia="仿宋_GB2312" w:cs="仿宋_GB2312"/>
          <w:color w:val="auto"/>
          <w:sz w:val="32"/>
          <w:szCs w:val="32"/>
          <w:highlight w:val="none"/>
          <w:lang w:eastAsia="zh-CN"/>
        </w:rPr>
        <w:t>”</w:t>
      </w:r>
      <w:r>
        <w:rPr>
          <w:rFonts w:hint="eastAsia"/>
          <w:color w:val="auto"/>
          <w:sz w:val="32"/>
          <w:szCs w:val="32"/>
          <w:highlight w:val="none"/>
        </w:rPr>
        <w:t>活动</w:t>
      </w:r>
      <w:r>
        <w:rPr>
          <w:rFonts w:hint="eastAsia"/>
          <w:color w:val="auto"/>
          <w:sz w:val="32"/>
          <w:szCs w:val="32"/>
          <w:highlight w:val="none"/>
          <w:lang w:eastAsia="zh-CN"/>
        </w:rPr>
        <w:t>。</w:t>
      </w:r>
    </w:p>
    <w:tbl>
      <w:tblPr>
        <w:tblStyle w:val="36"/>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shd w:val="clear"/>
              <w:tabs>
                <w:tab w:val="right" w:leader="dot" w:pos="8296"/>
              </w:tabs>
              <w:kinsoku/>
              <w:wordWrap/>
              <w:overflowPunct/>
              <w:topLinePunct w:val="0"/>
              <w:autoSpaceDE/>
              <w:autoSpaceDN/>
              <w:bidi w:val="0"/>
              <w:snapToGrid w:val="0"/>
              <w:spacing w:before="157" w:beforeLines="50" w:after="157" w:afterLines="50" w:line="440" w:lineRule="exact"/>
              <w:jc w:val="center"/>
              <w:textAlignment w:val="auto"/>
              <w:rPr>
                <w:rFonts w:ascii="Times New Roman" w:hAnsi="Times New Roman" w:eastAsia="黑体"/>
                <w:color w:val="auto"/>
                <w:kern w:val="0"/>
                <w:sz w:val="28"/>
                <w:szCs w:val="28"/>
                <w:highlight w:val="none"/>
              </w:rPr>
            </w:pPr>
            <w:r>
              <w:rPr>
                <w:rFonts w:hint="eastAsia" w:ascii="Times New Roman" w:hAnsi="Times New Roman" w:eastAsia="黑体"/>
                <w:color w:val="auto"/>
                <w:kern w:val="0"/>
                <w:sz w:val="28"/>
                <w:szCs w:val="28"/>
                <w:highlight w:val="none"/>
              </w:rPr>
              <w:t>专栏</w:t>
            </w:r>
            <w:r>
              <w:rPr>
                <w:rFonts w:hint="default" w:ascii="Times New Roman" w:hAnsi="Times New Roman" w:eastAsia="黑体" w:cs="Times New Roman"/>
                <w:bCs/>
                <w:color w:val="auto"/>
                <w:sz w:val="28"/>
                <w:szCs w:val="28"/>
                <w:highlight w:val="none"/>
              </w:rPr>
              <w:fldChar w:fldCharType="begin"/>
            </w:r>
            <w:r>
              <w:rPr>
                <w:rFonts w:hint="default" w:ascii="Times New Roman" w:hAnsi="Times New Roman" w:eastAsia="黑体" w:cs="Times New Roman"/>
                <w:bCs/>
                <w:color w:val="auto"/>
                <w:sz w:val="28"/>
                <w:szCs w:val="28"/>
                <w:highlight w:val="none"/>
              </w:rPr>
              <w:instrText xml:space="preserve"> SEQ 表格 \* ARABIC </w:instrText>
            </w:r>
            <w:r>
              <w:rPr>
                <w:rFonts w:hint="default" w:ascii="Times New Roman" w:hAnsi="Times New Roman" w:eastAsia="黑体" w:cs="Times New Roman"/>
                <w:bCs/>
                <w:color w:val="auto"/>
                <w:sz w:val="28"/>
                <w:szCs w:val="28"/>
                <w:highlight w:val="none"/>
              </w:rPr>
              <w:fldChar w:fldCharType="separate"/>
            </w:r>
            <w:r>
              <w:rPr>
                <w:rFonts w:hint="default" w:ascii="Times New Roman" w:hAnsi="Times New Roman" w:eastAsia="黑体" w:cs="Times New Roman"/>
                <w:bCs/>
                <w:color w:val="auto"/>
                <w:sz w:val="28"/>
                <w:szCs w:val="28"/>
                <w:highlight w:val="none"/>
              </w:rPr>
              <w:t>1</w:t>
            </w:r>
            <w:r>
              <w:rPr>
                <w:rFonts w:hint="default" w:ascii="Times New Roman" w:hAnsi="Times New Roman" w:eastAsia="黑体" w:cs="Times New Roman"/>
                <w:bCs/>
                <w:color w:val="auto"/>
                <w:sz w:val="28"/>
                <w:szCs w:val="28"/>
                <w:highlight w:val="none"/>
              </w:rPr>
              <w:fldChar w:fldCharType="end"/>
            </w:r>
            <w:r>
              <w:rPr>
                <w:rFonts w:hint="default" w:ascii="Times New Roman" w:hAnsi="Times New Roman" w:eastAsia="黑体" w:cs="Times New Roman"/>
                <w:bCs/>
                <w:color w:val="auto"/>
                <w:sz w:val="28"/>
                <w:szCs w:val="28"/>
                <w:highlight w:val="none"/>
                <w:lang w:val="en-US" w:eastAsia="zh-CN"/>
              </w:rPr>
              <w:t>5</w:t>
            </w:r>
            <w:r>
              <w:rPr>
                <w:rFonts w:hint="eastAsia" w:ascii="Times New Roman" w:hAnsi="Times New Roman" w:eastAsia="黑体"/>
                <w:color w:val="auto"/>
                <w:kern w:val="0"/>
                <w:sz w:val="28"/>
                <w:szCs w:val="28"/>
                <w:highlight w:val="none"/>
                <w:lang w:val="en-US" w:eastAsia="zh-CN"/>
              </w:rPr>
              <w:t xml:space="preserve">  </w:t>
            </w:r>
            <w:r>
              <w:rPr>
                <w:rFonts w:hint="eastAsia" w:ascii="Times New Roman" w:hAnsi="Times New Roman" w:eastAsia="黑体"/>
                <w:color w:val="auto"/>
                <w:kern w:val="0"/>
                <w:sz w:val="28"/>
                <w:szCs w:val="28"/>
                <w:highlight w:val="none"/>
              </w:rPr>
              <w:t>友好型社会建设重大工程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Borders>
              <w:top w:val="single" w:color="auto" w:sz="4" w:space="0"/>
              <w:left w:val="single" w:color="auto" w:sz="4" w:space="0"/>
              <w:bottom w:val="single" w:color="auto" w:sz="4" w:space="0"/>
              <w:right w:val="single" w:color="auto" w:sz="4" w:space="0"/>
            </w:tcBorders>
            <w:vAlign w:val="top"/>
          </w:tcPr>
          <w:p>
            <w:pPr>
              <w:pStyle w:val="33"/>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440" w:lineRule="exact"/>
              <w:ind w:firstLine="562"/>
              <w:textAlignment w:val="auto"/>
              <w:rPr>
                <w:rFonts w:hint="eastAsia"/>
                <w:color w:val="auto"/>
                <w:highlight w:val="none"/>
              </w:rPr>
            </w:pPr>
            <w:r>
              <w:rPr>
                <w:rFonts w:hint="default" w:ascii="Times New Roman" w:hAnsi="Times New Roman" w:cs="Times New Roman"/>
                <w:b/>
                <w:bCs/>
                <w:color w:val="auto"/>
                <w:highlight w:val="none"/>
              </w:rPr>
              <w:t>1</w:t>
            </w:r>
            <w:r>
              <w:rPr>
                <w:rFonts w:hint="eastAsia" w:ascii="楷体_GB2312" w:hAnsi="楷体_GB2312" w:eastAsia="楷体_GB2312" w:cs="楷体_GB2312"/>
                <w:b/>
                <w:bCs/>
                <w:color w:val="auto"/>
                <w:highlight w:val="none"/>
                <w:lang w:eastAsia="zh-CN"/>
              </w:rPr>
              <w:t>.</w:t>
            </w:r>
            <w:r>
              <w:rPr>
                <w:rFonts w:hint="eastAsia"/>
                <w:b/>
                <w:bCs/>
                <w:color w:val="auto"/>
                <w:highlight w:val="none"/>
              </w:rPr>
              <w:t>大力发展普惠托育服务。</w:t>
            </w:r>
            <w:r>
              <w:rPr>
                <w:rFonts w:hint="eastAsia"/>
                <w:color w:val="auto"/>
                <w:highlight w:val="none"/>
              </w:rPr>
              <w:t>推动社区和农村婴幼儿照护服务发展，支持新建、改建、扩建幼儿园建托班，鼓励用人单位提供福利性托育。</w:t>
            </w:r>
          </w:p>
          <w:p>
            <w:pPr>
              <w:pStyle w:val="33"/>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440" w:lineRule="exact"/>
              <w:ind w:firstLine="562"/>
              <w:textAlignment w:val="auto"/>
              <w:rPr>
                <w:rFonts w:hint="eastAsia"/>
                <w:color w:val="auto"/>
                <w:highlight w:val="none"/>
              </w:rPr>
            </w:pPr>
            <w:r>
              <w:rPr>
                <w:rFonts w:hint="default" w:ascii="Times New Roman" w:hAnsi="Times New Roman" w:cs="Times New Roman"/>
                <w:b/>
                <w:bCs/>
                <w:color w:val="auto"/>
                <w:highlight w:val="none"/>
              </w:rPr>
              <w:t>2</w:t>
            </w:r>
            <w:r>
              <w:rPr>
                <w:rFonts w:hint="eastAsia" w:ascii="楷体_GB2312" w:hAnsi="楷体_GB2312" w:eastAsia="楷体_GB2312" w:cs="楷体_GB2312"/>
                <w:b/>
                <w:bCs/>
                <w:color w:val="auto"/>
                <w:highlight w:val="none"/>
                <w:lang w:eastAsia="zh-CN"/>
              </w:rPr>
              <w:t>.</w:t>
            </w:r>
            <w:r>
              <w:rPr>
                <w:rFonts w:hint="eastAsia"/>
                <w:b/>
                <w:bCs/>
                <w:color w:val="auto"/>
                <w:highlight w:val="none"/>
              </w:rPr>
              <w:t>完善儿童友好成长空间。</w:t>
            </w:r>
            <w:r>
              <w:rPr>
                <w:rFonts w:hint="eastAsia"/>
                <w:color w:val="auto"/>
                <w:highlight w:val="none"/>
              </w:rPr>
              <w:t>推进</w:t>
            </w:r>
            <w:r>
              <w:rPr>
                <w:rFonts w:hint="eastAsia" w:ascii="仿宋_GB2312" w:hAnsi="仿宋_GB2312" w:eastAsia="仿宋_GB2312" w:cs="仿宋_GB2312"/>
                <w:color w:val="auto"/>
                <w:highlight w:val="none"/>
              </w:rPr>
              <w:t>“</w:t>
            </w:r>
            <w:r>
              <w:rPr>
                <w:rFonts w:hint="eastAsia"/>
                <w:color w:val="auto"/>
                <w:highlight w:val="none"/>
              </w:rPr>
              <w:t>城市、城区、社区</w:t>
            </w:r>
            <w:r>
              <w:rPr>
                <w:rFonts w:hint="eastAsia" w:ascii="仿宋_GB2312" w:hAnsi="仿宋_GB2312" w:eastAsia="仿宋_GB2312" w:cs="仿宋_GB2312"/>
                <w:color w:val="auto"/>
                <w:highlight w:val="none"/>
              </w:rPr>
              <w:t>”</w:t>
            </w:r>
            <w:r>
              <w:rPr>
                <w:rFonts w:hint="eastAsia"/>
                <w:color w:val="auto"/>
                <w:highlight w:val="none"/>
              </w:rPr>
              <w:t>三级、</w:t>
            </w:r>
            <w:r>
              <w:rPr>
                <w:rFonts w:hint="eastAsia" w:ascii="仿宋_GB2312" w:hAnsi="仿宋_GB2312" w:eastAsia="仿宋_GB2312" w:cs="仿宋_GB2312"/>
                <w:color w:val="auto"/>
                <w:highlight w:val="none"/>
              </w:rPr>
              <w:t>“</w:t>
            </w:r>
            <w:r>
              <w:rPr>
                <w:rFonts w:hint="eastAsia"/>
                <w:color w:val="auto"/>
                <w:highlight w:val="none"/>
              </w:rPr>
              <w:t>公共服务设施、出行环境、公园绿地、校外活动场所、旅游服务场所及设施</w:t>
            </w:r>
            <w:r>
              <w:rPr>
                <w:rFonts w:hint="eastAsia" w:ascii="仿宋_GB2312" w:hAnsi="仿宋_GB2312" w:eastAsia="仿宋_GB2312" w:cs="仿宋_GB2312"/>
                <w:color w:val="auto"/>
                <w:highlight w:val="none"/>
              </w:rPr>
              <w:t>”</w:t>
            </w:r>
            <w:r>
              <w:rPr>
                <w:rFonts w:hint="eastAsia"/>
                <w:color w:val="auto"/>
                <w:highlight w:val="none"/>
              </w:rPr>
              <w:t>五类儿童成长空间建设。</w:t>
            </w:r>
          </w:p>
          <w:p>
            <w:pPr>
              <w:pStyle w:val="33"/>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440" w:lineRule="exact"/>
              <w:ind w:firstLine="562"/>
              <w:textAlignment w:val="auto"/>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3</w:t>
            </w:r>
            <w:r>
              <w:rPr>
                <w:rFonts w:hint="eastAsia" w:ascii="楷体_GB2312" w:hAnsi="楷体_GB2312" w:eastAsia="楷体_GB2312" w:cs="楷体_GB2312"/>
                <w:b/>
                <w:bCs/>
                <w:color w:val="auto"/>
                <w:highlight w:val="none"/>
                <w:lang w:eastAsia="zh-CN"/>
              </w:rPr>
              <w:t>.</w:t>
            </w:r>
            <w:r>
              <w:rPr>
                <w:rFonts w:hint="eastAsia"/>
                <w:b/>
                <w:bCs/>
                <w:color w:val="auto"/>
                <w:highlight w:val="none"/>
              </w:rPr>
              <w:t>推出</w:t>
            </w:r>
            <w:r>
              <w:rPr>
                <w:rFonts w:hint="eastAsia" w:ascii="仿宋_GB2312" w:hAnsi="仿宋_GB2312" w:eastAsia="仿宋_GB2312" w:cs="仿宋_GB2312"/>
                <w:b/>
                <w:bCs/>
                <w:color w:val="auto"/>
                <w:highlight w:val="none"/>
              </w:rPr>
              <w:t>“</w:t>
            </w:r>
            <w:r>
              <w:rPr>
                <w:rFonts w:hint="eastAsia"/>
                <w:b/>
                <w:bCs/>
                <w:color w:val="auto"/>
                <w:highlight w:val="none"/>
              </w:rPr>
              <w:t>三亚青年安居计划</w:t>
            </w:r>
            <w:r>
              <w:rPr>
                <w:rFonts w:hint="eastAsia" w:ascii="仿宋_GB2312" w:hAnsi="仿宋_GB2312" w:eastAsia="仿宋_GB2312" w:cs="仿宋_GB2312"/>
                <w:b/>
                <w:bCs/>
                <w:color w:val="auto"/>
                <w:highlight w:val="none"/>
              </w:rPr>
              <w:t>”</w:t>
            </w:r>
            <w:r>
              <w:rPr>
                <w:rFonts w:hint="eastAsia"/>
                <w:b/>
                <w:bCs/>
                <w:color w:val="auto"/>
                <w:highlight w:val="none"/>
              </w:rPr>
              <w:t>。</w:t>
            </w:r>
            <w:r>
              <w:rPr>
                <w:rFonts w:hint="eastAsia"/>
                <w:color w:val="auto"/>
                <w:highlight w:val="none"/>
              </w:rPr>
              <w:t>完善青年（人才）筑梦驿站建设，对来三亚就业创业的青年给予租金补贴或购房优惠。</w:t>
            </w:r>
          </w:p>
          <w:p>
            <w:pPr>
              <w:pStyle w:val="33"/>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440" w:lineRule="exact"/>
              <w:ind w:firstLine="562"/>
              <w:textAlignment w:val="auto"/>
              <w:rPr>
                <w:color w:val="auto"/>
                <w:highlight w:val="none"/>
              </w:rPr>
            </w:pPr>
            <w:r>
              <w:rPr>
                <w:rFonts w:hint="default" w:ascii="Times New Roman" w:hAnsi="Times New Roman" w:cs="Times New Roman"/>
                <w:b/>
                <w:bCs/>
                <w:color w:val="auto"/>
                <w:highlight w:val="none"/>
              </w:rPr>
              <w:t>4</w:t>
            </w:r>
            <w:r>
              <w:rPr>
                <w:rFonts w:hint="eastAsia" w:ascii="楷体_GB2312" w:hAnsi="楷体_GB2312" w:eastAsia="楷体_GB2312" w:cs="楷体_GB2312"/>
                <w:b/>
                <w:bCs/>
                <w:color w:val="auto"/>
                <w:highlight w:val="none"/>
                <w:lang w:eastAsia="zh-CN"/>
              </w:rPr>
              <w:t>.</w:t>
            </w:r>
            <w:r>
              <w:rPr>
                <w:rFonts w:hint="eastAsia"/>
                <w:b/>
                <w:bCs/>
                <w:color w:val="auto"/>
                <w:highlight w:val="none"/>
              </w:rPr>
              <w:t>丰富青年文化生活。</w:t>
            </w:r>
            <w:r>
              <w:rPr>
                <w:rFonts w:hint="eastAsia"/>
                <w:color w:val="auto"/>
                <w:highlight w:val="none"/>
              </w:rPr>
              <w:t>常态化开设</w:t>
            </w:r>
            <w:r>
              <w:rPr>
                <w:rFonts w:hint="eastAsia" w:ascii="仿宋_GB2312" w:hAnsi="仿宋_GB2312" w:eastAsia="仿宋_GB2312" w:cs="仿宋_GB2312"/>
                <w:color w:val="auto"/>
                <w:highlight w:val="none"/>
              </w:rPr>
              <w:t>“</w:t>
            </w:r>
            <w:r>
              <w:rPr>
                <w:rFonts w:hint="eastAsia"/>
                <w:color w:val="auto"/>
                <w:highlight w:val="none"/>
              </w:rPr>
              <w:t>青年夜校</w:t>
            </w:r>
            <w:r>
              <w:rPr>
                <w:rFonts w:hint="eastAsia" w:ascii="仿宋_GB2312" w:hAnsi="仿宋_GB2312" w:eastAsia="仿宋_GB2312" w:cs="仿宋_GB2312"/>
                <w:color w:val="auto"/>
                <w:highlight w:val="none"/>
              </w:rPr>
              <w:t>”</w:t>
            </w:r>
            <w:r>
              <w:rPr>
                <w:rFonts w:hint="eastAsia"/>
                <w:color w:val="auto"/>
                <w:highlight w:val="none"/>
              </w:rPr>
              <w:t>，经常性举办联谊交友、公益研学、读书分享等活动，让青年在三亚乐学乐交，实现自我成长。</w:t>
            </w:r>
          </w:p>
          <w:p>
            <w:pPr>
              <w:pStyle w:val="33"/>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440" w:lineRule="exact"/>
              <w:ind w:firstLine="562"/>
              <w:textAlignment w:val="auto"/>
              <w:rPr>
                <w:rFonts w:hint="eastAsia"/>
                <w:b w:val="0"/>
                <w:bCs w:val="0"/>
                <w:color w:val="auto"/>
                <w:highlight w:val="none"/>
              </w:rPr>
            </w:pPr>
            <w:r>
              <w:rPr>
                <w:rFonts w:hint="default" w:ascii="Times New Roman" w:hAnsi="Times New Roman" w:cs="Times New Roman"/>
                <w:b/>
                <w:bCs/>
                <w:color w:val="auto"/>
                <w:highlight w:val="none"/>
              </w:rPr>
              <w:t>5</w:t>
            </w:r>
            <w:r>
              <w:rPr>
                <w:rFonts w:hint="eastAsia" w:ascii="楷体_GB2312" w:hAnsi="楷体_GB2312" w:eastAsia="楷体_GB2312" w:cs="楷体_GB2312"/>
                <w:b/>
                <w:bCs/>
                <w:color w:val="auto"/>
                <w:highlight w:val="none"/>
                <w:lang w:eastAsia="zh-CN"/>
              </w:rPr>
              <w:t>.</w:t>
            </w:r>
            <w:r>
              <w:rPr>
                <w:rFonts w:hint="eastAsia"/>
                <w:b/>
                <w:bCs/>
                <w:color w:val="auto"/>
                <w:highlight w:val="none"/>
              </w:rPr>
              <w:t>服务青少年成长成才。</w:t>
            </w:r>
            <w:r>
              <w:rPr>
                <w:rFonts w:hint="eastAsia"/>
                <w:color w:val="auto"/>
                <w:highlight w:val="none"/>
              </w:rPr>
              <w:t>持续开展希望工程助学行动，确保困难青年求学需求得到响应。打造公益托管品牌项目，围绕双职工家庭及新就业群体子女</w:t>
            </w:r>
            <w:r>
              <w:rPr>
                <w:rFonts w:hint="eastAsia" w:ascii="仿宋_GB2312" w:hAnsi="仿宋_GB2312" w:eastAsia="仿宋_GB2312" w:cs="仿宋_GB2312"/>
                <w:color w:val="auto"/>
                <w:highlight w:val="none"/>
              </w:rPr>
              <w:t>“</w:t>
            </w:r>
            <w:r>
              <w:rPr>
                <w:rFonts w:hint="eastAsia"/>
                <w:color w:val="auto"/>
                <w:highlight w:val="none"/>
              </w:rPr>
              <w:t>看护难</w:t>
            </w:r>
            <w:r>
              <w:rPr>
                <w:rFonts w:hint="eastAsia" w:ascii="仿宋_GB2312" w:hAnsi="仿宋_GB2312" w:eastAsia="仿宋_GB2312" w:cs="仿宋_GB2312"/>
                <w:color w:val="auto"/>
                <w:highlight w:val="none"/>
              </w:rPr>
              <w:t>”</w:t>
            </w:r>
            <w:r>
              <w:rPr>
                <w:rFonts w:hint="eastAsia"/>
                <w:color w:val="auto"/>
                <w:highlight w:val="none"/>
              </w:rPr>
              <w:t>问题，优化日常托管与假期托管服务体系。</w:t>
            </w:r>
          </w:p>
          <w:p>
            <w:pPr>
              <w:pStyle w:val="33"/>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440" w:lineRule="exact"/>
              <w:ind w:firstLine="562"/>
              <w:textAlignment w:val="auto"/>
              <w:rPr>
                <w:rFonts w:hint="eastAsia"/>
                <w:color w:val="auto"/>
                <w:highlight w:val="none"/>
              </w:rPr>
            </w:pPr>
            <w:r>
              <w:rPr>
                <w:rFonts w:hint="default" w:ascii="Times New Roman" w:hAnsi="Times New Roman" w:cs="Times New Roman"/>
                <w:b/>
                <w:bCs/>
                <w:color w:val="auto"/>
                <w:highlight w:val="none"/>
                <w:lang w:val="en-US" w:eastAsia="zh-CN"/>
              </w:rPr>
              <w:t>6</w:t>
            </w:r>
            <w:r>
              <w:rPr>
                <w:rFonts w:hint="eastAsia" w:ascii="楷体_GB2312" w:hAnsi="楷体_GB2312" w:eastAsia="楷体_GB2312" w:cs="楷体_GB2312"/>
                <w:b/>
                <w:bCs/>
                <w:color w:val="auto"/>
                <w:highlight w:val="none"/>
                <w:lang w:val="en-US" w:eastAsia="zh-CN"/>
              </w:rPr>
              <w:t>.</w:t>
            </w:r>
            <w:r>
              <w:rPr>
                <w:rFonts w:hint="default" w:cs="Times New Roman"/>
                <w:b/>
                <w:bCs/>
                <w:color w:val="auto"/>
                <w:highlight w:val="none"/>
              </w:rPr>
              <w:t>基</w:t>
            </w:r>
            <w:r>
              <w:rPr>
                <w:rFonts w:hint="eastAsia"/>
                <w:b/>
                <w:bCs/>
                <w:color w:val="auto"/>
                <w:highlight w:val="none"/>
              </w:rPr>
              <w:t>本养老服务保障工程。</w:t>
            </w:r>
            <w:r>
              <w:rPr>
                <w:rFonts w:hint="eastAsia"/>
                <w:color w:val="auto"/>
                <w:highlight w:val="none"/>
              </w:rPr>
              <w:t>建立健全基本养老服务清单并动态调整，重点满足失能、失智等老年人群体照护需求，实现经济困难失能老年人照护补贴发放全覆盖，开展特殊困难老年人家庭适老化改造行动，对</w:t>
            </w:r>
            <w:r>
              <w:rPr>
                <w:rFonts w:hint="default" w:ascii="Times New Roman" w:hAnsi="Times New Roman" w:cs="Times New Roman"/>
                <w:color w:val="auto"/>
                <w:highlight w:val="none"/>
              </w:rPr>
              <w:t>65</w:t>
            </w:r>
            <w:r>
              <w:rPr>
                <w:rFonts w:hint="eastAsia"/>
                <w:color w:val="auto"/>
                <w:highlight w:val="none"/>
              </w:rPr>
              <w:t>周岁及以上老年人每年免费提供</w:t>
            </w:r>
            <w:r>
              <w:rPr>
                <w:rFonts w:hint="default" w:ascii="Times New Roman" w:hAnsi="Times New Roman" w:cs="Times New Roman"/>
                <w:color w:val="auto"/>
                <w:highlight w:val="none"/>
              </w:rPr>
              <w:t>1</w:t>
            </w:r>
            <w:r>
              <w:rPr>
                <w:rFonts w:hint="eastAsia"/>
                <w:color w:val="auto"/>
                <w:highlight w:val="none"/>
              </w:rPr>
              <w:t xml:space="preserve">次健康管理服务。 </w:t>
            </w:r>
          </w:p>
          <w:p>
            <w:pPr>
              <w:pStyle w:val="33"/>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440" w:lineRule="exact"/>
              <w:ind w:firstLine="562"/>
              <w:textAlignment w:val="auto"/>
              <w:rPr>
                <w:rFonts w:hint="default" w:eastAsia="楷体"/>
                <w:color w:val="auto"/>
                <w:highlight w:val="none"/>
                <w:lang w:val="en-US" w:eastAsia="zh-CN"/>
              </w:rPr>
            </w:pPr>
            <w:r>
              <w:rPr>
                <w:rFonts w:hint="default" w:ascii="Times New Roman" w:hAnsi="Times New Roman" w:cs="Times New Roman"/>
                <w:b/>
                <w:bCs/>
                <w:color w:val="auto"/>
                <w:highlight w:val="none"/>
                <w:lang w:val="en-US" w:eastAsia="zh-CN"/>
              </w:rPr>
              <w:t>7</w:t>
            </w:r>
            <w:r>
              <w:rPr>
                <w:rFonts w:hint="eastAsia" w:ascii="楷体_GB2312" w:hAnsi="楷体_GB2312" w:eastAsia="楷体_GB2312" w:cs="楷体_GB2312"/>
                <w:b/>
                <w:bCs/>
                <w:color w:val="auto"/>
                <w:highlight w:val="none"/>
                <w:lang w:eastAsia="zh-CN"/>
              </w:rPr>
              <w:t>.</w:t>
            </w:r>
            <w:r>
              <w:rPr>
                <w:rFonts w:hint="eastAsia"/>
                <w:b/>
                <w:bCs/>
                <w:color w:val="auto"/>
                <w:highlight w:val="none"/>
              </w:rPr>
              <w:t>居家社区养老服务提升工程。</w:t>
            </w:r>
            <w:r>
              <w:rPr>
                <w:rFonts w:hint="eastAsia"/>
                <w:color w:val="auto"/>
                <w:highlight w:val="none"/>
              </w:rPr>
              <w:t>鼓励支持养老机构</w:t>
            </w:r>
            <w:r>
              <w:rPr>
                <w:color w:val="auto"/>
                <w:highlight w:val="none"/>
              </w:rPr>
              <w:t>提供社区养老、居家养老</w:t>
            </w:r>
            <w:r>
              <w:rPr>
                <w:rFonts w:hint="eastAsia"/>
                <w:color w:val="auto"/>
                <w:highlight w:val="none"/>
                <w:lang w:eastAsia="zh-CN"/>
              </w:rPr>
              <w:t>专业</w:t>
            </w:r>
            <w:r>
              <w:rPr>
                <w:color w:val="auto"/>
                <w:highlight w:val="none"/>
              </w:rPr>
              <w:t>服务</w:t>
            </w:r>
            <w:r>
              <w:rPr>
                <w:rFonts w:hint="eastAsia"/>
                <w:color w:val="auto"/>
                <w:highlight w:val="none"/>
                <w:lang w:eastAsia="zh-CN"/>
              </w:rPr>
              <w:t>。</w:t>
            </w:r>
            <w:r>
              <w:rPr>
                <w:rFonts w:hint="eastAsia"/>
                <w:color w:val="auto"/>
                <w:highlight w:val="none"/>
              </w:rPr>
              <w:t>有条件的餐饮企业、</w:t>
            </w:r>
            <w:r>
              <w:rPr>
                <w:color w:val="auto"/>
                <w:highlight w:val="none"/>
              </w:rPr>
              <w:t>机关事业</w:t>
            </w:r>
            <w:r>
              <w:rPr>
                <w:rFonts w:hint="eastAsia"/>
                <w:color w:val="auto"/>
                <w:highlight w:val="none"/>
              </w:rPr>
              <w:t>单位食堂、物业服务企业参与老年助餐服务</w:t>
            </w:r>
            <w:r>
              <w:rPr>
                <w:rFonts w:hint="eastAsia"/>
                <w:color w:val="auto"/>
                <w:highlight w:val="none"/>
                <w:lang w:eastAsia="zh-CN"/>
              </w:rPr>
              <w:t>。</w:t>
            </w:r>
            <w:r>
              <w:rPr>
                <w:rFonts w:hint="eastAsia"/>
                <w:color w:val="auto"/>
                <w:highlight w:val="none"/>
              </w:rPr>
              <w:t>符合条件的医疗机构为居家失能、慢性病、高龄、残疾等行动不便或确有困难的老年人设立家庭病床、上门巡诊等居家医疗服务。</w:t>
            </w:r>
          </w:p>
          <w:p>
            <w:pPr>
              <w:pStyle w:val="33"/>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440" w:lineRule="exact"/>
              <w:ind w:firstLine="562"/>
              <w:textAlignment w:val="auto"/>
              <w:rPr>
                <w:rFonts w:hint="eastAsia"/>
                <w:color w:val="auto"/>
                <w:highlight w:val="none"/>
              </w:rPr>
            </w:pPr>
            <w:r>
              <w:rPr>
                <w:rFonts w:hint="default" w:ascii="Times New Roman" w:hAnsi="Times New Roman" w:cs="Times New Roman"/>
                <w:b/>
                <w:bCs/>
                <w:color w:val="auto"/>
                <w:highlight w:val="none"/>
                <w:lang w:val="en-US" w:eastAsia="zh-CN"/>
              </w:rPr>
              <w:t>8</w:t>
            </w:r>
            <w:r>
              <w:rPr>
                <w:rFonts w:hint="eastAsia" w:ascii="楷体_GB2312" w:hAnsi="楷体_GB2312" w:eastAsia="楷体_GB2312" w:cs="楷体_GB2312"/>
                <w:b/>
                <w:bCs/>
                <w:color w:val="auto"/>
                <w:highlight w:val="none"/>
                <w:lang w:eastAsia="zh-CN"/>
              </w:rPr>
              <w:t>.</w:t>
            </w:r>
            <w:r>
              <w:rPr>
                <w:rFonts w:hint="eastAsia"/>
                <w:b/>
                <w:bCs/>
                <w:color w:val="auto"/>
                <w:highlight w:val="none"/>
              </w:rPr>
              <w:t>养老机构服务优化工程。</w:t>
            </w:r>
            <w:r>
              <w:rPr>
                <w:rFonts w:hint="eastAsia"/>
                <w:color w:val="auto"/>
                <w:highlight w:val="none"/>
              </w:rPr>
              <w:t>培育一批星级养老机构，</w:t>
            </w:r>
            <w:r>
              <w:rPr>
                <w:color w:val="auto"/>
                <w:highlight w:val="none"/>
              </w:rPr>
              <w:t>市区两级养老机构星级评定全覆盖，</w:t>
            </w:r>
            <w:r>
              <w:rPr>
                <w:rFonts w:hint="eastAsia"/>
                <w:color w:val="auto"/>
                <w:highlight w:val="none"/>
              </w:rPr>
              <w:t>根据养老机构星级给予差异化</w:t>
            </w:r>
            <w:r>
              <w:rPr>
                <w:color w:val="auto"/>
                <w:highlight w:val="none"/>
              </w:rPr>
              <w:t>支持</w:t>
            </w:r>
            <w:r>
              <w:rPr>
                <w:rFonts w:hint="eastAsia"/>
                <w:color w:val="auto"/>
                <w:highlight w:val="none"/>
              </w:rPr>
              <w:t>，推广基层医疗卫生机构和养老机构</w:t>
            </w:r>
            <w:r>
              <w:rPr>
                <w:rFonts w:hint="eastAsia" w:ascii="仿宋_GB2312" w:hAnsi="仿宋_GB2312" w:eastAsia="仿宋_GB2312" w:cs="仿宋_GB2312"/>
                <w:color w:val="auto"/>
                <w:highlight w:val="none"/>
              </w:rPr>
              <w:t>“</w:t>
            </w:r>
            <w:r>
              <w:rPr>
                <w:rFonts w:hint="eastAsia"/>
                <w:color w:val="auto"/>
                <w:highlight w:val="none"/>
              </w:rPr>
              <w:t>两院合一</w:t>
            </w:r>
            <w:r>
              <w:rPr>
                <w:rFonts w:hint="eastAsia" w:ascii="仿宋_GB2312" w:hAnsi="仿宋_GB2312" w:eastAsia="仿宋_GB2312" w:cs="仿宋_GB2312"/>
                <w:color w:val="auto"/>
                <w:highlight w:val="none"/>
              </w:rPr>
              <w:t>”</w:t>
            </w:r>
            <w:r>
              <w:rPr>
                <w:rFonts w:hint="eastAsia"/>
                <w:color w:val="auto"/>
                <w:highlight w:val="none"/>
              </w:rPr>
              <w:t>或毗邻建设。</w:t>
            </w:r>
          </w:p>
        </w:tc>
      </w:tr>
      <w:bookmarkEnd w:id="808"/>
    </w:tbl>
    <w:p>
      <w:pPr>
        <w:pStyle w:val="31"/>
        <w:pageBreakBefore w:val="0"/>
        <w:widowControl w:val="0"/>
        <w:kinsoku/>
        <w:wordWrap/>
        <w:overflowPunct/>
        <w:topLinePunct w:val="0"/>
        <w:autoSpaceDE/>
        <w:autoSpaceDN/>
        <w:bidi w:val="0"/>
        <w:adjustRightInd w:val="0"/>
        <w:snapToGrid w:val="0"/>
        <w:textAlignment w:val="auto"/>
        <w:rPr>
          <w:rFonts w:hint="eastAsia"/>
          <w:color w:val="auto"/>
          <w:highlight w:val="none"/>
        </w:rPr>
      </w:pPr>
      <w:bookmarkStart w:id="859" w:name="_Toc213447287"/>
      <w:bookmarkStart w:id="860" w:name="_Toc2027213953"/>
      <w:bookmarkStart w:id="861" w:name="_Toc2062483496"/>
      <w:bookmarkStart w:id="862" w:name="_Toc1040277765"/>
      <w:bookmarkStart w:id="863" w:name="_Toc353263697"/>
      <w:bookmarkStart w:id="864" w:name="_Toc211979469"/>
    </w:p>
    <w:p>
      <w:pPr>
        <w:pStyle w:val="31"/>
        <w:pageBreakBefore w:val="0"/>
        <w:widowControl w:val="0"/>
        <w:shd w:val="clear"/>
        <w:kinsoku/>
        <w:wordWrap/>
        <w:overflowPunct/>
        <w:topLinePunct w:val="0"/>
        <w:autoSpaceDE/>
        <w:autoSpaceDN/>
        <w:bidi w:val="0"/>
        <w:adjustRightInd w:val="0"/>
        <w:snapToGrid w:val="0"/>
        <w:textAlignment w:val="auto"/>
        <w:rPr>
          <w:rFonts w:hint="eastAsia"/>
          <w:color w:val="auto"/>
          <w:highlight w:val="none"/>
        </w:rPr>
      </w:pPr>
      <w:bookmarkStart w:id="865" w:name="_Toc77870548"/>
      <w:bookmarkStart w:id="866" w:name="_Toc1998669455"/>
      <w:bookmarkStart w:id="867" w:name="_Toc28269"/>
      <w:bookmarkStart w:id="868" w:name="_Toc942573904"/>
      <w:bookmarkStart w:id="869" w:name="_Toc1112751656"/>
    </w:p>
    <w:p>
      <w:pPr>
        <w:pStyle w:val="31"/>
        <w:pageBreakBefore w:val="0"/>
        <w:widowControl w:val="0"/>
        <w:shd w:val="clear"/>
        <w:kinsoku/>
        <w:wordWrap/>
        <w:overflowPunct/>
        <w:topLinePunct w:val="0"/>
        <w:autoSpaceDE/>
        <w:autoSpaceDN/>
        <w:bidi w:val="0"/>
        <w:adjustRightInd w:val="0"/>
        <w:snapToGrid w:val="0"/>
        <w:textAlignment w:val="auto"/>
        <w:rPr>
          <w:rFonts w:hint="eastAsia"/>
          <w:color w:val="auto"/>
          <w:highlight w:val="none"/>
        </w:rPr>
      </w:pPr>
    </w:p>
    <w:p>
      <w:pPr>
        <w:pStyle w:val="31"/>
        <w:pageBreakBefore w:val="0"/>
        <w:widowControl w:val="0"/>
        <w:shd w:val="clear"/>
        <w:kinsoku/>
        <w:wordWrap/>
        <w:overflowPunct/>
        <w:topLinePunct w:val="0"/>
        <w:autoSpaceDE/>
        <w:autoSpaceDN/>
        <w:bidi w:val="0"/>
        <w:adjustRightInd w:val="0"/>
        <w:snapToGrid w:val="0"/>
        <w:textAlignment w:val="auto"/>
        <w:rPr>
          <w:rFonts w:hint="eastAsia"/>
          <w:color w:val="auto"/>
          <w:highlight w:val="none"/>
        </w:rPr>
      </w:pPr>
    </w:p>
    <w:p>
      <w:pPr>
        <w:pStyle w:val="31"/>
        <w:pageBreakBefore w:val="0"/>
        <w:widowControl w:val="0"/>
        <w:shd w:val="clear"/>
        <w:kinsoku/>
        <w:wordWrap/>
        <w:overflowPunct/>
        <w:topLinePunct w:val="0"/>
        <w:autoSpaceDE/>
        <w:autoSpaceDN/>
        <w:bidi w:val="0"/>
        <w:adjustRightInd w:val="0"/>
        <w:snapToGrid w:val="0"/>
        <w:textAlignment w:val="auto"/>
        <w:rPr>
          <w:rFonts w:hint="eastAsia"/>
          <w:color w:val="auto"/>
          <w:highlight w:val="none"/>
        </w:rPr>
      </w:pPr>
    </w:p>
    <w:p>
      <w:pPr>
        <w:pStyle w:val="31"/>
        <w:pageBreakBefore w:val="0"/>
        <w:widowControl w:val="0"/>
        <w:shd w:val="clear"/>
        <w:kinsoku/>
        <w:wordWrap/>
        <w:overflowPunct/>
        <w:topLinePunct w:val="0"/>
        <w:autoSpaceDE/>
        <w:autoSpaceDN/>
        <w:bidi w:val="0"/>
        <w:adjustRightInd w:val="0"/>
        <w:snapToGrid w:val="0"/>
        <w:textAlignment w:val="auto"/>
        <w:rPr>
          <w:rFonts w:hint="eastAsia"/>
          <w:color w:val="auto"/>
          <w:highlight w:val="none"/>
        </w:rPr>
      </w:pPr>
    </w:p>
    <w:p>
      <w:pPr>
        <w:pStyle w:val="31"/>
        <w:adjustRightInd w:val="0"/>
        <w:snapToGrid w:val="0"/>
        <w:rPr>
          <w:rFonts w:hint="eastAsia"/>
          <w:color w:val="auto"/>
          <w:highlight w:val="none"/>
        </w:rPr>
      </w:pPr>
    </w:p>
    <w:p>
      <w:pPr>
        <w:pStyle w:val="31"/>
        <w:adjustRightInd w:val="0"/>
        <w:snapToGrid w:val="0"/>
        <w:rPr>
          <w:rFonts w:hint="eastAsia"/>
          <w:color w:val="auto"/>
          <w:highlight w:val="none"/>
        </w:rPr>
      </w:pPr>
    </w:p>
    <w:p>
      <w:pPr>
        <w:pStyle w:val="31"/>
        <w:pageBreakBefore w:val="0"/>
        <w:widowControl w:val="0"/>
        <w:shd w:val="clear"/>
        <w:kinsoku/>
        <w:wordWrap/>
        <w:overflowPunct/>
        <w:topLinePunct w:val="0"/>
        <w:autoSpaceDE/>
        <w:autoSpaceDN/>
        <w:bidi w:val="0"/>
        <w:adjustRightInd w:val="0"/>
        <w:snapToGrid w:val="0"/>
        <w:textAlignment w:val="auto"/>
        <w:rPr>
          <w:rFonts w:hint="eastAsia"/>
          <w:color w:val="auto"/>
          <w:highlight w:val="none"/>
        </w:rPr>
      </w:pPr>
    </w:p>
    <w:p>
      <w:pPr>
        <w:pStyle w:val="31"/>
        <w:pageBreakBefore w:val="0"/>
        <w:widowControl w:val="0"/>
        <w:shd w:val="clear"/>
        <w:kinsoku/>
        <w:wordWrap/>
        <w:overflowPunct/>
        <w:topLinePunct w:val="0"/>
        <w:autoSpaceDE/>
        <w:autoSpaceDN/>
        <w:bidi w:val="0"/>
        <w:adjustRightInd w:val="0"/>
        <w:snapToGrid w:val="0"/>
        <w:textAlignment w:val="auto"/>
        <w:rPr>
          <w:rFonts w:hint="eastAsia"/>
          <w:color w:val="auto"/>
          <w:highlight w:val="none"/>
        </w:rPr>
      </w:pPr>
    </w:p>
    <w:p>
      <w:pPr>
        <w:pStyle w:val="31"/>
        <w:pageBreakBefore w:val="0"/>
        <w:widowControl w:val="0"/>
        <w:shd w:val="clear"/>
        <w:kinsoku/>
        <w:wordWrap/>
        <w:overflowPunct/>
        <w:topLinePunct w:val="0"/>
        <w:autoSpaceDE/>
        <w:autoSpaceDN/>
        <w:bidi w:val="0"/>
        <w:adjustRightInd w:val="0"/>
        <w:snapToGrid w:val="0"/>
        <w:textAlignment w:val="auto"/>
        <w:rPr>
          <w:rFonts w:hint="eastAsia"/>
          <w:color w:val="auto"/>
          <w:highlight w:val="none"/>
        </w:rPr>
      </w:pPr>
    </w:p>
    <w:p>
      <w:pPr>
        <w:pStyle w:val="31"/>
        <w:pageBreakBefore w:val="0"/>
        <w:widowControl w:val="0"/>
        <w:shd w:val="clear"/>
        <w:kinsoku/>
        <w:wordWrap/>
        <w:overflowPunct/>
        <w:topLinePunct w:val="0"/>
        <w:autoSpaceDE/>
        <w:autoSpaceDN/>
        <w:bidi w:val="0"/>
        <w:adjustRightInd w:val="0"/>
        <w:snapToGrid w:val="0"/>
        <w:jc w:val="both"/>
        <w:textAlignment w:val="auto"/>
        <w:rPr>
          <w:rFonts w:hint="eastAsia"/>
          <w:color w:val="auto"/>
          <w:highlight w:val="none"/>
        </w:rPr>
      </w:pPr>
    </w:p>
    <w:p>
      <w:pPr>
        <w:pStyle w:val="31"/>
        <w:adjustRightInd w:val="0"/>
        <w:snapToGrid w:val="0"/>
        <w:rPr>
          <w:rFonts w:hint="eastAsia"/>
          <w:color w:val="auto"/>
          <w:highlight w:val="none"/>
        </w:rPr>
      </w:pPr>
    </w:p>
    <w:p>
      <w:pPr>
        <w:pStyle w:val="3"/>
        <w:pageBreakBefore w:val="0"/>
        <w:widowControl w:val="0"/>
        <w:shd w:val="clear"/>
        <w:kinsoku/>
        <w:wordWrap/>
        <w:overflowPunct/>
        <w:topLinePunct w:val="0"/>
        <w:autoSpaceDE/>
        <w:autoSpaceDN/>
        <w:bidi w:val="0"/>
        <w:adjustRightInd w:val="0"/>
        <w:snapToGrid w:val="0"/>
        <w:jc w:val="both"/>
        <w:textAlignment w:val="auto"/>
        <w:rPr>
          <w:rFonts w:hint="eastAsia"/>
          <w:color w:val="auto"/>
          <w:highlight w:val="none"/>
        </w:rPr>
      </w:pPr>
    </w:p>
    <w:p>
      <w:pPr>
        <w:pStyle w:val="3"/>
        <w:pageBreakBefore w:val="0"/>
        <w:widowControl w:val="0"/>
        <w:shd w:val="clear"/>
        <w:kinsoku/>
        <w:wordWrap/>
        <w:overflowPunct/>
        <w:topLinePunct w:val="0"/>
        <w:autoSpaceDE/>
        <w:autoSpaceDN/>
        <w:bidi w:val="0"/>
        <w:adjustRightInd w:val="0"/>
        <w:snapToGrid w:val="0"/>
        <w:jc w:val="center"/>
        <w:textAlignment w:val="auto"/>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sz w:val="40"/>
          <w:szCs w:val="40"/>
          <w:highlight w:val="none"/>
        </w:rPr>
        <w:t>第十三章  提升社会治理现代化水平</w:t>
      </w:r>
      <w:bookmarkEnd w:id="859"/>
      <w:bookmarkEnd w:id="860"/>
      <w:bookmarkEnd w:id="861"/>
      <w:bookmarkEnd w:id="862"/>
      <w:bookmarkEnd w:id="863"/>
      <w:bookmarkEnd w:id="865"/>
      <w:bookmarkEnd w:id="866"/>
      <w:bookmarkEnd w:id="867"/>
      <w:bookmarkEnd w:id="868"/>
      <w:bookmarkEnd w:id="869"/>
    </w:p>
    <w:p>
      <w:pPr>
        <w:pStyle w:val="31"/>
        <w:keepNext w:val="0"/>
        <w:keepLines w:val="0"/>
        <w:pageBreakBefore w:val="0"/>
        <w:widowControl w:val="0"/>
        <w:shd w:val="clear"/>
        <w:kinsoku/>
        <w:wordWrap/>
        <w:overflowPunct/>
        <w:topLinePunct w:val="0"/>
        <w:autoSpaceDE/>
        <w:autoSpaceDN/>
        <w:bidi w:val="0"/>
        <w:adjustRightInd w:val="0"/>
        <w:snapToGrid w:val="0"/>
        <w:spacing w:line="556" w:lineRule="exact"/>
        <w:textAlignment w:val="auto"/>
        <w:rPr>
          <w:rFonts w:hint="eastAsia"/>
          <w:color w:val="auto"/>
          <w:highlight w:val="none"/>
        </w:rPr>
      </w:pPr>
    </w:p>
    <w:p>
      <w:pPr>
        <w:pStyle w:val="31"/>
        <w:keepNext w:val="0"/>
        <w:keepLines w:val="0"/>
        <w:pageBreakBefore w:val="0"/>
        <w:widowControl w:val="0"/>
        <w:shd w:val="clear"/>
        <w:kinsoku/>
        <w:wordWrap/>
        <w:overflowPunct/>
        <w:topLinePunct w:val="0"/>
        <w:autoSpaceDE/>
        <w:autoSpaceDN/>
        <w:bidi w:val="0"/>
        <w:adjustRightInd w:val="0"/>
        <w:snapToGrid w:val="0"/>
        <w:spacing w:line="556" w:lineRule="exact"/>
        <w:textAlignment w:val="auto"/>
        <w:rPr>
          <w:rFonts w:hint="eastAsia"/>
          <w:color w:val="auto"/>
          <w:highlight w:val="none"/>
        </w:rPr>
      </w:pPr>
    </w:p>
    <w:p>
      <w:pPr>
        <w:pStyle w:val="31"/>
        <w:keepNext w:val="0"/>
        <w:keepLines w:val="0"/>
        <w:pageBreakBefore w:val="0"/>
        <w:widowControl w:val="0"/>
        <w:shd w:val="clear"/>
        <w:kinsoku/>
        <w:wordWrap/>
        <w:overflowPunct/>
        <w:topLinePunct w:val="0"/>
        <w:autoSpaceDE/>
        <w:autoSpaceDN/>
        <w:bidi w:val="0"/>
        <w:adjustRightInd w:val="0"/>
        <w:snapToGrid w:val="0"/>
        <w:spacing w:line="556" w:lineRule="exact"/>
        <w:textAlignment w:val="auto"/>
        <w:rPr>
          <w:color w:val="auto"/>
          <w:sz w:val="32"/>
          <w:szCs w:val="32"/>
          <w:highlight w:val="none"/>
        </w:rPr>
      </w:pPr>
      <w:r>
        <w:rPr>
          <w:rFonts w:hint="eastAsia"/>
          <w:color w:val="auto"/>
          <w:sz w:val="32"/>
          <w:szCs w:val="32"/>
          <w:highlight w:val="none"/>
        </w:rPr>
        <w:t>坚定不移贯彻总体国家安全观，统筹高质量发展和高水平安全，有效防范重点领域风险，不断提升社会治理效能，努力创建高水平开放条件下全国最安全地区。</w:t>
      </w:r>
    </w:p>
    <w:p>
      <w:pPr>
        <w:pStyle w:val="4"/>
        <w:keepNext w:val="0"/>
        <w:keepLines w:val="0"/>
        <w:pageBreakBefore w:val="0"/>
        <w:widowControl w:val="0"/>
        <w:shd w:val="clear"/>
        <w:kinsoku/>
        <w:wordWrap/>
        <w:overflowPunct/>
        <w:topLinePunct w:val="0"/>
        <w:autoSpaceDE/>
        <w:autoSpaceDN/>
        <w:bidi w:val="0"/>
        <w:adjustRightInd w:val="0"/>
        <w:snapToGrid w:val="0"/>
        <w:spacing w:line="540" w:lineRule="exact"/>
        <w:ind w:left="0" w:leftChars="0" w:firstLine="0" w:firstLineChars="0"/>
        <w:textAlignment w:val="auto"/>
        <w:rPr>
          <w:rFonts w:hint="eastAsia"/>
          <w:color w:val="auto"/>
          <w:sz w:val="32"/>
          <w:szCs w:val="32"/>
          <w:highlight w:val="none"/>
        </w:rPr>
      </w:pPr>
      <w:bookmarkStart w:id="870" w:name="_Toc1152672830"/>
      <w:bookmarkStart w:id="871" w:name="_Toc409969907"/>
      <w:bookmarkStart w:id="872" w:name="_Toc871990093"/>
      <w:bookmarkStart w:id="873" w:name="_Toc213447288"/>
      <w:bookmarkStart w:id="874" w:name="_Toc1588265420"/>
      <w:bookmarkStart w:id="875" w:name="_Toc1393431310"/>
      <w:bookmarkStart w:id="876" w:name="_Toc519248278"/>
      <w:bookmarkStart w:id="877" w:name="_Toc1535969993"/>
      <w:bookmarkStart w:id="878" w:name="_Toc1511057945"/>
      <w:bookmarkStart w:id="879" w:name="_Toc16873"/>
    </w:p>
    <w:p>
      <w:pPr>
        <w:pStyle w:val="4"/>
        <w:keepNext w:val="0"/>
        <w:keepLines w:val="0"/>
        <w:pageBreakBefore w:val="0"/>
        <w:widowControl w:val="0"/>
        <w:shd w:val="clear"/>
        <w:kinsoku/>
        <w:wordWrap/>
        <w:overflowPunct/>
        <w:topLinePunct w:val="0"/>
        <w:autoSpaceDE/>
        <w:autoSpaceDN/>
        <w:bidi w:val="0"/>
        <w:adjustRightInd w:val="0"/>
        <w:snapToGrid w:val="0"/>
        <w:spacing w:line="540" w:lineRule="exact"/>
        <w:ind w:left="0" w:leftChars="0" w:firstLine="0" w:firstLineChars="0"/>
        <w:jc w:val="center"/>
        <w:textAlignment w:val="auto"/>
        <w:rPr>
          <w:rFonts w:hint="eastAsia" w:ascii="黑体" w:hAnsi="黑体" w:eastAsia="黑体" w:cs="黑体"/>
          <w:b w:val="0"/>
          <w:bCs/>
          <w:i w:val="0"/>
          <w:iCs w:val="0"/>
          <w:color w:val="auto"/>
          <w:sz w:val="32"/>
          <w:szCs w:val="32"/>
          <w:highlight w:val="none"/>
        </w:rPr>
      </w:pPr>
      <w:r>
        <w:rPr>
          <w:rFonts w:hint="eastAsia" w:ascii="黑体" w:hAnsi="黑体" w:eastAsia="黑体" w:cs="黑体"/>
          <w:b w:val="0"/>
          <w:bCs/>
          <w:i w:val="0"/>
          <w:iCs w:val="0"/>
          <w:color w:val="auto"/>
          <w:sz w:val="32"/>
          <w:szCs w:val="32"/>
          <w:highlight w:val="none"/>
        </w:rPr>
        <w:t>第一节  完善社会治理体系</w:t>
      </w:r>
      <w:bookmarkEnd w:id="870"/>
      <w:bookmarkEnd w:id="871"/>
      <w:bookmarkEnd w:id="872"/>
      <w:bookmarkEnd w:id="873"/>
      <w:bookmarkEnd w:id="874"/>
      <w:bookmarkEnd w:id="875"/>
      <w:bookmarkEnd w:id="876"/>
      <w:bookmarkEnd w:id="877"/>
      <w:bookmarkEnd w:id="878"/>
      <w:bookmarkEnd w:id="879"/>
    </w:p>
    <w:p>
      <w:pPr>
        <w:pStyle w:val="31"/>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color w:val="auto"/>
          <w:sz w:val="32"/>
          <w:szCs w:val="32"/>
          <w:highlight w:val="none"/>
        </w:rPr>
      </w:pPr>
    </w:p>
    <w:p>
      <w:pPr>
        <w:pStyle w:val="31"/>
        <w:keepNext w:val="0"/>
        <w:keepLines w:val="0"/>
        <w:pageBreakBefore w:val="0"/>
        <w:widowControl w:val="0"/>
        <w:kinsoku/>
        <w:wordWrap/>
        <w:overflowPunct/>
        <w:topLinePunct w:val="0"/>
        <w:autoSpaceDE/>
        <w:autoSpaceDN/>
        <w:bidi w:val="0"/>
        <w:adjustRightInd w:val="0"/>
        <w:snapToGrid w:val="0"/>
        <w:spacing w:line="556" w:lineRule="exact"/>
        <w:textAlignment w:val="auto"/>
        <w:rPr>
          <w:rFonts w:hint="eastAsia"/>
          <w:color w:val="auto"/>
          <w:sz w:val="32"/>
          <w:szCs w:val="32"/>
          <w:highlight w:val="none"/>
        </w:rPr>
      </w:pPr>
      <w:r>
        <w:rPr>
          <w:rFonts w:hint="eastAsia"/>
          <w:b/>
          <w:bCs/>
          <w:color w:val="auto"/>
          <w:sz w:val="32"/>
          <w:szCs w:val="32"/>
          <w:highlight w:val="none"/>
        </w:rPr>
        <w:t>完善共建共治共享的社会治理制度。</w:t>
      </w:r>
      <w:r>
        <w:rPr>
          <w:rFonts w:hint="eastAsia"/>
          <w:color w:val="auto"/>
          <w:sz w:val="32"/>
          <w:szCs w:val="32"/>
          <w:highlight w:val="none"/>
        </w:rPr>
        <w:t>坚持系统治理、依法治理、综合治理、源头治理，全力推进社会治理体系和治理能力现代化。健全社会工作体制机制，强化社会工作者队伍建设。加强社会组织培育管理，引导和支持社会组织主动在服</w:t>
      </w:r>
      <w:r>
        <w:rPr>
          <w:rFonts w:hint="eastAsia"/>
          <w:color w:val="auto"/>
          <w:sz w:val="32"/>
          <w:szCs w:val="32"/>
          <w:highlight w:val="none"/>
          <w:u w:val="none"/>
        </w:rPr>
        <w:t>务国家战略、基层治理等方面发挥作用，推动行业协会商会改革发展</w:t>
      </w:r>
      <w:r>
        <w:rPr>
          <w:rFonts w:hint="eastAsia"/>
          <w:color w:val="auto"/>
          <w:sz w:val="32"/>
          <w:szCs w:val="32"/>
          <w:highlight w:val="none"/>
          <w:u w:val="none"/>
          <w:lang w:eastAsia="zh-CN"/>
        </w:rPr>
        <w:t>，</w:t>
      </w:r>
      <w:r>
        <w:rPr>
          <w:rFonts w:hint="eastAsia"/>
          <w:strike w:val="0"/>
          <w:dstrike w:val="0"/>
          <w:color w:val="auto"/>
          <w:sz w:val="32"/>
          <w:szCs w:val="32"/>
          <w:highlight w:val="none"/>
          <w:u w:val="none"/>
          <w:lang w:val="en-US" w:eastAsia="zh-CN"/>
        </w:rPr>
        <w:t>推进产业联合会建设</w:t>
      </w:r>
      <w:r>
        <w:rPr>
          <w:rFonts w:hint="eastAsia"/>
          <w:color w:val="auto"/>
          <w:sz w:val="32"/>
          <w:szCs w:val="32"/>
          <w:highlight w:val="none"/>
          <w:u w:val="none"/>
        </w:rPr>
        <w:t>。</w:t>
      </w:r>
      <w:r>
        <w:rPr>
          <w:rFonts w:hint="eastAsia" w:ascii="仿宋_GB2312" w:hAnsi="仿宋_GB2312" w:eastAsia="仿宋_GB2312" w:cs="仿宋_GB2312"/>
          <w:color w:val="auto"/>
          <w:sz w:val="32"/>
          <w:szCs w:val="32"/>
          <w:highlight w:val="none"/>
          <w:u w:val="none"/>
          <w:lang w:eastAsia="zh-CN"/>
        </w:rPr>
        <w:t>健全村（社区）工作事项准入制度</w:t>
      </w:r>
      <w:r>
        <w:rPr>
          <w:rFonts w:hint="eastAsia"/>
          <w:color w:val="auto"/>
          <w:sz w:val="32"/>
          <w:szCs w:val="32"/>
          <w:highlight w:val="none"/>
          <w:u w:val="none"/>
        </w:rPr>
        <w:t>。</w:t>
      </w:r>
      <w:r>
        <w:rPr>
          <w:rFonts w:hint="eastAsia"/>
          <w:color w:val="auto"/>
          <w:sz w:val="32"/>
          <w:szCs w:val="32"/>
          <w:highlight w:val="none"/>
        </w:rPr>
        <w:t>加强“村改居”社区服务管理和居民权益保障。加强党建引领基层治理，深化基层党建网格化管理模式</w:t>
      </w:r>
      <w:r>
        <w:rPr>
          <w:rFonts w:hint="eastAsia"/>
          <w:color w:val="auto"/>
          <w:sz w:val="32"/>
          <w:szCs w:val="32"/>
          <w:highlight w:val="none"/>
          <w:lang w:eastAsia="zh-CN"/>
        </w:rPr>
        <w:t>，</w:t>
      </w:r>
      <w:r>
        <w:rPr>
          <w:rFonts w:hint="eastAsia"/>
          <w:color w:val="auto"/>
          <w:sz w:val="32"/>
          <w:szCs w:val="32"/>
          <w:highlight w:val="none"/>
        </w:rPr>
        <w:t>优化基层</w:t>
      </w:r>
      <w:r>
        <w:rPr>
          <w:rFonts w:hint="eastAsia"/>
          <w:color w:val="auto"/>
          <w:sz w:val="32"/>
          <w:szCs w:val="32"/>
          <w:highlight w:val="none"/>
          <w:lang w:eastAsia="zh-CN"/>
        </w:rPr>
        <w:t>网格</w:t>
      </w:r>
      <w:r>
        <w:rPr>
          <w:rFonts w:hint="eastAsia"/>
          <w:color w:val="auto"/>
          <w:sz w:val="32"/>
          <w:szCs w:val="32"/>
          <w:highlight w:val="none"/>
        </w:rPr>
        <w:t>治理单元</w:t>
      </w:r>
      <w:r>
        <w:rPr>
          <w:rFonts w:hint="eastAsia"/>
          <w:color w:val="auto"/>
          <w:sz w:val="32"/>
          <w:szCs w:val="32"/>
          <w:highlight w:val="none"/>
          <w:lang w:eastAsia="zh-CN"/>
        </w:rPr>
        <w:t>，</w:t>
      </w:r>
      <w:r>
        <w:rPr>
          <w:rFonts w:hint="eastAsia"/>
          <w:color w:val="auto"/>
          <w:sz w:val="32"/>
          <w:szCs w:val="32"/>
          <w:highlight w:val="none"/>
        </w:rPr>
        <w:t>加快推进“11431”基层治理体系建设</w:t>
      </w:r>
      <w:r>
        <w:rPr>
          <w:rFonts w:hint="eastAsia"/>
          <w:color w:val="auto"/>
          <w:sz w:val="32"/>
          <w:szCs w:val="32"/>
          <w:highlight w:val="none"/>
          <w:lang w:eastAsia="zh-CN"/>
        </w:rPr>
        <w:t>。</w:t>
      </w:r>
      <w:r>
        <w:rPr>
          <w:rFonts w:hint="eastAsia"/>
          <w:color w:val="auto"/>
          <w:sz w:val="32"/>
          <w:szCs w:val="32"/>
          <w:highlight w:val="none"/>
        </w:rPr>
        <w:t>着力健全基层治理体制机制，分类分层分阶段推进基层便民服务站职能和布局优化调整，依法向基层放权赋能。</w:t>
      </w:r>
      <w:r>
        <w:rPr>
          <w:rFonts w:hint="eastAsia"/>
          <w:color w:val="auto"/>
          <w:sz w:val="32"/>
          <w:szCs w:val="32"/>
          <w:highlight w:val="none"/>
          <w:lang w:eastAsia="zh-CN"/>
        </w:rPr>
        <w:t>着力</w:t>
      </w:r>
      <w:r>
        <w:rPr>
          <w:rFonts w:hint="eastAsia"/>
          <w:color w:val="auto"/>
          <w:sz w:val="32"/>
          <w:szCs w:val="32"/>
          <w:highlight w:val="none"/>
        </w:rPr>
        <w:t>构建互嵌式社会结构和社区环境，促进各民族交往交流交融。</w:t>
      </w:r>
    </w:p>
    <w:p>
      <w:pPr>
        <w:pStyle w:val="31"/>
        <w:keepNext w:val="0"/>
        <w:keepLines w:val="0"/>
        <w:pageBreakBefore w:val="0"/>
        <w:widowControl w:val="0"/>
        <w:kinsoku/>
        <w:wordWrap/>
        <w:overflowPunct/>
        <w:topLinePunct w:val="0"/>
        <w:autoSpaceDE/>
        <w:autoSpaceDN/>
        <w:bidi w:val="0"/>
        <w:adjustRightInd w:val="0"/>
        <w:snapToGrid w:val="0"/>
        <w:spacing w:line="556" w:lineRule="exact"/>
        <w:textAlignment w:val="auto"/>
        <w:rPr>
          <w:rFonts w:hint="eastAsia"/>
          <w:color w:val="auto"/>
          <w:sz w:val="32"/>
          <w:szCs w:val="32"/>
          <w:highlight w:val="none"/>
        </w:rPr>
      </w:pPr>
      <w:r>
        <w:rPr>
          <w:rFonts w:hint="eastAsia"/>
          <w:b/>
          <w:bCs/>
          <w:color w:val="auto"/>
          <w:sz w:val="32"/>
          <w:szCs w:val="32"/>
          <w:highlight w:val="none"/>
        </w:rPr>
        <w:t>提升新兴领域治理能力。</w:t>
      </w:r>
      <w:r>
        <w:rPr>
          <w:rFonts w:hint="eastAsia"/>
          <w:color w:val="auto"/>
          <w:sz w:val="32"/>
          <w:szCs w:val="32"/>
          <w:highlight w:val="none"/>
        </w:rPr>
        <w:t>加强新经济组织、新社会组织、新就业群体党的建设，改进各类社会群体服务管理。提升非公有制企业党的建设工作质量，加强对混合所有制企业党建工作的分类指导，健全商圈楼宇和园区党建体制。扩大新就业群体党的组织覆盖和工作覆盖，加强新就业群体服务管理和关心关爱。</w:t>
      </w:r>
    </w:p>
    <w:p>
      <w:pPr>
        <w:pStyle w:val="31"/>
        <w:keepNext w:val="0"/>
        <w:keepLines w:val="0"/>
        <w:pageBreakBefore w:val="0"/>
        <w:widowControl w:val="0"/>
        <w:kinsoku/>
        <w:wordWrap/>
        <w:overflowPunct/>
        <w:topLinePunct w:val="0"/>
        <w:autoSpaceDE/>
        <w:autoSpaceDN/>
        <w:bidi w:val="0"/>
        <w:adjustRightInd w:val="0"/>
        <w:snapToGrid w:val="0"/>
        <w:spacing w:line="580" w:lineRule="exact"/>
        <w:textAlignment w:val="auto"/>
        <w:rPr>
          <w:color w:val="auto"/>
          <w:sz w:val="32"/>
          <w:szCs w:val="32"/>
          <w:highlight w:val="none"/>
        </w:rPr>
      </w:pPr>
      <w:r>
        <w:rPr>
          <w:rFonts w:hint="eastAsia"/>
          <w:b/>
          <w:bCs/>
          <w:color w:val="auto"/>
          <w:sz w:val="32"/>
          <w:szCs w:val="32"/>
          <w:highlight w:val="none"/>
        </w:rPr>
        <w:t>健全凝聚服务群众工作机制</w:t>
      </w:r>
      <w:r>
        <w:rPr>
          <w:b/>
          <w:bCs/>
          <w:color w:val="auto"/>
          <w:sz w:val="32"/>
          <w:szCs w:val="32"/>
          <w:highlight w:val="none"/>
        </w:rPr>
        <w:t>。</w:t>
      </w:r>
      <w:r>
        <w:rPr>
          <w:rFonts w:hint="eastAsia"/>
          <w:color w:val="auto"/>
          <w:sz w:val="32"/>
          <w:szCs w:val="32"/>
          <w:highlight w:val="none"/>
        </w:rPr>
        <w:t>加强思想政治引领</w:t>
      </w:r>
      <w:r>
        <w:rPr>
          <w:rFonts w:hint="eastAsia"/>
          <w:color w:val="auto"/>
          <w:sz w:val="32"/>
          <w:szCs w:val="32"/>
          <w:highlight w:val="none"/>
          <w:u w:val="none"/>
        </w:rPr>
        <w:t>，</w:t>
      </w:r>
      <w:r>
        <w:rPr>
          <w:rFonts w:hint="eastAsia"/>
          <w:color w:val="auto"/>
          <w:sz w:val="32"/>
          <w:szCs w:val="32"/>
          <w:highlight w:val="none"/>
          <w:u w:val="none"/>
          <w:lang w:val="en-US" w:eastAsia="zh-CN"/>
        </w:rPr>
        <w:t>夯实社会治理群众基础，引导各方有序参与社会治理，</w:t>
      </w:r>
      <w:r>
        <w:rPr>
          <w:rFonts w:hint="eastAsia"/>
          <w:color w:val="auto"/>
          <w:sz w:val="32"/>
          <w:szCs w:val="32"/>
          <w:highlight w:val="none"/>
        </w:rPr>
        <w:t>改进各类社会群体服务管理，健全利益关系协调、合法权益保障制度，关心关爱困难、弱势群体。</w:t>
      </w:r>
      <w:r>
        <w:rPr>
          <w:color w:val="auto"/>
          <w:sz w:val="32"/>
          <w:szCs w:val="32"/>
          <w:highlight w:val="none"/>
        </w:rPr>
        <w:t>一体化推动市级综治中心建设</w:t>
      </w:r>
      <w:r>
        <w:rPr>
          <w:rFonts w:hint="eastAsia"/>
          <w:color w:val="auto"/>
          <w:sz w:val="32"/>
          <w:szCs w:val="32"/>
          <w:highlight w:val="none"/>
        </w:rPr>
        <w:t>，</w:t>
      </w:r>
      <w:r>
        <w:rPr>
          <w:color w:val="auto"/>
          <w:sz w:val="32"/>
          <w:szCs w:val="32"/>
          <w:highlight w:val="none"/>
        </w:rPr>
        <w:t>规范化建设区级综治中心。坚持和发展新时代</w:t>
      </w:r>
      <w:r>
        <w:rPr>
          <w:rFonts w:hint="eastAsia" w:ascii="仿宋_GB2312" w:hAnsi="仿宋_GB2312" w:eastAsia="仿宋_GB2312" w:cs="仿宋_GB2312"/>
          <w:color w:val="auto"/>
          <w:sz w:val="32"/>
          <w:szCs w:val="32"/>
          <w:highlight w:val="none"/>
        </w:rPr>
        <w:t>“</w:t>
      </w:r>
      <w:r>
        <w:rPr>
          <w:color w:val="auto"/>
          <w:sz w:val="32"/>
          <w:szCs w:val="32"/>
          <w:highlight w:val="none"/>
        </w:rPr>
        <w:t>枫桥经验</w:t>
      </w:r>
      <w:r>
        <w:rPr>
          <w:rFonts w:hint="eastAsia" w:ascii="仿宋_GB2312" w:hAnsi="仿宋_GB2312" w:eastAsia="仿宋_GB2312" w:cs="仿宋_GB2312"/>
          <w:color w:val="auto"/>
          <w:sz w:val="32"/>
          <w:szCs w:val="32"/>
          <w:highlight w:val="none"/>
        </w:rPr>
        <w:t>”</w:t>
      </w:r>
      <w:r>
        <w:rPr>
          <w:color w:val="auto"/>
          <w:sz w:val="32"/>
          <w:szCs w:val="32"/>
          <w:highlight w:val="none"/>
        </w:rPr>
        <w:t>，加强基层调解组织力量，</w:t>
      </w:r>
      <w:r>
        <w:rPr>
          <w:rFonts w:hint="eastAsia"/>
          <w:color w:val="auto"/>
          <w:sz w:val="32"/>
          <w:szCs w:val="32"/>
          <w:highlight w:val="none"/>
        </w:rPr>
        <w:t>健全社会心理服务体系和危机干预机制，</w:t>
      </w:r>
      <w:r>
        <w:rPr>
          <w:color w:val="auto"/>
          <w:sz w:val="32"/>
          <w:szCs w:val="32"/>
          <w:highlight w:val="none"/>
        </w:rPr>
        <w:t>推创专业性行业性</w:t>
      </w:r>
      <w:r>
        <w:rPr>
          <w:rFonts w:hint="eastAsia"/>
          <w:color w:val="auto"/>
          <w:sz w:val="32"/>
          <w:szCs w:val="32"/>
          <w:highlight w:val="none"/>
          <w:lang w:eastAsia="zh-CN"/>
        </w:rPr>
        <w:t>调解</w:t>
      </w:r>
      <w:r>
        <w:rPr>
          <w:color w:val="auto"/>
          <w:sz w:val="32"/>
          <w:szCs w:val="32"/>
          <w:highlight w:val="none"/>
        </w:rPr>
        <w:t>新机制和品牌调解室。</w:t>
      </w:r>
      <w:r>
        <w:rPr>
          <w:rFonts w:hint="eastAsia"/>
          <w:color w:val="auto"/>
          <w:sz w:val="32"/>
          <w:szCs w:val="32"/>
          <w:highlight w:val="none"/>
        </w:rPr>
        <w:t>强化市民</w:t>
      </w:r>
      <w:r>
        <w:rPr>
          <w:rFonts w:hint="eastAsia"/>
          <w:color w:val="auto"/>
          <w:sz w:val="32"/>
          <w:szCs w:val="32"/>
          <w:highlight w:val="none"/>
          <w:lang w:eastAsia="zh-CN"/>
        </w:rPr>
        <w:t>游客</w:t>
      </w:r>
      <w:r>
        <w:rPr>
          <w:rFonts w:hint="eastAsia"/>
          <w:color w:val="auto"/>
          <w:sz w:val="32"/>
          <w:szCs w:val="32"/>
          <w:highlight w:val="none"/>
        </w:rPr>
        <w:t>热线等公共服务平台功能，推动</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民有所呼、我有所应</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w:t>
      </w:r>
      <w:r>
        <w:rPr>
          <w:rFonts w:hint="eastAsia"/>
          <w:color w:val="auto"/>
          <w:sz w:val="32"/>
          <w:szCs w:val="32"/>
          <w:highlight w:val="none"/>
          <w:lang w:eastAsia="zh-CN"/>
        </w:rPr>
        <w:t>发展志愿服务，加强志愿服务组织管理。</w:t>
      </w:r>
      <w:r>
        <w:rPr>
          <w:rFonts w:hint="eastAsia"/>
          <w:color w:val="auto"/>
          <w:sz w:val="32"/>
          <w:szCs w:val="32"/>
          <w:highlight w:val="none"/>
        </w:rPr>
        <w:t>加强和改进人民信访工作，聚焦重点领域信访问题和积案化解，深化</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领导包案、反向审视</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工作，提升信访</w:t>
      </w:r>
      <w:r>
        <w:rPr>
          <w:color w:val="auto"/>
          <w:sz w:val="32"/>
          <w:szCs w:val="32"/>
          <w:highlight w:val="none"/>
        </w:rPr>
        <w:t>工作</w:t>
      </w:r>
      <w:r>
        <w:rPr>
          <w:rFonts w:hint="eastAsia"/>
          <w:color w:val="auto"/>
          <w:sz w:val="32"/>
          <w:szCs w:val="32"/>
          <w:highlight w:val="none"/>
        </w:rPr>
        <w:t>规范化、法治化水平。</w:t>
      </w:r>
    </w:p>
    <w:p>
      <w:pPr>
        <w:pStyle w:val="31"/>
        <w:keepNext w:val="0"/>
        <w:keepLines w:val="0"/>
        <w:pageBreakBefore w:val="0"/>
        <w:widowControl w:val="0"/>
        <w:kinsoku/>
        <w:wordWrap/>
        <w:overflowPunct/>
        <w:topLinePunct w:val="0"/>
        <w:autoSpaceDE/>
        <w:autoSpaceDN/>
        <w:bidi w:val="0"/>
        <w:adjustRightInd w:val="0"/>
        <w:snapToGrid w:val="0"/>
        <w:spacing w:line="580" w:lineRule="exact"/>
        <w:textAlignment w:val="auto"/>
        <w:rPr>
          <w:rFonts w:hint="eastAsia"/>
          <w:color w:val="auto"/>
          <w:sz w:val="32"/>
          <w:szCs w:val="32"/>
          <w:highlight w:val="none"/>
        </w:rPr>
      </w:pPr>
      <w:bookmarkStart w:id="880" w:name="OLE_LINK12"/>
      <w:r>
        <w:rPr>
          <w:rFonts w:hint="eastAsia"/>
          <w:b/>
          <w:bCs/>
          <w:color w:val="auto"/>
          <w:sz w:val="32"/>
          <w:szCs w:val="32"/>
          <w:highlight w:val="none"/>
        </w:rPr>
        <w:t>推动社会治理数字化建设</w:t>
      </w:r>
      <w:bookmarkEnd w:id="880"/>
      <w:r>
        <w:rPr>
          <w:rFonts w:hint="eastAsia"/>
          <w:b/>
          <w:bCs/>
          <w:color w:val="auto"/>
          <w:sz w:val="32"/>
          <w:szCs w:val="32"/>
          <w:highlight w:val="none"/>
        </w:rPr>
        <w:t>。</w:t>
      </w:r>
      <w:r>
        <w:rPr>
          <w:rFonts w:hint="eastAsia"/>
          <w:color w:val="auto"/>
          <w:sz w:val="32"/>
          <w:szCs w:val="32"/>
          <w:highlight w:val="none"/>
        </w:rPr>
        <w:t>提高社会治理智能化水平，推动数字技术赋能基层治理现代化，提升数字化服务水平，推进网上网下协同治理。健全基层治理数字化基础设施，完善各区城市综合指挥平台功能应用，提高数据信息采集的精度、广度、速度。充分运用人工智能、大数据、区块链等新兴技术，聚焦事关群众切身利益的民生问题，</w:t>
      </w:r>
      <w:r>
        <w:rPr>
          <w:rFonts w:hint="eastAsia"/>
          <w:color w:val="auto"/>
          <w:sz w:val="32"/>
          <w:szCs w:val="32"/>
          <w:highlight w:val="none"/>
          <w:lang w:eastAsia="zh-CN"/>
        </w:rPr>
        <w:t>通过</w:t>
      </w:r>
      <w:r>
        <w:rPr>
          <w:rFonts w:hint="eastAsia"/>
          <w:color w:val="auto"/>
          <w:sz w:val="32"/>
          <w:szCs w:val="32"/>
          <w:highlight w:val="none"/>
        </w:rPr>
        <w:t>新算法、新模型</w:t>
      </w:r>
      <w:r>
        <w:rPr>
          <w:rFonts w:hint="eastAsia"/>
          <w:color w:val="auto"/>
          <w:sz w:val="32"/>
          <w:szCs w:val="32"/>
          <w:highlight w:val="none"/>
          <w:lang w:eastAsia="zh-CN"/>
        </w:rPr>
        <w:t>推动</w:t>
      </w:r>
      <w:r>
        <w:rPr>
          <w:rFonts w:hint="eastAsia"/>
          <w:color w:val="auto"/>
          <w:sz w:val="32"/>
          <w:szCs w:val="32"/>
          <w:highlight w:val="none"/>
        </w:rPr>
        <w:t>基层治理实现精细化</w:t>
      </w:r>
      <w:r>
        <w:rPr>
          <w:color w:val="auto"/>
          <w:sz w:val="32"/>
          <w:szCs w:val="32"/>
          <w:highlight w:val="none"/>
        </w:rPr>
        <w:t>、</w:t>
      </w:r>
      <w:r>
        <w:rPr>
          <w:rFonts w:hint="eastAsia"/>
          <w:color w:val="auto"/>
          <w:sz w:val="32"/>
          <w:szCs w:val="32"/>
          <w:highlight w:val="none"/>
        </w:rPr>
        <w:t>智慧化。</w:t>
      </w:r>
    </w:p>
    <w:p>
      <w:pPr>
        <w:pStyle w:val="31"/>
        <w:keepNext w:val="0"/>
        <w:keepLines w:val="0"/>
        <w:pageBreakBefore w:val="0"/>
        <w:widowControl w:val="0"/>
        <w:kinsoku/>
        <w:wordWrap/>
        <w:overflowPunct/>
        <w:topLinePunct w:val="0"/>
        <w:autoSpaceDE/>
        <w:autoSpaceDN/>
        <w:bidi w:val="0"/>
        <w:adjustRightInd w:val="0"/>
        <w:snapToGrid w:val="0"/>
        <w:spacing w:line="556" w:lineRule="exact"/>
        <w:textAlignment w:val="auto"/>
        <w:rPr>
          <w:rFonts w:hint="eastAsia"/>
          <w:color w:val="auto"/>
          <w:sz w:val="32"/>
          <w:szCs w:val="32"/>
          <w:highlight w:val="none"/>
        </w:rPr>
      </w:pPr>
      <w:r>
        <w:rPr>
          <w:rFonts w:hint="eastAsia"/>
          <w:b/>
          <w:bCs/>
          <w:color w:val="auto"/>
          <w:sz w:val="32"/>
          <w:szCs w:val="32"/>
          <w:highlight w:val="none"/>
          <w:lang w:eastAsia="zh-CN"/>
        </w:rPr>
        <w:t>发展全过程人民民主。</w:t>
      </w:r>
      <w:r>
        <w:rPr>
          <w:rFonts w:hint="eastAsia"/>
          <w:color w:val="auto"/>
          <w:sz w:val="32"/>
          <w:szCs w:val="32"/>
          <w:highlight w:val="none"/>
        </w:rPr>
        <w:t>坚持好、完善好、运行好人民代表大会制度，推动人大监督和其他各类监督贯通协调，加强对</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一府、一委、两院</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依法履职监督。坚持和完善中国共产党领导的多党合作和政治协商制度，完善政党协商机制、拓宽政党协商渠道，发挥人民政协作为专门协商机构作用，健全协商议政成果采纳、落实、转化及跟进督促、及时反馈的常态化机制。更好发挥工会、共青团、妇联等群团组织联系服务群众的桥梁纽带作用，动员全市</w:t>
      </w:r>
      <w:r>
        <w:rPr>
          <w:rFonts w:hint="eastAsia"/>
          <w:color w:val="auto"/>
          <w:sz w:val="32"/>
          <w:szCs w:val="32"/>
          <w:highlight w:val="none"/>
          <w:lang w:eastAsia="zh-CN"/>
        </w:rPr>
        <w:t>干部</w:t>
      </w:r>
      <w:r>
        <w:rPr>
          <w:rFonts w:hint="eastAsia"/>
          <w:color w:val="auto"/>
          <w:sz w:val="32"/>
          <w:szCs w:val="32"/>
          <w:highlight w:val="none"/>
        </w:rPr>
        <w:t>群众投身</w:t>
      </w:r>
      <w:r>
        <w:rPr>
          <w:rFonts w:hint="eastAsia"/>
          <w:color w:val="auto"/>
          <w:sz w:val="32"/>
          <w:szCs w:val="32"/>
          <w:highlight w:val="none"/>
          <w:lang w:eastAsia="zh-CN"/>
        </w:rPr>
        <w:t>到</w:t>
      </w:r>
      <w:r>
        <w:rPr>
          <w:rFonts w:hint="eastAsia"/>
          <w:color w:val="auto"/>
          <w:sz w:val="32"/>
          <w:szCs w:val="32"/>
          <w:highlight w:val="none"/>
        </w:rPr>
        <w:t>推动海南自由贸易港建设和三亚高质量发展</w:t>
      </w:r>
      <w:r>
        <w:rPr>
          <w:rFonts w:hint="eastAsia"/>
          <w:color w:val="auto"/>
          <w:sz w:val="32"/>
          <w:szCs w:val="32"/>
          <w:highlight w:val="none"/>
          <w:lang w:eastAsia="zh-CN"/>
        </w:rPr>
        <w:t>工作中</w:t>
      </w:r>
      <w:r>
        <w:rPr>
          <w:rFonts w:hint="eastAsia"/>
          <w:color w:val="auto"/>
          <w:sz w:val="32"/>
          <w:szCs w:val="32"/>
          <w:highlight w:val="none"/>
        </w:rPr>
        <w:t>。完善大统战工作格局，落实中国新型政党制度，全面推进中华民族共同体建设，系统推进我国宗教中国化</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三亚实践</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。加强党外知识分子、新的社会阶层人士统战工作，促进民营经济</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两个健康</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，完善港澳台和侨务工作机制。</w:t>
      </w:r>
      <w:bookmarkStart w:id="881" w:name="_Toc2122918565"/>
      <w:bookmarkStart w:id="882" w:name="_Toc1825375986"/>
      <w:bookmarkStart w:id="883" w:name="_Toc18198"/>
      <w:bookmarkStart w:id="884" w:name="_Toc1782590981"/>
      <w:bookmarkStart w:id="885" w:name="_Toc469770189"/>
      <w:bookmarkStart w:id="886" w:name="_Toc1605607756"/>
      <w:bookmarkStart w:id="887" w:name="_Toc1726230422"/>
      <w:bookmarkStart w:id="888" w:name="_Toc811104362"/>
      <w:bookmarkStart w:id="889" w:name="_Toc213447289"/>
      <w:bookmarkStart w:id="890" w:name="_Toc211979466"/>
      <w:bookmarkStart w:id="891" w:name="_Toc2102886900"/>
      <w:bookmarkStart w:id="892" w:name="_Toc1201321565"/>
      <w:r>
        <w:rPr>
          <w:rFonts w:hint="eastAsia"/>
          <w:color w:val="auto"/>
          <w:sz w:val="32"/>
          <w:szCs w:val="32"/>
          <w:highlight w:val="none"/>
        </w:rPr>
        <w:t>完善民主决策机制，充分发挥三亚智库在科学决策、民主决策中的</w:t>
      </w:r>
      <w:r>
        <w:rPr>
          <w:rFonts w:hint="eastAsia"/>
          <w:color w:val="auto"/>
          <w:sz w:val="32"/>
          <w:szCs w:val="32"/>
          <w:highlight w:val="none"/>
          <w:lang w:eastAsia="zh-CN"/>
        </w:rPr>
        <w:t>参谋</w:t>
      </w:r>
      <w:r>
        <w:rPr>
          <w:rFonts w:hint="eastAsia"/>
          <w:color w:val="auto"/>
          <w:sz w:val="32"/>
          <w:szCs w:val="32"/>
          <w:highlight w:val="none"/>
        </w:rPr>
        <w:t>作用。</w:t>
      </w:r>
    </w:p>
    <w:p>
      <w:pPr>
        <w:pStyle w:val="4"/>
        <w:keepNext w:val="0"/>
        <w:keepLines w:val="0"/>
        <w:pageBreakBefore w:val="0"/>
        <w:widowControl w:val="0"/>
        <w:shd w:val="clear"/>
        <w:kinsoku/>
        <w:wordWrap/>
        <w:overflowPunct/>
        <w:topLinePunct w:val="0"/>
        <w:autoSpaceDE/>
        <w:autoSpaceDN/>
        <w:bidi w:val="0"/>
        <w:adjustRightInd w:val="0"/>
        <w:snapToGrid w:val="0"/>
        <w:spacing w:line="556" w:lineRule="exact"/>
        <w:ind w:left="0" w:leftChars="0" w:firstLine="0" w:firstLineChars="0"/>
        <w:textAlignment w:val="auto"/>
        <w:rPr>
          <w:rFonts w:hint="eastAsia"/>
          <w:color w:val="auto"/>
          <w:sz w:val="32"/>
          <w:szCs w:val="32"/>
          <w:highlight w:val="none"/>
        </w:rPr>
      </w:pPr>
      <w:bookmarkStart w:id="893" w:name="_Toc634291577"/>
      <w:bookmarkStart w:id="894" w:name="_Toc1470269528"/>
      <w:bookmarkStart w:id="895" w:name="_Toc14958"/>
      <w:bookmarkStart w:id="896" w:name="_Toc2126656839"/>
      <w:bookmarkStart w:id="897" w:name="_Toc1761163004"/>
    </w:p>
    <w:p>
      <w:pPr>
        <w:pStyle w:val="4"/>
        <w:keepNext w:val="0"/>
        <w:keepLines w:val="0"/>
        <w:pageBreakBefore w:val="0"/>
        <w:widowControl w:val="0"/>
        <w:shd w:val="clear"/>
        <w:kinsoku/>
        <w:wordWrap/>
        <w:overflowPunct/>
        <w:topLinePunct w:val="0"/>
        <w:autoSpaceDE/>
        <w:autoSpaceDN/>
        <w:bidi w:val="0"/>
        <w:adjustRightInd w:val="0"/>
        <w:snapToGrid w:val="0"/>
        <w:spacing w:line="556"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第二节  全面推进法治三亚建设</w:t>
      </w:r>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p>
    <w:p>
      <w:pPr>
        <w:pStyle w:val="31"/>
        <w:keepNext w:val="0"/>
        <w:keepLines w:val="0"/>
        <w:pageBreakBefore w:val="0"/>
        <w:widowControl w:val="0"/>
        <w:shd w:val="clear"/>
        <w:kinsoku/>
        <w:wordWrap/>
        <w:overflowPunct/>
        <w:topLinePunct w:val="0"/>
        <w:autoSpaceDE/>
        <w:autoSpaceDN/>
        <w:bidi w:val="0"/>
        <w:adjustRightInd w:val="0"/>
        <w:snapToGrid w:val="0"/>
        <w:spacing w:line="556" w:lineRule="exact"/>
        <w:textAlignment w:val="auto"/>
        <w:rPr>
          <w:rFonts w:hint="eastAsia"/>
          <w:color w:val="auto"/>
          <w:sz w:val="32"/>
          <w:szCs w:val="32"/>
          <w:highlight w:val="none"/>
        </w:rPr>
      </w:pPr>
    </w:p>
    <w:p>
      <w:pPr>
        <w:pStyle w:val="31"/>
        <w:rPr>
          <w:rFonts w:hint="eastAsia"/>
          <w:b/>
          <w:bCs/>
          <w:color w:val="auto"/>
          <w:sz w:val="32"/>
          <w:szCs w:val="32"/>
          <w:highlight w:val="none"/>
          <w:lang w:eastAsia="zh-CN"/>
        </w:rPr>
      </w:pPr>
      <w:r>
        <w:rPr>
          <w:rFonts w:hint="eastAsia"/>
          <w:b/>
          <w:bCs/>
          <w:color w:val="auto"/>
          <w:sz w:val="32"/>
          <w:szCs w:val="32"/>
          <w:highlight w:val="none"/>
        </w:rPr>
        <w:t>统筹推进科学立法。</w:t>
      </w:r>
      <w:r>
        <w:rPr>
          <w:rFonts w:hint="eastAsia"/>
          <w:color w:val="auto"/>
          <w:sz w:val="32"/>
          <w:szCs w:val="32"/>
          <w:highlight w:val="none"/>
          <w:lang w:eastAsia="zh-CN"/>
        </w:rPr>
        <w:t>用足用好</w:t>
      </w:r>
      <w:r>
        <w:rPr>
          <w:rFonts w:hint="eastAsia"/>
          <w:color w:val="auto"/>
          <w:sz w:val="32"/>
          <w:szCs w:val="32"/>
          <w:highlight w:val="none"/>
        </w:rPr>
        <w:t>地方立法权，加强立法规划和立法审查，积极完善与自由贸易港政策相衔接的地方性法规和政府规章，谋划推进旅游、科创等重点领域法规规章的制定实施。推动制度创新成果法治化，实现从“政策红利”向“制度红利”转变。</w:t>
      </w:r>
      <w:r>
        <w:rPr>
          <w:rFonts w:hint="eastAsia"/>
          <w:color w:val="auto"/>
          <w:sz w:val="32"/>
          <w:szCs w:val="32"/>
          <w:highlight w:val="none"/>
          <w:lang w:eastAsia="zh-CN"/>
        </w:rPr>
        <w:t>建立市人民政府立法项目建议征集和研究论证机制</w:t>
      </w:r>
      <w:r>
        <w:rPr>
          <w:rFonts w:hint="eastAsia"/>
          <w:color w:val="auto"/>
          <w:sz w:val="32"/>
          <w:szCs w:val="32"/>
          <w:highlight w:val="none"/>
        </w:rPr>
        <w:t>，为立法项目征集和研究论证工作提供制度依据。</w:t>
      </w:r>
    </w:p>
    <w:p>
      <w:pPr>
        <w:pStyle w:val="31"/>
        <w:keepNext w:val="0"/>
        <w:keepLines w:val="0"/>
        <w:pageBreakBefore w:val="0"/>
        <w:widowControl w:val="0"/>
        <w:shd w:val="clear"/>
        <w:kinsoku/>
        <w:wordWrap/>
        <w:overflowPunct/>
        <w:topLinePunct w:val="0"/>
        <w:autoSpaceDE/>
        <w:autoSpaceDN/>
        <w:bidi w:val="0"/>
        <w:adjustRightInd w:val="0"/>
        <w:snapToGrid w:val="0"/>
        <w:spacing w:line="556" w:lineRule="exact"/>
        <w:textAlignment w:val="auto"/>
        <w:rPr>
          <w:rFonts w:hint="eastAsia"/>
          <w:color w:val="auto"/>
          <w:sz w:val="32"/>
          <w:szCs w:val="32"/>
          <w:highlight w:val="none"/>
        </w:rPr>
      </w:pPr>
      <w:r>
        <w:rPr>
          <w:rFonts w:hint="eastAsia"/>
          <w:b/>
          <w:bCs/>
          <w:color w:val="auto"/>
          <w:sz w:val="32"/>
          <w:szCs w:val="32"/>
          <w:highlight w:val="none"/>
          <w:lang w:eastAsia="zh-CN"/>
        </w:rPr>
        <w:t>深入</w:t>
      </w:r>
      <w:r>
        <w:rPr>
          <w:rFonts w:hint="eastAsia"/>
          <w:b/>
          <w:bCs/>
          <w:color w:val="auto"/>
          <w:sz w:val="32"/>
          <w:szCs w:val="32"/>
          <w:highlight w:val="none"/>
        </w:rPr>
        <w:t>推进依法行政。</w:t>
      </w:r>
      <w:r>
        <w:rPr>
          <w:rFonts w:hint="eastAsia"/>
          <w:color w:val="auto"/>
          <w:sz w:val="32"/>
          <w:szCs w:val="32"/>
          <w:highlight w:val="none"/>
        </w:rPr>
        <w:t>加强法治政府建设，依法全面履行政府职能，深入推进简政放权。严格落实重大行政决策程序制度，建立健全重大行政决策跟踪反馈和评估制度。依法开展行政规范性文件合法性审核和备案审查工作，加强行政规范性文件的动态监督。持续深化行政执法体制改革，严格规范公正文明执法，</w:t>
      </w:r>
      <w:r>
        <w:rPr>
          <w:color w:val="auto"/>
          <w:sz w:val="32"/>
          <w:szCs w:val="32"/>
          <w:highlight w:val="none"/>
        </w:rPr>
        <w:t>健全跨部门协同机制，推进重点领域派驻执法，</w:t>
      </w:r>
      <w:r>
        <w:rPr>
          <w:rFonts w:hint="eastAsia"/>
          <w:color w:val="auto"/>
          <w:sz w:val="32"/>
          <w:szCs w:val="32"/>
          <w:highlight w:val="none"/>
        </w:rPr>
        <w:t>健全规范涉企执法长效机制，</w:t>
      </w:r>
      <w:r>
        <w:rPr>
          <w:color w:val="auto"/>
          <w:sz w:val="32"/>
          <w:szCs w:val="32"/>
          <w:highlight w:val="none"/>
        </w:rPr>
        <w:t>持续推行包容审慎监管与智慧执法。</w:t>
      </w:r>
      <w:bookmarkStart w:id="898" w:name="OLE_LINK14"/>
      <w:r>
        <w:rPr>
          <w:rFonts w:hint="eastAsia"/>
          <w:color w:val="auto"/>
          <w:sz w:val="32"/>
          <w:szCs w:val="32"/>
          <w:highlight w:val="none"/>
        </w:rPr>
        <w:t>健全行政权力运行制约和监督体系，</w:t>
      </w:r>
      <w:bookmarkEnd w:id="898"/>
      <w:bookmarkStart w:id="899" w:name="OLE_LINK15"/>
      <w:r>
        <w:rPr>
          <w:rFonts w:hint="eastAsia"/>
          <w:color w:val="auto"/>
          <w:sz w:val="32"/>
          <w:szCs w:val="32"/>
          <w:highlight w:val="none"/>
        </w:rPr>
        <w:t>强化行政执法监督</w:t>
      </w:r>
      <w:bookmarkEnd w:id="899"/>
      <w:r>
        <w:rPr>
          <w:rFonts w:hint="eastAsia"/>
          <w:color w:val="auto"/>
          <w:sz w:val="32"/>
          <w:szCs w:val="32"/>
          <w:highlight w:val="none"/>
        </w:rPr>
        <w:t>，</w:t>
      </w:r>
      <w:bookmarkStart w:id="900" w:name="OLE_LINK16"/>
      <w:r>
        <w:rPr>
          <w:rFonts w:hint="eastAsia"/>
          <w:color w:val="auto"/>
          <w:sz w:val="32"/>
          <w:szCs w:val="32"/>
          <w:highlight w:val="none"/>
        </w:rPr>
        <w:t>推进行政处罚和刑事处罚双向衔接</w:t>
      </w:r>
      <w:bookmarkEnd w:id="900"/>
      <w:r>
        <w:rPr>
          <w:rFonts w:hint="eastAsia"/>
          <w:color w:val="auto"/>
          <w:sz w:val="32"/>
          <w:szCs w:val="32"/>
          <w:highlight w:val="none"/>
        </w:rPr>
        <w:t>。健全行政复议体制机制，强化行政复议监督效能，加强行政复议保障能力。</w:t>
      </w:r>
    </w:p>
    <w:p>
      <w:pPr>
        <w:pStyle w:val="31"/>
        <w:keepNext w:val="0"/>
        <w:keepLines w:val="0"/>
        <w:pageBreakBefore w:val="0"/>
        <w:widowControl w:val="0"/>
        <w:shd w:val="clear"/>
        <w:kinsoku/>
        <w:wordWrap/>
        <w:overflowPunct/>
        <w:topLinePunct w:val="0"/>
        <w:autoSpaceDE/>
        <w:autoSpaceDN/>
        <w:bidi w:val="0"/>
        <w:adjustRightInd w:val="0"/>
        <w:snapToGrid w:val="0"/>
        <w:spacing w:line="580" w:lineRule="exact"/>
        <w:textAlignment w:val="auto"/>
        <w:rPr>
          <w:rFonts w:hint="eastAsia"/>
          <w:color w:val="auto"/>
          <w:sz w:val="32"/>
          <w:szCs w:val="32"/>
          <w:highlight w:val="none"/>
        </w:rPr>
      </w:pPr>
      <w:r>
        <w:rPr>
          <w:b/>
          <w:bCs/>
          <w:color w:val="auto"/>
          <w:sz w:val="32"/>
          <w:szCs w:val="32"/>
          <w:highlight w:val="none"/>
        </w:rPr>
        <w:t>切实</w:t>
      </w:r>
      <w:r>
        <w:rPr>
          <w:rFonts w:hint="eastAsia"/>
          <w:b/>
          <w:bCs/>
          <w:color w:val="auto"/>
          <w:sz w:val="32"/>
          <w:szCs w:val="32"/>
          <w:highlight w:val="none"/>
        </w:rPr>
        <w:t>维护公正司法。</w:t>
      </w:r>
      <w:r>
        <w:rPr>
          <w:rFonts w:hint="eastAsia"/>
          <w:color w:val="auto"/>
          <w:sz w:val="32"/>
          <w:szCs w:val="32"/>
          <w:highlight w:val="none"/>
          <w:lang w:eastAsia="zh-CN"/>
        </w:rPr>
        <w:t>规范司法权力运行，</w:t>
      </w:r>
      <w:r>
        <w:rPr>
          <w:color w:val="auto"/>
          <w:sz w:val="32"/>
          <w:szCs w:val="32"/>
          <w:highlight w:val="none"/>
        </w:rPr>
        <w:t>健全公安机关、检察机关、审判机关、司法行政机关各司其职、相互配合、相互制约体制机制。</w:t>
      </w:r>
      <w:r>
        <w:rPr>
          <w:rFonts w:hint="eastAsia"/>
          <w:color w:val="auto"/>
          <w:sz w:val="32"/>
          <w:szCs w:val="32"/>
          <w:highlight w:val="none"/>
        </w:rPr>
        <w:t>完善审判体制机制，健全执行机制。</w:t>
      </w:r>
      <w:r>
        <w:rPr>
          <w:color w:val="auto"/>
          <w:sz w:val="32"/>
          <w:szCs w:val="32"/>
          <w:highlight w:val="none"/>
        </w:rPr>
        <w:t>全面落实司法责任制，健全司法权力运行、监督管理、履职保障机制</w:t>
      </w:r>
      <w:r>
        <w:rPr>
          <w:rFonts w:hint="eastAsia"/>
          <w:color w:val="auto"/>
          <w:sz w:val="32"/>
          <w:szCs w:val="32"/>
          <w:highlight w:val="none"/>
        </w:rPr>
        <w:t>和法官</w:t>
      </w:r>
      <w:r>
        <w:rPr>
          <w:color w:val="auto"/>
          <w:sz w:val="32"/>
          <w:szCs w:val="32"/>
          <w:highlight w:val="none"/>
        </w:rPr>
        <w:t>、检察官惩戒制度</w:t>
      </w:r>
      <w:r>
        <w:rPr>
          <w:rFonts w:hint="eastAsia"/>
          <w:color w:val="auto"/>
          <w:sz w:val="32"/>
          <w:szCs w:val="32"/>
          <w:highlight w:val="none"/>
        </w:rPr>
        <w:t>，</w:t>
      </w:r>
      <w:r>
        <w:rPr>
          <w:color w:val="auto"/>
          <w:sz w:val="32"/>
          <w:szCs w:val="32"/>
          <w:highlight w:val="none"/>
        </w:rPr>
        <w:t>推动基层法院、检察院建设。</w:t>
      </w:r>
      <w:r>
        <w:rPr>
          <w:rFonts w:hint="eastAsia"/>
          <w:color w:val="auto"/>
          <w:sz w:val="32"/>
          <w:szCs w:val="32"/>
          <w:highlight w:val="none"/>
        </w:rPr>
        <w:t>深化司法体制综合配套改</w:t>
      </w:r>
      <w:r>
        <w:rPr>
          <w:rFonts w:hint="default" w:ascii="Times New Roman" w:hAnsi="Times New Roman" w:cs="Times New Roman"/>
          <w:color w:val="auto"/>
          <w:sz w:val="32"/>
          <w:szCs w:val="32"/>
          <w:highlight w:val="none"/>
        </w:rPr>
        <w:t>革，</w:t>
      </w:r>
      <w:r>
        <w:rPr>
          <w:rFonts w:hint="default" w:ascii="Times New Roman" w:hAnsi="Times New Roman" w:cs="Times New Roman"/>
          <w:color w:val="auto"/>
          <w:sz w:val="32"/>
          <w:szCs w:val="32"/>
          <w:highlight w:val="none"/>
          <w:lang w:eastAsia="zh-CN"/>
        </w:rPr>
        <w:t>有效发挥法治督察和法律监督协同作用</w:t>
      </w:r>
      <w:r>
        <w:rPr>
          <w:rFonts w:ascii="Times New Roman" w:hAnsi="Times New Roman" w:cs="Times New Roman"/>
          <w:color w:val="auto"/>
          <w:sz w:val="32"/>
          <w:szCs w:val="32"/>
          <w:highlight w:val="none"/>
        </w:rPr>
        <w:t>，规</w:t>
      </w:r>
      <w:r>
        <w:rPr>
          <w:color w:val="auto"/>
          <w:sz w:val="32"/>
          <w:szCs w:val="32"/>
          <w:highlight w:val="none"/>
        </w:rPr>
        <w:t>范司法公开</w:t>
      </w:r>
      <w:r>
        <w:rPr>
          <w:rFonts w:hint="eastAsia"/>
          <w:color w:val="auto"/>
          <w:sz w:val="32"/>
          <w:szCs w:val="32"/>
          <w:highlight w:val="none"/>
        </w:rPr>
        <w:t>，</w:t>
      </w:r>
      <w:r>
        <w:rPr>
          <w:color w:val="auto"/>
          <w:sz w:val="32"/>
          <w:szCs w:val="32"/>
          <w:highlight w:val="none"/>
        </w:rPr>
        <w:t>完善法官检察官遴选制度，</w:t>
      </w:r>
      <w:r>
        <w:rPr>
          <w:rFonts w:hint="eastAsia"/>
          <w:color w:val="auto"/>
          <w:sz w:val="32"/>
          <w:szCs w:val="32"/>
          <w:highlight w:val="none"/>
        </w:rPr>
        <w:t>推进政法工作数字化平台建设</w:t>
      </w:r>
      <w:r>
        <w:rPr>
          <w:color w:val="auto"/>
          <w:sz w:val="32"/>
          <w:szCs w:val="32"/>
          <w:highlight w:val="none"/>
        </w:rPr>
        <w:t>。</w:t>
      </w:r>
      <w:r>
        <w:rPr>
          <w:rFonts w:hint="eastAsia"/>
          <w:color w:val="auto"/>
          <w:sz w:val="32"/>
          <w:szCs w:val="32"/>
          <w:highlight w:val="none"/>
        </w:rPr>
        <w:t>严格规范司法工作流程</w:t>
      </w:r>
      <w:r>
        <w:rPr>
          <w:color w:val="auto"/>
          <w:sz w:val="32"/>
          <w:szCs w:val="32"/>
          <w:highlight w:val="none"/>
        </w:rPr>
        <w:t>，</w:t>
      </w:r>
      <w:r>
        <w:rPr>
          <w:rFonts w:hint="eastAsia"/>
          <w:color w:val="auto"/>
          <w:sz w:val="32"/>
          <w:szCs w:val="32"/>
          <w:highlight w:val="none"/>
        </w:rPr>
        <w:t>持续优化司法服务，持续推进一站式诉讼服务体系建设。强化检察监督，加强公益诉讼。推进执法由</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治罪</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向</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治理</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转变，推动办案由事后治罪向前</w:t>
      </w:r>
      <w:r>
        <w:rPr>
          <w:rFonts w:hint="eastAsia"/>
          <w:color w:val="auto"/>
          <w:sz w:val="32"/>
          <w:szCs w:val="32"/>
          <w:highlight w:val="none"/>
          <w:lang w:eastAsia="zh-CN"/>
        </w:rPr>
        <w:t>端</w:t>
      </w:r>
      <w:r>
        <w:rPr>
          <w:rFonts w:hint="eastAsia"/>
          <w:color w:val="auto"/>
          <w:sz w:val="32"/>
          <w:szCs w:val="32"/>
          <w:highlight w:val="none"/>
        </w:rPr>
        <w:t>预防延伸。</w:t>
      </w:r>
    </w:p>
    <w:p>
      <w:pPr>
        <w:pStyle w:val="31"/>
        <w:keepNext w:val="0"/>
        <w:keepLines w:val="0"/>
        <w:pageBreakBefore w:val="0"/>
        <w:widowControl w:val="0"/>
        <w:shd w:val="clear"/>
        <w:kinsoku/>
        <w:wordWrap/>
        <w:overflowPunct/>
        <w:topLinePunct w:val="0"/>
        <w:autoSpaceDE/>
        <w:autoSpaceDN/>
        <w:bidi w:val="0"/>
        <w:adjustRightInd w:val="0"/>
        <w:snapToGrid w:val="0"/>
        <w:spacing w:line="580" w:lineRule="exact"/>
        <w:textAlignment w:val="auto"/>
        <w:rPr>
          <w:rFonts w:hint="eastAsia"/>
          <w:color w:val="auto"/>
          <w:sz w:val="32"/>
          <w:szCs w:val="32"/>
          <w:highlight w:val="none"/>
        </w:rPr>
      </w:pPr>
      <w:r>
        <w:rPr>
          <w:rFonts w:hint="eastAsia"/>
          <w:b/>
          <w:bCs/>
          <w:color w:val="auto"/>
          <w:sz w:val="32"/>
          <w:szCs w:val="32"/>
          <w:highlight w:val="none"/>
          <w:lang w:eastAsia="zh-CN"/>
        </w:rPr>
        <w:t>扎实推进全民守法</w:t>
      </w:r>
      <w:r>
        <w:rPr>
          <w:rFonts w:hint="eastAsia"/>
          <w:b/>
          <w:bCs/>
          <w:color w:val="auto"/>
          <w:sz w:val="32"/>
          <w:szCs w:val="32"/>
          <w:highlight w:val="none"/>
        </w:rPr>
        <w:t>。</w:t>
      </w:r>
      <w:r>
        <w:rPr>
          <w:rFonts w:hint="eastAsia"/>
          <w:color w:val="auto"/>
          <w:sz w:val="32"/>
          <w:szCs w:val="32"/>
          <w:highlight w:val="none"/>
        </w:rPr>
        <w:t>持续宣传海南自由贸易港法律法规。全面落实</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谁执法谁普法</w:t>
      </w:r>
      <w:r>
        <w:rPr>
          <w:rFonts w:hint="eastAsia"/>
          <w:color w:val="auto"/>
          <w:sz w:val="32"/>
          <w:szCs w:val="32"/>
          <w:highlight w:val="none"/>
          <w:lang w:eastAsia="zh-CN"/>
        </w:rPr>
        <w:t>、谁管理谁普法、谁服务谁普法</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普法责任制，完善分业、分类、分众法治宣传教育机制。不断提高普法供需匹配度，积极提供</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点单式</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定制化</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等个性化普法服务。运用依法公开审理案件、法律文书释法说理、发布解读典型案例等方式，积极推进案件中普法工作。持续增强全民法治意识</w:t>
      </w:r>
      <w:r>
        <w:rPr>
          <w:rFonts w:hint="eastAsia"/>
          <w:color w:val="auto"/>
          <w:sz w:val="32"/>
          <w:szCs w:val="32"/>
          <w:highlight w:val="none"/>
          <w:lang w:eastAsia="zh-CN"/>
        </w:rPr>
        <w:t>，提升</w:t>
      </w:r>
      <w:r>
        <w:rPr>
          <w:rFonts w:hint="eastAsia"/>
          <w:color w:val="auto"/>
          <w:sz w:val="32"/>
          <w:szCs w:val="32"/>
          <w:highlight w:val="none"/>
        </w:rPr>
        <w:t>全民法治素养。</w:t>
      </w:r>
    </w:p>
    <w:p>
      <w:pPr>
        <w:pStyle w:val="31"/>
        <w:keepNext w:val="0"/>
        <w:keepLines w:val="0"/>
        <w:pageBreakBefore w:val="0"/>
        <w:widowControl w:val="0"/>
        <w:shd w:val="clear"/>
        <w:kinsoku/>
        <w:wordWrap/>
        <w:overflowPunct/>
        <w:topLinePunct w:val="0"/>
        <w:autoSpaceDE/>
        <w:autoSpaceDN/>
        <w:bidi w:val="0"/>
        <w:adjustRightInd w:val="0"/>
        <w:snapToGrid w:val="0"/>
        <w:spacing w:line="556" w:lineRule="exact"/>
        <w:textAlignment w:val="auto"/>
        <w:rPr>
          <w:rFonts w:hint="eastAsia"/>
          <w:color w:val="auto"/>
          <w:sz w:val="32"/>
          <w:szCs w:val="32"/>
          <w:highlight w:val="none"/>
        </w:rPr>
      </w:pPr>
      <w:r>
        <w:rPr>
          <w:rFonts w:hint="eastAsia"/>
          <w:b/>
          <w:bCs/>
          <w:color w:val="auto"/>
          <w:sz w:val="32"/>
          <w:szCs w:val="32"/>
          <w:highlight w:val="none"/>
          <w:lang w:eastAsia="zh-CN"/>
        </w:rPr>
        <w:t>稳步推进</w:t>
      </w:r>
      <w:r>
        <w:rPr>
          <w:rFonts w:hint="eastAsia"/>
          <w:b/>
          <w:bCs/>
          <w:color w:val="auto"/>
          <w:sz w:val="32"/>
          <w:szCs w:val="32"/>
          <w:highlight w:val="none"/>
        </w:rPr>
        <w:t>涉外法治建设。</w:t>
      </w:r>
      <w:r>
        <w:rPr>
          <w:rFonts w:hint="eastAsia"/>
          <w:color w:val="auto"/>
          <w:sz w:val="32"/>
          <w:szCs w:val="32"/>
          <w:highlight w:val="none"/>
        </w:rPr>
        <w:t>完善涉外法治人才梯队立体化培养</w:t>
      </w:r>
      <w:r>
        <w:rPr>
          <w:rFonts w:hint="eastAsia"/>
          <w:color w:val="auto"/>
          <w:sz w:val="32"/>
          <w:szCs w:val="32"/>
          <w:highlight w:val="none"/>
          <w:lang w:eastAsia="zh-CN"/>
        </w:rPr>
        <w:t>，健全</w:t>
      </w:r>
      <w:r>
        <w:rPr>
          <w:rFonts w:hint="eastAsia"/>
          <w:color w:val="auto"/>
          <w:sz w:val="32"/>
          <w:szCs w:val="32"/>
          <w:highlight w:val="none"/>
        </w:rPr>
        <w:t>高质量涉外法律服务体系，加快三亚法务区实体平台建设，吸引一批国际国内一流的仲裁机构</w:t>
      </w:r>
      <w:r>
        <w:rPr>
          <w:rFonts w:hint="eastAsia"/>
          <w:color w:val="auto"/>
          <w:sz w:val="32"/>
          <w:szCs w:val="32"/>
          <w:highlight w:val="none"/>
          <w:lang w:eastAsia="zh-CN"/>
        </w:rPr>
        <w:t>、</w:t>
      </w:r>
      <w:r>
        <w:rPr>
          <w:rFonts w:hint="eastAsia"/>
          <w:color w:val="auto"/>
          <w:sz w:val="32"/>
          <w:szCs w:val="32"/>
          <w:highlight w:val="none"/>
        </w:rPr>
        <w:t>律师事务所及第三方法律服务机构入驻并为其提供综合性政策的支持</w:t>
      </w:r>
      <w:r>
        <w:rPr>
          <w:rFonts w:hint="eastAsia"/>
          <w:color w:val="auto"/>
          <w:sz w:val="32"/>
          <w:szCs w:val="32"/>
          <w:highlight w:val="none"/>
          <w:lang w:eastAsia="zh-CN"/>
        </w:rPr>
        <w:t>。</w:t>
      </w:r>
      <w:r>
        <w:rPr>
          <w:rFonts w:hint="eastAsia"/>
          <w:color w:val="auto"/>
          <w:sz w:val="32"/>
          <w:szCs w:val="32"/>
          <w:highlight w:val="none"/>
        </w:rPr>
        <w:t>加快域外法查明平台建设</w:t>
      </w:r>
      <w:r>
        <w:rPr>
          <w:rFonts w:hint="eastAsia"/>
          <w:color w:val="auto"/>
          <w:sz w:val="32"/>
          <w:szCs w:val="32"/>
          <w:highlight w:val="none"/>
          <w:lang w:eastAsia="zh-CN"/>
        </w:rPr>
        <w:t>，</w:t>
      </w:r>
      <w:r>
        <w:rPr>
          <w:rFonts w:hint="eastAsia"/>
          <w:color w:val="auto"/>
          <w:sz w:val="32"/>
          <w:szCs w:val="32"/>
          <w:highlight w:val="none"/>
        </w:rPr>
        <w:t>进一步完善诉调裁三位一体国际商事纠纷解决机制，全力打造国际商事纠纷解决优选地。</w:t>
      </w:r>
    </w:p>
    <w:p>
      <w:pPr>
        <w:pStyle w:val="4"/>
        <w:keepNext w:val="0"/>
        <w:keepLines w:val="0"/>
        <w:pageBreakBefore w:val="0"/>
        <w:widowControl w:val="0"/>
        <w:shd w:val="clear"/>
        <w:kinsoku/>
        <w:wordWrap/>
        <w:overflowPunct/>
        <w:topLinePunct w:val="0"/>
        <w:autoSpaceDE/>
        <w:autoSpaceDN/>
        <w:bidi w:val="0"/>
        <w:adjustRightInd w:val="0"/>
        <w:snapToGrid w:val="0"/>
        <w:spacing w:line="556" w:lineRule="exact"/>
        <w:ind w:left="0" w:leftChars="0" w:firstLine="0" w:firstLineChars="0"/>
        <w:textAlignment w:val="auto"/>
        <w:rPr>
          <w:rFonts w:hint="eastAsia"/>
          <w:color w:val="auto"/>
          <w:sz w:val="32"/>
          <w:szCs w:val="32"/>
          <w:highlight w:val="none"/>
        </w:rPr>
      </w:pPr>
      <w:bookmarkStart w:id="901" w:name="_Toc1335878770"/>
      <w:bookmarkStart w:id="902" w:name="_Toc213447290"/>
      <w:bookmarkStart w:id="903" w:name="_Toc13272509"/>
      <w:bookmarkStart w:id="904" w:name="_Toc401415765"/>
      <w:bookmarkStart w:id="905" w:name="_Toc204486262"/>
      <w:bookmarkStart w:id="906" w:name="_Toc627346646"/>
      <w:bookmarkStart w:id="907" w:name="_Toc1106778285"/>
      <w:bookmarkStart w:id="908" w:name="_Toc1307130579"/>
      <w:bookmarkStart w:id="909" w:name="_Toc32607"/>
      <w:bookmarkStart w:id="910" w:name="_Toc15441"/>
      <w:bookmarkStart w:id="911" w:name="_Toc1696851415"/>
      <w:bookmarkStart w:id="912" w:name="_Toc361589080"/>
      <w:bookmarkStart w:id="913" w:name="_Toc502383563"/>
      <w:bookmarkStart w:id="914" w:name="_Toc64312126"/>
      <w:bookmarkStart w:id="915" w:name="_Toc1561788923"/>
      <w:bookmarkStart w:id="916" w:name="_Toc211979467"/>
      <w:bookmarkStart w:id="917" w:name="_Toc1537387129"/>
    </w:p>
    <w:p>
      <w:pPr>
        <w:pStyle w:val="4"/>
        <w:keepNext w:val="0"/>
        <w:keepLines w:val="0"/>
        <w:pageBreakBefore w:val="0"/>
        <w:widowControl w:val="0"/>
        <w:shd w:val="clear"/>
        <w:kinsoku/>
        <w:wordWrap/>
        <w:overflowPunct/>
        <w:topLinePunct w:val="0"/>
        <w:autoSpaceDE/>
        <w:autoSpaceDN/>
        <w:bidi w:val="0"/>
        <w:adjustRightInd w:val="0"/>
        <w:snapToGrid w:val="0"/>
        <w:spacing w:line="556"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第三节  大力推动平安三亚建设</w:t>
      </w:r>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p>
    <w:p>
      <w:pPr>
        <w:pStyle w:val="31"/>
        <w:keepNext w:val="0"/>
        <w:keepLines w:val="0"/>
        <w:pageBreakBefore w:val="0"/>
        <w:widowControl w:val="0"/>
        <w:kinsoku/>
        <w:wordWrap/>
        <w:overflowPunct/>
        <w:topLinePunct w:val="0"/>
        <w:autoSpaceDE/>
        <w:autoSpaceDN/>
        <w:bidi w:val="0"/>
        <w:adjustRightInd w:val="0"/>
        <w:snapToGrid w:val="0"/>
        <w:spacing w:line="556" w:lineRule="exact"/>
        <w:textAlignment w:val="auto"/>
        <w:rPr>
          <w:rFonts w:hint="eastAsia"/>
          <w:color w:val="auto"/>
          <w:sz w:val="32"/>
          <w:szCs w:val="32"/>
          <w:highlight w:val="none"/>
        </w:rPr>
      </w:pPr>
    </w:p>
    <w:p>
      <w:pPr>
        <w:pStyle w:val="31"/>
        <w:keepNext w:val="0"/>
        <w:keepLines w:val="0"/>
        <w:pageBreakBefore w:val="0"/>
        <w:widowControl w:val="0"/>
        <w:kinsoku/>
        <w:wordWrap/>
        <w:overflowPunct/>
        <w:topLinePunct w:val="0"/>
        <w:autoSpaceDE/>
        <w:autoSpaceDN/>
        <w:bidi w:val="0"/>
        <w:adjustRightInd w:val="0"/>
        <w:snapToGrid w:val="0"/>
        <w:spacing w:afterLines="0" w:line="556" w:lineRule="exact"/>
        <w:textAlignment w:val="auto"/>
        <w:rPr>
          <w:color w:val="auto"/>
          <w:w w:val="97"/>
          <w:sz w:val="32"/>
          <w:szCs w:val="32"/>
          <w:highlight w:val="none"/>
        </w:rPr>
      </w:pPr>
      <w:r>
        <w:rPr>
          <w:rFonts w:hint="eastAsia"/>
          <w:b/>
          <w:bCs/>
          <w:color w:val="auto"/>
          <w:w w:val="97"/>
          <w:sz w:val="32"/>
          <w:szCs w:val="32"/>
          <w:highlight w:val="none"/>
        </w:rPr>
        <w:t>积极开展全国最安全地区创建。</w:t>
      </w:r>
      <w:r>
        <w:rPr>
          <w:rFonts w:hint="eastAsia"/>
          <w:color w:val="auto"/>
          <w:w w:val="97"/>
          <w:sz w:val="32"/>
          <w:szCs w:val="32"/>
          <w:highlight w:val="none"/>
        </w:rPr>
        <w:t>把捍卫政治安全</w:t>
      </w:r>
      <w:r>
        <w:rPr>
          <w:rFonts w:hint="eastAsia"/>
          <w:color w:val="auto"/>
          <w:w w:val="97"/>
          <w:sz w:val="32"/>
          <w:szCs w:val="32"/>
          <w:highlight w:val="none"/>
          <w:lang w:eastAsia="zh-CN"/>
        </w:rPr>
        <w:t>放</w:t>
      </w:r>
      <w:r>
        <w:rPr>
          <w:rFonts w:hint="eastAsia"/>
          <w:color w:val="auto"/>
          <w:w w:val="97"/>
          <w:sz w:val="32"/>
          <w:szCs w:val="32"/>
          <w:highlight w:val="none"/>
        </w:rPr>
        <w:t>在首位，</w:t>
      </w:r>
      <w:r>
        <w:rPr>
          <w:color w:val="auto"/>
          <w:w w:val="97"/>
          <w:sz w:val="32"/>
          <w:szCs w:val="32"/>
          <w:highlight w:val="none"/>
        </w:rPr>
        <w:t>加强重点领域国家安全能力建设</w:t>
      </w:r>
      <w:r>
        <w:rPr>
          <w:rFonts w:hint="eastAsia"/>
          <w:color w:val="auto"/>
          <w:w w:val="97"/>
          <w:sz w:val="32"/>
          <w:szCs w:val="32"/>
          <w:highlight w:val="none"/>
        </w:rPr>
        <w:t>，落实国家安全责任制，促进全链条全要素协同联动。</w:t>
      </w:r>
      <w:r>
        <w:rPr>
          <w:rFonts w:hint="eastAsia"/>
          <w:color w:val="auto"/>
          <w:w w:val="97"/>
          <w:sz w:val="32"/>
          <w:szCs w:val="32"/>
          <w:highlight w:val="none"/>
          <w:lang w:eastAsia="zh-CN"/>
        </w:rPr>
        <w:t>重视支持国家安全事业发展，</w:t>
      </w:r>
      <w:r>
        <w:rPr>
          <w:rFonts w:hint="eastAsia"/>
          <w:color w:val="auto"/>
          <w:w w:val="97"/>
          <w:sz w:val="32"/>
          <w:szCs w:val="32"/>
          <w:highlight w:val="none"/>
        </w:rPr>
        <w:t>保障国家安全机关建设</w:t>
      </w:r>
      <w:r>
        <w:rPr>
          <w:rFonts w:hint="eastAsia"/>
          <w:color w:val="auto"/>
          <w:w w:val="97"/>
          <w:sz w:val="32"/>
          <w:szCs w:val="32"/>
          <w:highlight w:val="none"/>
          <w:lang w:eastAsia="zh-CN"/>
        </w:rPr>
        <w:t>，加快构建与自贸港建设相适应的现代化国家安全体系</w:t>
      </w:r>
      <w:r>
        <w:rPr>
          <w:rFonts w:hint="eastAsia"/>
          <w:color w:val="auto"/>
          <w:w w:val="97"/>
          <w:sz w:val="32"/>
          <w:szCs w:val="32"/>
          <w:highlight w:val="none"/>
        </w:rPr>
        <w:t>。完善公共安全体系，推动公共安全治理模式向事前预防转型。</w:t>
      </w:r>
      <w:r>
        <w:rPr>
          <w:color w:val="auto"/>
          <w:w w:val="97"/>
          <w:sz w:val="32"/>
          <w:szCs w:val="32"/>
          <w:highlight w:val="none"/>
        </w:rPr>
        <w:t>压实维护社会稳定工作责任制</w:t>
      </w:r>
      <w:r>
        <w:rPr>
          <w:rFonts w:hint="eastAsia"/>
          <w:color w:val="auto"/>
          <w:w w:val="97"/>
          <w:sz w:val="32"/>
          <w:szCs w:val="32"/>
          <w:highlight w:val="none"/>
        </w:rPr>
        <w:t>，</w:t>
      </w:r>
      <w:r>
        <w:rPr>
          <w:color w:val="auto"/>
          <w:w w:val="97"/>
          <w:sz w:val="32"/>
          <w:szCs w:val="32"/>
          <w:highlight w:val="none"/>
        </w:rPr>
        <w:t>建立重点行业领域涉稳风险预警和倒查追责机制，落实重大决策社会</w:t>
      </w:r>
      <w:r>
        <w:rPr>
          <w:rFonts w:hint="eastAsia"/>
          <w:color w:val="auto"/>
          <w:w w:val="97"/>
          <w:sz w:val="32"/>
          <w:szCs w:val="32"/>
          <w:highlight w:val="none"/>
          <w:lang w:eastAsia="zh-CN"/>
        </w:rPr>
        <w:t>稳定</w:t>
      </w:r>
      <w:r>
        <w:rPr>
          <w:color w:val="auto"/>
          <w:w w:val="97"/>
          <w:sz w:val="32"/>
          <w:szCs w:val="32"/>
          <w:highlight w:val="none"/>
        </w:rPr>
        <w:t>风险评估。完善重大活动安保预案，提升预警处置能力。扩大</w:t>
      </w:r>
      <w:r>
        <w:rPr>
          <w:rFonts w:hint="eastAsia" w:ascii="仿宋_GB2312" w:hAnsi="仿宋_GB2312" w:eastAsia="仿宋_GB2312" w:cs="仿宋_GB2312"/>
          <w:color w:val="auto"/>
          <w:w w:val="97"/>
          <w:sz w:val="32"/>
          <w:szCs w:val="32"/>
          <w:highlight w:val="none"/>
        </w:rPr>
        <w:t>“</w:t>
      </w:r>
      <w:r>
        <w:rPr>
          <w:color w:val="auto"/>
          <w:w w:val="97"/>
          <w:sz w:val="32"/>
          <w:szCs w:val="32"/>
          <w:highlight w:val="none"/>
        </w:rPr>
        <w:t>雪亮工程</w:t>
      </w:r>
      <w:r>
        <w:rPr>
          <w:rFonts w:hint="eastAsia" w:ascii="仿宋_GB2312" w:hAnsi="仿宋_GB2312" w:eastAsia="仿宋_GB2312" w:cs="仿宋_GB2312"/>
          <w:color w:val="auto"/>
          <w:w w:val="97"/>
          <w:sz w:val="32"/>
          <w:szCs w:val="32"/>
          <w:highlight w:val="none"/>
        </w:rPr>
        <w:t>”“</w:t>
      </w:r>
      <w:r>
        <w:rPr>
          <w:color w:val="auto"/>
          <w:w w:val="97"/>
          <w:sz w:val="32"/>
          <w:szCs w:val="32"/>
          <w:highlight w:val="none"/>
        </w:rPr>
        <w:t>智慧安防小区</w:t>
      </w:r>
      <w:r>
        <w:rPr>
          <w:rFonts w:hint="eastAsia" w:ascii="仿宋_GB2312" w:hAnsi="仿宋_GB2312" w:eastAsia="仿宋_GB2312" w:cs="仿宋_GB2312"/>
          <w:color w:val="auto"/>
          <w:w w:val="97"/>
          <w:sz w:val="32"/>
          <w:szCs w:val="32"/>
          <w:highlight w:val="none"/>
        </w:rPr>
        <w:t>”</w:t>
      </w:r>
      <w:r>
        <w:rPr>
          <w:color w:val="auto"/>
          <w:w w:val="97"/>
          <w:sz w:val="32"/>
          <w:szCs w:val="32"/>
          <w:highlight w:val="none"/>
        </w:rPr>
        <w:t>建设覆盖，落实重</w:t>
      </w:r>
      <w:r>
        <w:rPr>
          <w:rFonts w:hint="eastAsia"/>
          <w:color w:val="auto"/>
          <w:w w:val="97"/>
          <w:sz w:val="32"/>
          <w:szCs w:val="32"/>
          <w:highlight w:val="none"/>
          <w:lang w:eastAsia="zh-CN"/>
        </w:rPr>
        <w:t>点</w:t>
      </w:r>
      <w:r>
        <w:rPr>
          <w:color w:val="auto"/>
          <w:w w:val="97"/>
          <w:sz w:val="32"/>
          <w:szCs w:val="32"/>
          <w:highlight w:val="none"/>
        </w:rPr>
        <w:t>场所人防物防技防，</w:t>
      </w:r>
      <w:r>
        <w:rPr>
          <w:rFonts w:hint="eastAsia"/>
          <w:color w:val="auto"/>
          <w:w w:val="97"/>
          <w:sz w:val="32"/>
          <w:szCs w:val="32"/>
          <w:highlight w:val="none"/>
        </w:rPr>
        <w:t>探索联防联控群防群治新模式，构建现代化社会治安防控体系</w:t>
      </w:r>
      <w:r>
        <w:rPr>
          <w:color w:val="auto"/>
          <w:w w:val="97"/>
          <w:sz w:val="32"/>
          <w:szCs w:val="32"/>
          <w:highlight w:val="none"/>
        </w:rPr>
        <w:t>。</w:t>
      </w:r>
      <w:r>
        <w:rPr>
          <w:rFonts w:hint="eastAsia"/>
          <w:color w:val="auto"/>
          <w:w w:val="97"/>
          <w:sz w:val="32"/>
          <w:szCs w:val="32"/>
          <w:highlight w:val="none"/>
        </w:rPr>
        <w:t>加大打击违法犯罪力度</w:t>
      </w:r>
      <w:r>
        <w:rPr>
          <w:color w:val="auto"/>
          <w:w w:val="97"/>
          <w:sz w:val="32"/>
          <w:szCs w:val="32"/>
          <w:highlight w:val="none"/>
        </w:rPr>
        <w:t>，常态化开展扫黑除恶</w:t>
      </w:r>
      <w:r>
        <w:rPr>
          <w:rFonts w:hint="eastAsia"/>
          <w:color w:val="auto"/>
          <w:w w:val="97"/>
          <w:sz w:val="32"/>
          <w:szCs w:val="32"/>
          <w:highlight w:val="none"/>
          <w:lang w:eastAsia="zh-CN"/>
        </w:rPr>
        <w:t>，</w:t>
      </w:r>
      <w:r>
        <w:rPr>
          <w:rFonts w:hint="eastAsia"/>
          <w:color w:val="auto"/>
          <w:w w:val="97"/>
          <w:sz w:val="32"/>
          <w:szCs w:val="32"/>
          <w:highlight w:val="none"/>
        </w:rPr>
        <w:t>坚决严厉打击黄赌毒、私彩等违法犯罪，</w:t>
      </w:r>
      <w:r>
        <w:rPr>
          <w:color w:val="auto"/>
          <w:w w:val="97"/>
          <w:sz w:val="32"/>
          <w:szCs w:val="32"/>
          <w:highlight w:val="none"/>
        </w:rPr>
        <w:t>强化危险物品监管，坚决防止</w:t>
      </w:r>
      <w:bookmarkStart w:id="918" w:name="OLE_LINK17"/>
      <w:r>
        <w:rPr>
          <w:color w:val="auto"/>
          <w:w w:val="97"/>
          <w:sz w:val="32"/>
          <w:szCs w:val="32"/>
          <w:highlight w:val="none"/>
        </w:rPr>
        <w:t>重大案事件</w:t>
      </w:r>
      <w:bookmarkEnd w:id="918"/>
      <w:r>
        <w:rPr>
          <w:rFonts w:hint="eastAsia"/>
          <w:color w:val="auto"/>
          <w:w w:val="97"/>
          <w:sz w:val="32"/>
          <w:szCs w:val="32"/>
          <w:highlight w:val="none"/>
        </w:rPr>
        <w:t>发生</w:t>
      </w:r>
      <w:r>
        <w:rPr>
          <w:color w:val="auto"/>
          <w:w w:val="97"/>
          <w:sz w:val="32"/>
          <w:szCs w:val="32"/>
          <w:highlight w:val="none"/>
        </w:rPr>
        <w:t>。</w:t>
      </w:r>
      <w:r>
        <w:rPr>
          <w:rFonts w:hint="eastAsia"/>
          <w:color w:val="auto"/>
          <w:w w:val="97"/>
          <w:sz w:val="32"/>
          <w:szCs w:val="32"/>
          <w:highlight w:val="none"/>
        </w:rPr>
        <w:t>加强重点人群服务管理，</w:t>
      </w:r>
      <w:r>
        <w:rPr>
          <w:rFonts w:hint="eastAsia"/>
          <w:color w:val="auto"/>
          <w:w w:val="97"/>
          <w:sz w:val="32"/>
          <w:szCs w:val="32"/>
          <w:highlight w:val="none"/>
          <w:lang w:val="en-US" w:eastAsia="zh-CN"/>
        </w:rPr>
        <w:t>强化未成年人违法犯罪预防和治理，推进未成年人保护体系建设</w:t>
      </w:r>
      <w:r>
        <w:rPr>
          <w:rFonts w:hint="eastAsia"/>
          <w:color w:val="auto"/>
          <w:w w:val="97"/>
          <w:sz w:val="32"/>
          <w:szCs w:val="32"/>
          <w:highlight w:val="none"/>
        </w:rPr>
        <w:t>。</w:t>
      </w:r>
    </w:p>
    <w:p>
      <w:pPr>
        <w:pStyle w:val="31"/>
        <w:keepNext w:val="0"/>
        <w:keepLines w:val="0"/>
        <w:pageBreakBefore w:val="0"/>
        <w:widowControl w:val="0"/>
        <w:kinsoku/>
        <w:wordWrap/>
        <w:overflowPunct/>
        <w:topLinePunct w:val="0"/>
        <w:autoSpaceDE/>
        <w:autoSpaceDN/>
        <w:bidi w:val="0"/>
        <w:adjustRightInd w:val="0"/>
        <w:snapToGrid w:val="0"/>
        <w:spacing w:afterLines="0" w:line="556" w:lineRule="exact"/>
        <w:textAlignment w:val="auto"/>
        <w:rPr>
          <w:color w:val="auto"/>
          <w:sz w:val="32"/>
          <w:szCs w:val="32"/>
          <w:highlight w:val="none"/>
        </w:rPr>
      </w:pPr>
      <w:r>
        <w:rPr>
          <w:rFonts w:hint="eastAsia"/>
          <w:b/>
          <w:bCs/>
          <w:color w:val="auto"/>
          <w:sz w:val="32"/>
          <w:szCs w:val="32"/>
          <w:highlight w:val="none"/>
        </w:rPr>
        <w:t>加快完善安全生产机制。</w:t>
      </w:r>
      <w:r>
        <w:rPr>
          <w:rFonts w:hint="eastAsia"/>
          <w:color w:val="auto"/>
          <w:sz w:val="32"/>
          <w:szCs w:val="32"/>
          <w:highlight w:val="none"/>
        </w:rPr>
        <w:t>压紧压实安全生产责任，严格落实监管制度，坚持党政同责、一岗双责、齐抓共管、失职追责，坚持管行业必须管安全、管业务必须管安全、管生产经营必须管安全。完善监管职责动态调整机制，建立健全</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一件事</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全链条安全责任体系。深入推进重点行业领域安全生产专项整治，强化企业主体责任落实。</w:t>
      </w:r>
    </w:p>
    <w:p>
      <w:pPr>
        <w:pStyle w:val="31"/>
        <w:keepNext w:val="0"/>
        <w:keepLines w:val="0"/>
        <w:pageBreakBefore w:val="0"/>
        <w:widowControl w:val="0"/>
        <w:kinsoku/>
        <w:wordWrap/>
        <w:overflowPunct/>
        <w:topLinePunct w:val="0"/>
        <w:autoSpaceDE/>
        <w:autoSpaceDN/>
        <w:bidi w:val="0"/>
        <w:adjustRightInd w:val="0"/>
        <w:snapToGrid w:val="0"/>
        <w:spacing w:after="0" w:afterLines="0" w:line="576" w:lineRule="exact"/>
        <w:textAlignment w:val="auto"/>
        <w:rPr>
          <w:rFonts w:hint="eastAsia"/>
          <w:color w:val="auto"/>
          <w:sz w:val="30"/>
          <w:szCs w:val="30"/>
          <w:highlight w:val="none"/>
        </w:rPr>
      </w:pPr>
      <w:r>
        <w:rPr>
          <w:rFonts w:hint="eastAsia"/>
          <w:b/>
          <w:bCs/>
          <w:color w:val="auto"/>
          <w:sz w:val="32"/>
          <w:szCs w:val="32"/>
          <w:highlight w:val="none"/>
        </w:rPr>
        <w:t>优化应急管理能力建设。</w:t>
      </w:r>
      <w:r>
        <w:rPr>
          <w:rFonts w:hint="eastAsia"/>
          <w:color w:val="auto"/>
          <w:sz w:val="32"/>
          <w:szCs w:val="32"/>
          <w:highlight w:val="none"/>
          <w:lang w:eastAsia="zh-CN"/>
        </w:rPr>
        <w:t>健全</w:t>
      </w:r>
      <w:r>
        <w:rPr>
          <w:rFonts w:hint="eastAsia"/>
          <w:color w:val="auto"/>
          <w:sz w:val="32"/>
          <w:szCs w:val="32"/>
          <w:highlight w:val="none"/>
        </w:rPr>
        <w:t>应急管理组织架构</w:t>
      </w:r>
      <w:r>
        <w:rPr>
          <w:rFonts w:hint="eastAsia"/>
          <w:color w:val="auto"/>
          <w:sz w:val="32"/>
          <w:szCs w:val="32"/>
          <w:highlight w:val="none"/>
          <w:lang w:eastAsia="zh-CN"/>
        </w:rPr>
        <w:t>和</w:t>
      </w:r>
      <w:r>
        <w:rPr>
          <w:rFonts w:hint="eastAsia"/>
          <w:color w:val="auto"/>
          <w:sz w:val="32"/>
          <w:szCs w:val="32"/>
          <w:highlight w:val="none"/>
        </w:rPr>
        <w:t>应急保障体系，提升应急预案管理。加强气象、水文、地质灾害监测预报预警，提高防灾减灾救灾和重大突发公共事件处置保障能力。落实消防安全责任，提高基层消防治理能力。统筹推动应急避难场所和基础设施融合共建</w:t>
      </w:r>
      <w:r>
        <w:rPr>
          <w:rFonts w:hint="eastAsia"/>
          <w:color w:val="auto"/>
          <w:sz w:val="32"/>
          <w:szCs w:val="32"/>
          <w:highlight w:val="none"/>
          <w:lang w:eastAsia="zh-CN"/>
        </w:rPr>
        <w:t>及</w:t>
      </w:r>
      <w:r>
        <w:rPr>
          <w:rFonts w:hint="eastAsia"/>
          <w:color w:val="auto"/>
          <w:sz w:val="32"/>
          <w:szCs w:val="32"/>
          <w:highlight w:val="none"/>
        </w:rPr>
        <w:t>综合利用，提升重要基础设施本质安全水平，有效遏制重特大事故。推动应急救援装备现代化，</w:t>
      </w:r>
      <w:r>
        <w:rPr>
          <w:rFonts w:hint="eastAsia"/>
          <w:color w:val="auto"/>
          <w:sz w:val="32"/>
          <w:szCs w:val="32"/>
          <w:highlight w:val="none"/>
          <w:lang w:val="en-US" w:eastAsia="zh-CN"/>
        </w:rPr>
        <w:t>优化消防应急通信保障体系，强</w:t>
      </w:r>
      <w:r>
        <w:rPr>
          <w:rFonts w:hint="eastAsia"/>
          <w:color w:val="auto"/>
          <w:sz w:val="32"/>
          <w:szCs w:val="32"/>
          <w:highlight w:val="none"/>
        </w:rPr>
        <w:t>化</w:t>
      </w:r>
      <w:r>
        <w:rPr>
          <w:rFonts w:hint="eastAsia"/>
          <w:color w:val="auto"/>
          <w:sz w:val="32"/>
          <w:szCs w:val="32"/>
          <w:highlight w:val="none"/>
          <w:lang w:val="en-US" w:eastAsia="zh-CN"/>
        </w:rPr>
        <w:t>基层应急救援力量，</w:t>
      </w:r>
      <w:r>
        <w:rPr>
          <w:rFonts w:hint="eastAsia"/>
          <w:color w:val="auto"/>
          <w:sz w:val="32"/>
          <w:szCs w:val="32"/>
          <w:highlight w:val="none"/>
        </w:rPr>
        <w:t>加强</w:t>
      </w:r>
      <w:r>
        <w:rPr>
          <w:rFonts w:hint="eastAsia"/>
          <w:color w:val="auto"/>
          <w:sz w:val="32"/>
          <w:szCs w:val="32"/>
          <w:highlight w:val="none"/>
          <w:lang w:val="en-US" w:eastAsia="zh-CN"/>
        </w:rPr>
        <w:t>水域、</w:t>
      </w:r>
      <w:r>
        <w:rPr>
          <w:rFonts w:hint="eastAsia"/>
          <w:color w:val="auto"/>
          <w:sz w:val="32"/>
          <w:szCs w:val="32"/>
          <w:highlight w:val="none"/>
        </w:rPr>
        <w:t>海上救援等专业救援力量建设。</w:t>
      </w:r>
    </w:p>
    <w:tbl>
      <w:tblPr>
        <w:tblStyle w:val="40"/>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844" w:type="dxa"/>
          </w:tcPr>
          <w:p>
            <w:pPr>
              <w:keepNext w:val="0"/>
              <w:keepLines w:val="0"/>
              <w:pageBreakBefore w:val="0"/>
              <w:widowControl w:val="0"/>
              <w:shd w:val="clear"/>
              <w:kinsoku/>
              <w:wordWrap/>
              <w:overflowPunct/>
              <w:topLinePunct w:val="0"/>
              <w:autoSpaceDE/>
              <w:autoSpaceDN/>
              <w:bidi w:val="0"/>
              <w:snapToGrid w:val="0"/>
              <w:spacing w:before="157" w:beforeLines="50" w:after="157" w:afterLines="50" w:line="440" w:lineRule="exact"/>
              <w:jc w:val="center"/>
              <w:textAlignment w:val="auto"/>
              <w:rPr>
                <w:rFonts w:ascii="Times New Roman" w:hAnsi="Times New Roman" w:eastAsia="仿宋"/>
                <w:color w:val="auto"/>
                <w:kern w:val="0"/>
                <w:sz w:val="28"/>
                <w:szCs w:val="28"/>
                <w:highlight w:val="none"/>
              </w:rPr>
            </w:pPr>
            <w:r>
              <w:rPr>
                <w:rFonts w:hint="eastAsia" w:ascii="Times New Roman" w:hAnsi="Times New Roman" w:eastAsia="黑体" w:cs="黑体"/>
                <w:color w:val="auto"/>
                <w:kern w:val="0"/>
                <w:sz w:val="28"/>
                <w:szCs w:val="28"/>
                <w:highlight w:val="none"/>
              </w:rPr>
              <w:t>专栏</w:t>
            </w:r>
            <w:r>
              <w:rPr>
                <w:rFonts w:hint="default" w:ascii="Times New Roman" w:hAnsi="Times New Roman" w:eastAsia="黑体" w:cs="Times New Roman"/>
                <w:bCs/>
                <w:color w:val="auto"/>
                <w:sz w:val="28"/>
                <w:szCs w:val="28"/>
                <w:highlight w:val="none"/>
              </w:rPr>
              <w:fldChar w:fldCharType="begin"/>
            </w:r>
            <w:r>
              <w:rPr>
                <w:rFonts w:hint="default" w:ascii="Times New Roman" w:hAnsi="Times New Roman" w:eastAsia="黑体" w:cs="Times New Roman"/>
                <w:bCs/>
                <w:color w:val="auto"/>
                <w:sz w:val="28"/>
                <w:szCs w:val="28"/>
                <w:highlight w:val="none"/>
              </w:rPr>
              <w:instrText xml:space="preserve"> SEQ 表格 \* ARABIC </w:instrText>
            </w:r>
            <w:r>
              <w:rPr>
                <w:rFonts w:hint="default" w:ascii="Times New Roman" w:hAnsi="Times New Roman" w:eastAsia="黑体" w:cs="Times New Roman"/>
                <w:bCs/>
                <w:color w:val="auto"/>
                <w:sz w:val="28"/>
                <w:szCs w:val="28"/>
                <w:highlight w:val="none"/>
              </w:rPr>
              <w:fldChar w:fldCharType="separate"/>
            </w:r>
            <w:r>
              <w:rPr>
                <w:rFonts w:hint="default" w:ascii="Times New Roman" w:hAnsi="Times New Roman" w:eastAsia="黑体" w:cs="Times New Roman"/>
                <w:bCs/>
                <w:color w:val="auto"/>
                <w:sz w:val="28"/>
                <w:szCs w:val="28"/>
                <w:highlight w:val="none"/>
              </w:rPr>
              <w:t>1</w:t>
            </w:r>
            <w:r>
              <w:rPr>
                <w:rFonts w:hint="default" w:ascii="Times New Roman" w:hAnsi="Times New Roman" w:eastAsia="黑体" w:cs="Times New Roman"/>
                <w:bCs/>
                <w:color w:val="auto"/>
                <w:sz w:val="28"/>
                <w:szCs w:val="28"/>
                <w:highlight w:val="none"/>
              </w:rPr>
              <w:fldChar w:fldCharType="end"/>
            </w:r>
            <w:r>
              <w:rPr>
                <w:rFonts w:hint="default" w:ascii="Times New Roman" w:hAnsi="Times New Roman" w:eastAsia="黑体" w:cs="Times New Roman"/>
                <w:bCs/>
                <w:color w:val="auto"/>
                <w:sz w:val="28"/>
                <w:szCs w:val="28"/>
                <w:highlight w:val="none"/>
                <w:lang w:val="en-US" w:eastAsia="zh-CN"/>
              </w:rPr>
              <w:t>6</w:t>
            </w:r>
            <w:r>
              <w:rPr>
                <w:rFonts w:hint="eastAsia" w:ascii="Times New Roman" w:hAnsi="Times New Roman" w:eastAsia="黑体"/>
                <w:color w:val="auto"/>
                <w:kern w:val="0"/>
                <w:sz w:val="28"/>
                <w:szCs w:val="28"/>
                <w:highlight w:val="none"/>
                <w:lang w:val="en-US" w:eastAsia="zh-CN"/>
              </w:rPr>
              <w:t xml:space="preserve">  </w:t>
            </w:r>
            <w:r>
              <w:rPr>
                <w:rFonts w:hint="eastAsia" w:ascii="Times New Roman" w:hAnsi="Times New Roman" w:eastAsia="黑体" w:cs="黑体"/>
                <w:color w:val="auto"/>
                <w:kern w:val="0"/>
                <w:sz w:val="28"/>
                <w:szCs w:val="28"/>
                <w:highlight w:val="none"/>
              </w:rPr>
              <w:t>应急管理重大工程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8844" w:type="dxa"/>
            <w:vAlign w:val="center"/>
          </w:tcPr>
          <w:p>
            <w:pPr>
              <w:pStyle w:val="33"/>
              <w:keepNext w:val="0"/>
              <w:keepLines w:val="0"/>
              <w:pageBreakBefore w:val="0"/>
              <w:widowControl w:val="0"/>
              <w:shd w:val="clear"/>
              <w:kinsoku/>
              <w:wordWrap/>
              <w:overflowPunct/>
              <w:topLinePunct w:val="0"/>
              <w:autoSpaceDE/>
              <w:autoSpaceDN/>
              <w:bidi w:val="0"/>
              <w:snapToGrid w:val="0"/>
              <w:spacing w:before="95" w:beforeLines="30" w:after="95" w:afterLines="30" w:line="440" w:lineRule="exact"/>
              <w:ind w:firstLine="562"/>
              <w:textAlignment w:val="auto"/>
              <w:rPr>
                <w:color w:val="auto"/>
                <w:highlight w:val="none"/>
              </w:rPr>
            </w:pPr>
            <w:r>
              <w:rPr>
                <w:rFonts w:hint="default" w:ascii="Times New Roman" w:hAnsi="Times New Roman" w:cs="Times New Roman"/>
                <w:b/>
                <w:bCs/>
                <w:color w:val="auto"/>
                <w:highlight w:val="none"/>
              </w:rPr>
              <w:t>1</w:t>
            </w:r>
            <w:r>
              <w:rPr>
                <w:rFonts w:hint="eastAsia" w:ascii="楷体_GB2312" w:hAnsi="楷体_GB2312" w:eastAsia="楷体_GB2312" w:cs="楷体_GB2312"/>
                <w:b/>
                <w:bCs/>
                <w:color w:val="auto"/>
                <w:highlight w:val="none"/>
                <w:lang w:eastAsia="zh-CN"/>
              </w:rPr>
              <w:t>.</w:t>
            </w:r>
            <w:r>
              <w:rPr>
                <w:rFonts w:hint="eastAsia"/>
                <w:b/>
                <w:bCs/>
                <w:color w:val="auto"/>
                <w:highlight w:val="none"/>
              </w:rPr>
              <w:t>应急管理效能提升工程。</w:t>
            </w:r>
            <w:r>
              <w:rPr>
                <w:rFonts w:hint="eastAsia"/>
                <w:color w:val="auto"/>
                <w:highlight w:val="none"/>
              </w:rPr>
              <w:t>三亚市防灾救灾应急指挥中心</w:t>
            </w:r>
            <w:r>
              <w:rPr>
                <w:rFonts w:hint="eastAsia"/>
                <w:color w:val="auto"/>
                <w:highlight w:val="none"/>
                <w:lang w:eastAsia="zh-CN"/>
              </w:rPr>
              <w:t>更新改造</w:t>
            </w:r>
            <w:r>
              <w:rPr>
                <w:rFonts w:hint="eastAsia"/>
                <w:color w:val="auto"/>
                <w:highlight w:val="none"/>
              </w:rPr>
              <w:t>。</w:t>
            </w:r>
          </w:p>
          <w:p>
            <w:pPr>
              <w:pStyle w:val="33"/>
              <w:keepNext w:val="0"/>
              <w:keepLines w:val="0"/>
              <w:pageBreakBefore w:val="0"/>
              <w:widowControl w:val="0"/>
              <w:shd w:val="clear"/>
              <w:kinsoku/>
              <w:wordWrap/>
              <w:overflowPunct/>
              <w:topLinePunct w:val="0"/>
              <w:autoSpaceDE/>
              <w:autoSpaceDN/>
              <w:bidi w:val="0"/>
              <w:snapToGrid w:val="0"/>
              <w:spacing w:before="95" w:beforeLines="30" w:after="95" w:afterLines="30" w:line="440" w:lineRule="exact"/>
              <w:ind w:firstLine="562"/>
              <w:textAlignment w:val="auto"/>
              <w:rPr>
                <w:color w:val="auto"/>
                <w:highlight w:val="none"/>
              </w:rPr>
            </w:pPr>
            <w:r>
              <w:rPr>
                <w:rFonts w:hint="default" w:ascii="Times New Roman" w:hAnsi="Times New Roman" w:cs="Times New Roman"/>
                <w:b/>
                <w:bCs/>
                <w:color w:val="auto"/>
                <w:highlight w:val="none"/>
              </w:rPr>
              <w:t>2</w:t>
            </w:r>
            <w:r>
              <w:rPr>
                <w:rFonts w:hint="eastAsia" w:ascii="楷体_GB2312" w:hAnsi="楷体_GB2312" w:eastAsia="楷体_GB2312" w:cs="楷体_GB2312"/>
                <w:b/>
                <w:bCs/>
                <w:color w:val="auto"/>
                <w:highlight w:val="none"/>
                <w:lang w:eastAsia="zh-CN"/>
              </w:rPr>
              <w:t>.</w:t>
            </w:r>
            <w:r>
              <w:rPr>
                <w:rFonts w:hint="eastAsia"/>
                <w:b/>
                <w:bCs/>
                <w:color w:val="auto"/>
                <w:highlight w:val="none"/>
              </w:rPr>
              <w:t>事前预防能力提升工程。</w:t>
            </w:r>
            <w:r>
              <w:rPr>
                <w:rFonts w:hint="eastAsia"/>
                <w:color w:val="auto"/>
                <w:highlight w:val="none"/>
              </w:rPr>
              <w:t>三亚市地震监测台网加密及智能化升级项目，城市地震活动断层探测及风险评估项目</w:t>
            </w:r>
            <w:r>
              <w:rPr>
                <w:rFonts w:hint="eastAsia"/>
                <w:color w:val="auto"/>
                <w:highlight w:val="none"/>
                <w:lang w:eastAsia="zh-CN"/>
              </w:rPr>
              <w:t>，</w:t>
            </w:r>
            <w:r>
              <w:rPr>
                <w:rFonts w:hint="eastAsia"/>
                <w:color w:val="auto"/>
                <w:highlight w:val="none"/>
              </w:rPr>
              <w:t>海南省海洋地震监测站网三亚服务保障中心。</w:t>
            </w:r>
          </w:p>
          <w:p>
            <w:pPr>
              <w:pStyle w:val="33"/>
              <w:keepNext w:val="0"/>
              <w:keepLines w:val="0"/>
              <w:pageBreakBefore w:val="0"/>
              <w:widowControl w:val="0"/>
              <w:shd w:val="clear"/>
              <w:kinsoku/>
              <w:wordWrap/>
              <w:overflowPunct/>
              <w:topLinePunct w:val="0"/>
              <w:autoSpaceDE/>
              <w:autoSpaceDN/>
              <w:bidi w:val="0"/>
              <w:snapToGrid w:val="0"/>
              <w:spacing w:before="95" w:beforeLines="30" w:after="95" w:afterLines="30" w:line="440" w:lineRule="exact"/>
              <w:ind w:firstLine="562"/>
              <w:textAlignment w:val="auto"/>
              <w:rPr>
                <w:color w:val="auto"/>
                <w:highlight w:val="none"/>
              </w:rPr>
            </w:pPr>
            <w:r>
              <w:rPr>
                <w:rFonts w:hint="default" w:ascii="Times New Roman" w:hAnsi="Times New Roman" w:cs="Times New Roman"/>
                <w:b/>
                <w:bCs/>
                <w:color w:val="auto"/>
                <w:highlight w:val="none"/>
              </w:rPr>
              <w:t>3</w:t>
            </w:r>
            <w:r>
              <w:rPr>
                <w:rFonts w:hint="eastAsia" w:ascii="楷体_GB2312" w:hAnsi="楷体_GB2312" w:eastAsia="楷体_GB2312" w:cs="楷体_GB2312"/>
                <w:b/>
                <w:bCs/>
                <w:color w:val="auto"/>
                <w:highlight w:val="none"/>
                <w:lang w:eastAsia="zh-CN"/>
              </w:rPr>
              <w:t>.</w:t>
            </w:r>
            <w:r>
              <w:rPr>
                <w:rFonts w:hint="eastAsia"/>
                <w:b/>
                <w:bCs/>
                <w:color w:val="auto"/>
                <w:highlight w:val="none"/>
              </w:rPr>
              <w:t>关键救援能力提升工程。</w:t>
            </w:r>
            <w:r>
              <w:rPr>
                <w:rFonts w:hint="eastAsia"/>
                <w:color w:val="auto"/>
                <w:highlight w:val="none"/>
              </w:rPr>
              <w:t>三亚市防灾减灾实战实训</w:t>
            </w:r>
            <w:r>
              <w:rPr>
                <w:rFonts w:hint="eastAsia"/>
                <w:color w:val="auto"/>
                <w:highlight w:val="none"/>
                <w:lang w:eastAsia="zh-CN"/>
              </w:rPr>
              <w:t>基础</w:t>
            </w:r>
            <w:r>
              <w:rPr>
                <w:rFonts w:hint="eastAsia"/>
                <w:color w:val="auto"/>
                <w:highlight w:val="none"/>
              </w:rPr>
              <w:t>设施建设项目，三亚市育才消防站</w:t>
            </w:r>
            <w:r>
              <w:rPr>
                <w:rFonts w:hint="eastAsia"/>
                <w:color w:val="auto"/>
                <w:highlight w:val="none"/>
                <w:lang w:eastAsia="zh-CN"/>
              </w:rPr>
              <w:t>、</w:t>
            </w:r>
            <w:r>
              <w:rPr>
                <w:rFonts w:hint="eastAsia"/>
                <w:color w:val="auto"/>
                <w:highlight w:val="none"/>
              </w:rPr>
              <w:t>凤凰片区消防站</w:t>
            </w:r>
            <w:r>
              <w:rPr>
                <w:rFonts w:hint="eastAsia"/>
                <w:color w:val="auto"/>
                <w:highlight w:val="none"/>
                <w:lang w:eastAsia="zh-CN"/>
              </w:rPr>
              <w:t>和阳光海岸消防站</w:t>
            </w:r>
            <w:r>
              <w:rPr>
                <w:rFonts w:hint="eastAsia"/>
                <w:color w:val="auto"/>
                <w:highlight w:val="none"/>
              </w:rPr>
              <w:t>项目。</w:t>
            </w:r>
          </w:p>
          <w:p>
            <w:pPr>
              <w:pStyle w:val="33"/>
              <w:keepNext w:val="0"/>
              <w:keepLines w:val="0"/>
              <w:pageBreakBefore w:val="0"/>
              <w:widowControl w:val="0"/>
              <w:shd w:val="clear"/>
              <w:kinsoku/>
              <w:wordWrap/>
              <w:overflowPunct/>
              <w:topLinePunct w:val="0"/>
              <w:autoSpaceDE/>
              <w:autoSpaceDN/>
              <w:bidi w:val="0"/>
              <w:snapToGrid w:val="0"/>
              <w:spacing w:before="95" w:beforeLines="30" w:after="95" w:afterLines="30" w:line="440" w:lineRule="exact"/>
              <w:ind w:firstLine="562"/>
              <w:textAlignment w:val="auto"/>
              <w:rPr>
                <w:color w:val="auto"/>
                <w:highlight w:val="none"/>
              </w:rPr>
            </w:pPr>
            <w:r>
              <w:rPr>
                <w:rFonts w:hint="default" w:ascii="Times New Roman" w:hAnsi="Times New Roman" w:cs="Times New Roman"/>
                <w:b/>
                <w:bCs/>
                <w:color w:val="auto"/>
                <w:highlight w:val="none"/>
              </w:rPr>
              <w:t>4</w:t>
            </w:r>
            <w:r>
              <w:rPr>
                <w:rFonts w:hint="eastAsia" w:ascii="楷体_GB2312" w:hAnsi="楷体_GB2312" w:eastAsia="楷体_GB2312" w:cs="楷体_GB2312"/>
                <w:b/>
                <w:bCs/>
                <w:color w:val="auto"/>
                <w:highlight w:val="none"/>
                <w:lang w:eastAsia="zh-CN"/>
              </w:rPr>
              <w:t>.</w:t>
            </w:r>
            <w:r>
              <w:rPr>
                <w:rFonts w:hint="eastAsia"/>
                <w:b/>
                <w:bCs/>
                <w:color w:val="auto"/>
                <w:highlight w:val="none"/>
              </w:rPr>
              <w:t>综合保障能力提升工程。</w:t>
            </w:r>
            <w:r>
              <w:rPr>
                <w:rFonts w:hint="eastAsia"/>
                <w:color w:val="auto"/>
                <w:highlight w:val="none"/>
              </w:rPr>
              <w:t>三亚市应急物资储备仓库建设项目。</w:t>
            </w:r>
          </w:p>
          <w:p>
            <w:pPr>
              <w:pStyle w:val="33"/>
              <w:keepNext w:val="0"/>
              <w:keepLines w:val="0"/>
              <w:pageBreakBefore w:val="0"/>
              <w:widowControl w:val="0"/>
              <w:shd w:val="clear"/>
              <w:kinsoku/>
              <w:wordWrap/>
              <w:overflowPunct/>
              <w:topLinePunct w:val="0"/>
              <w:autoSpaceDE/>
              <w:autoSpaceDN/>
              <w:bidi w:val="0"/>
              <w:snapToGrid w:val="0"/>
              <w:spacing w:before="95" w:beforeLines="30" w:after="95" w:afterLines="30" w:line="440" w:lineRule="exact"/>
              <w:ind w:firstLine="562"/>
              <w:textAlignment w:val="auto"/>
              <w:rPr>
                <w:color w:val="auto"/>
                <w:highlight w:val="none"/>
              </w:rPr>
            </w:pPr>
            <w:r>
              <w:rPr>
                <w:rFonts w:hint="default" w:ascii="Times New Roman" w:hAnsi="Times New Roman" w:cs="Times New Roman"/>
                <w:b/>
                <w:bCs/>
                <w:color w:val="auto"/>
                <w:highlight w:val="none"/>
              </w:rPr>
              <w:t>5</w:t>
            </w:r>
            <w:r>
              <w:rPr>
                <w:rFonts w:hint="eastAsia" w:ascii="楷体_GB2312" w:hAnsi="楷体_GB2312" w:eastAsia="楷体_GB2312" w:cs="楷体_GB2312"/>
                <w:b/>
                <w:bCs/>
                <w:color w:val="auto"/>
                <w:highlight w:val="none"/>
                <w:lang w:eastAsia="zh-CN"/>
              </w:rPr>
              <w:t>.</w:t>
            </w:r>
            <w:r>
              <w:rPr>
                <w:rFonts w:hint="eastAsia"/>
                <w:b/>
                <w:bCs/>
                <w:color w:val="auto"/>
                <w:highlight w:val="none"/>
                <w:lang w:eastAsia="zh-CN"/>
              </w:rPr>
              <w:t>应急</w:t>
            </w:r>
            <w:r>
              <w:rPr>
                <w:rFonts w:hint="eastAsia"/>
                <w:b/>
                <w:bCs/>
                <w:color w:val="auto"/>
                <w:highlight w:val="none"/>
              </w:rPr>
              <w:t>能力提升工程。</w:t>
            </w:r>
            <w:r>
              <w:rPr>
                <w:rFonts w:hint="eastAsia"/>
                <w:color w:val="auto"/>
                <w:highlight w:val="none"/>
              </w:rPr>
              <w:t>三亚市东部应急避险工程，三亚市应急避难场所提升工程。</w:t>
            </w:r>
          </w:p>
        </w:tc>
      </w:tr>
    </w:tbl>
    <w:p>
      <w:pPr>
        <w:pStyle w:val="31"/>
        <w:keepNext w:val="0"/>
        <w:keepLines w:val="0"/>
        <w:pageBreakBefore w:val="0"/>
        <w:widowControl w:val="0"/>
        <w:shd w:val="clear"/>
        <w:kinsoku/>
        <w:wordWrap/>
        <w:overflowPunct/>
        <w:topLinePunct w:val="0"/>
        <w:autoSpaceDE/>
        <w:autoSpaceDN/>
        <w:bidi w:val="0"/>
        <w:adjustRightInd w:val="0"/>
        <w:snapToGrid w:val="0"/>
        <w:spacing w:before="251" w:beforeLines="80" w:line="576" w:lineRule="exact"/>
        <w:textAlignment w:val="auto"/>
        <w:rPr>
          <w:rFonts w:hint="eastAsia"/>
          <w:color w:val="auto"/>
          <w:sz w:val="32"/>
          <w:szCs w:val="32"/>
          <w:highlight w:val="none"/>
          <w:lang w:val="en"/>
        </w:rPr>
      </w:pPr>
      <w:r>
        <w:rPr>
          <w:rFonts w:hint="eastAsia"/>
          <w:b/>
          <w:bCs/>
          <w:color w:val="auto"/>
          <w:sz w:val="32"/>
          <w:szCs w:val="32"/>
          <w:highlight w:val="none"/>
        </w:rPr>
        <w:t>加快推进质量强市建设。</w:t>
      </w:r>
      <w:r>
        <w:rPr>
          <w:rFonts w:hint="eastAsia"/>
          <w:color w:val="auto"/>
          <w:sz w:val="32"/>
          <w:szCs w:val="32"/>
          <w:highlight w:val="none"/>
        </w:rPr>
        <w:t>深入实施质量强国战略，推动城市质量发展与生产力布局、区位优势、环境承载能力及社会发展需求对接融合。聚焦提升关键环节、重点领域的质量保障和竞争能力</w:t>
      </w:r>
      <w:r>
        <w:rPr>
          <w:color w:val="auto"/>
          <w:sz w:val="32"/>
          <w:szCs w:val="32"/>
          <w:highlight w:val="none"/>
        </w:rPr>
        <w:t>。加快产品质量提档升级，</w:t>
      </w:r>
      <w:r>
        <w:rPr>
          <w:rFonts w:hint="eastAsia"/>
          <w:color w:val="auto"/>
          <w:sz w:val="32"/>
          <w:szCs w:val="32"/>
          <w:highlight w:val="none"/>
          <w:lang w:eastAsia="zh-CN"/>
        </w:rPr>
        <w:t>强化食</w:t>
      </w:r>
      <w:r>
        <w:rPr>
          <w:rFonts w:hint="eastAsia"/>
          <w:color w:val="auto"/>
          <w:sz w:val="32"/>
          <w:szCs w:val="32"/>
          <w:highlight w:val="none"/>
          <w:lang w:val="en-US" w:eastAsia="zh-CN"/>
        </w:rPr>
        <w:t>品</w:t>
      </w:r>
      <w:r>
        <w:rPr>
          <w:rFonts w:hint="eastAsia"/>
          <w:color w:val="auto"/>
          <w:sz w:val="32"/>
          <w:szCs w:val="32"/>
          <w:highlight w:val="none"/>
          <w:lang w:eastAsia="zh-CN"/>
        </w:rPr>
        <w:t>药品安全监管，</w:t>
      </w:r>
      <w:r>
        <w:rPr>
          <w:color w:val="auto"/>
          <w:sz w:val="32"/>
          <w:szCs w:val="32"/>
          <w:highlight w:val="none"/>
        </w:rPr>
        <w:t>提升食品药品质量安全水平，优化消费品供给品类，推动工业品质量迈向中高端。提升建设工程品质，提高建筑材料质量水平。增加优质服务供给，提高生产服务专业化水平，促进生活服务品质升级，提升公共服务质量</w:t>
      </w:r>
      <w:r>
        <w:rPr>
          <w:rFonts w:hint="eastAsia"/>
          <w:color w:val="auto"/>
          <w:sz w:val="32"/>
          <w:szCs w:val="32"/>
          <w:highlight w:val="none"/>
          <w:lang w:val="en-US" w:eastAsia="zh-CN"/>
        </w:rPr>
        <w:t>和</w:t>
      </w:r>
      <w:r>
        <w:rPr>
          <w:color w:val="auto"/>
          <w:sz w:val="32"/>
          <w:szCs w:val="32"/>
          <w:highlight w:val="none"/>
        </w:rPr>
        <w:t>效率。</w:t>
      </w:r>
    </w:p>
    <w:p>
      <w:pPr>
        <w:pStyle w:val="4"/>
        <w:keepNext w:val="0"/>
        <w:keepLines w:val="0"/>
        <w:pageBreakBefore w:val="0"/>
        <w:widowControl w:val="0"/>
        <w:shd w:val="clear"/>
        <w:kinsoku/>
        <w:wordWrap/>
        <w:overflowPunct/>
        <w:topLinePunct w:val="0"/>
        <w:autoSpaceDE/>
        <w:autoSpaceDN/>
        <w:bidi w:val="0"/>
        <w:adjustRightInd w:val="0"/>
        <w:snapToGrid w:val="0"/>
        <w:spacing w:line="576" w:lineRule="exact"/>
        <w:ind w:left="0" w:leftChars="0" w:firstLine="0" w:firstLineChars="0"/>
        <w:textAlignment w:val="auto"/>
        <w:rPr>
          <w:rFonts w:hint="eastAsia"/>
          <w:b w:val="0"/>
          <w:bCs/>
          <w:color w:val="auto"/>
          <w:sz w:val="32"/>
          <w:szCs w:val="32"/>
          <w:highlight w:val="none"/>
        </w:rPr>
      </w:pPr>
      <w:bookmarkStart w:id="919" w:name="_Toc20158"/>
      <w:bookmarkStart w:id="920" w:name="_Toc547495166"/>
      <w:bookmarkStart w:id="921" w:name="_Toc1300576145"/>
      <w:bookmarkStart w:id="922" w:name="_Toc1142930664"/>
      <w:bookmarkStart w:id="923" w:name="_Toc1251285016"/>
      <w:bookmarkStart w:id="924" w:name="_Toc871718289"/>
      <w:bookmarkStart w:id="925" w:name="_Toc1059887586"/>
      <w:bookmarkStart w:id="926" w:name="_Toc2050251478"/>
      <w:bookmarkStart w:id="927" w:name="_Toc2600"/>
      <w:bookmarkStart w:id="928" w:name="_Toc608539492"/>
      <w:bookmarkStart w:id="929" w:name="_Toc213447291"/>
      <w:bookmarkStart w:id="930" w:name="_Toc211979468"/>
      <w:bookmarkStart w:id="931" w:name="_Toc1851349867"/>
      <w:bookmarkStart w:id="932" w:name="_Toc83124649"/>
      <w:bookmarkStart w:id="933" w:name="_Toc1430013358"/>
      <w:bookmarkStart w:id="934" w:name="_Toc1111926346"/>
      <w:bookmarkStart w:id="935" w:name="_Toc923832849"/>
    </w:p>
    <w:p>
      <w:pPr>
        <w:pStyle w:val="4"/>
        <w:keepNext w:val="0"/>
        <w:keepLines w:val="0"/>
        <w:pageBreakBefore w:val="0"/>
        <w:widowControl w:val="0"/>
        <w:shd w:val="clear"/>
        <w:kinsoku/>
        <w:wordWrap/>
        <w:overflowPunct/>
        <w:topLinePunct w:val="0"/>
        <w:autoSpaceDE/>
        <w:autoSpaceDN/>
        <w:bidi w:val="0"/>
        <w:adjustRightInd w:val="0"/>
        <w:snapToGrid w:val="0"/>
        <w:spacing w:line="576"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 xml:space="preserve">第四节  </w:t>
      </w:r>
      <w:bookmarkStart w:id="936" w:name="OLE_LINK4"/>
      <w:r>
        <w:rPr>
          <w:rFonts w:hint="eastAsia" w:ascii="黑体" w:hAnsi="黑体" w:eastAsia="黑体" w:cs="黑体"/>
          <w:b w:val="0"/>
          <w:bCs/>
          <w:color w:val="auto"/>
          <w:sz w:val="32"/>
          <w:szCs w:val="32"/>
          <w:highlight w:val="none"/>
        </w:rPr>
        <w:t>进一步加强风险防控</w:t>
      </w:r>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p>
    <w:p>
      <w:pPr>
        <w:pStyle w:val="31"/>
        <w:keepNext w:val="0"/>
        <w:keepLines w:val="0"/>
        <w:pageBreakBefore w:val="0"/>
        <w:widowControl w:val="0"/>
        <w:shd w:val="clear"/>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p>
    <w:p>
      <w:pPr>
        <w:pStyle w:val="31"/>
        <w:keepNext w:val="0"/>
        <w:keepLines w:val="0"/>
        <w:pageBreakBefore w:val="0"/>
        <w:widowControl w:val="0"/>
        <w:shd w:val="clear"/>
        <w:kinsoku/>
        <w:wordWrap/>
        <w:overflowPunct/>
        <w:topLinePunct w:val="0"/>
        <w:autoSpaceDE/>
        <w:autoSpaceDN/>
        <w:bidi w:val="0"/>
        <w:adjustRightInd w:val="0"/>
        <w:snapToGrid w:val="0"/>
        <w:spacing w:afterLines="0" w:line="560" w:lineRule="exact"/>
        <w:textAlignment w:val="auto"/>
        <w:rPr>
          <w:rFonts w:hint="eastAsia"/>
          <w:color w:val="auto"/>
          <w:sz w:val="32"/>
          <w:szCs w:val="32"/>
          <w:highlight w:val="none"/>
        </w:rPr>
      </w:pPr>
      <w:r>
        <w:rPr>
          <w:rFonts w:hint="eastAsia"/>
          <w:b/>
          <w:bCs/>
          <w:color w:val="auto"/>
          <w:sz w:val="32"/>
          <w:szCs w:val="32"/>
          <w:highlight w:val="none"/>
        </w:rPr>
        <w:t>加强自贸港风险防控。</w:t>
      </w:r>
      <w:r>
        <w:rPr>
          <w:rFonts w:hint="eastAsia"/>
          <w:color w:val="auto"/>
          <w:sz w:val="32"/>
          <w:szCs w:val="32"/>
          <w:highlight w:val="none"/>
        </w:rPr>
        <w:t>建立健全风险监测预警</w:t>
      </w:r>
      <w:r>
        <w:rPr>
          <w:rFonts w:hint="eastAsia"/>
          <w:color w:val="auto"/>
          <w:sz w:val="32"/>
          <w:szCs w:val="32"/>
          <w:highlight w:val="none"/>
          <w:lang w:eastAsia="zh-CN"/>
        </w:rPr>
        <w:t>、</w:t>
      </w:r>
      <w:r>
        <w:rPr>
          <w:rFonts w:hint="eastAsia"/>
          <w:color w:val="auto"/>
          <w:sz w:val="32"/>
          <w:szCs w:val="32"/>
          <w:highlight w:val="none"/>
        </w:rPr>
        <w:t>协同响应</w:t>
      </w:r>
      <w:r>
        <w:rPr>
          <w:rFonts w:hint="eastAsia"/>
          <w:color w:val="auto"/>
          <w:sz w:val="32"/>
          <w:szCs w:val="32"/>
          <w:highlight w:val="none"/>
          <w:lang w:eastAsia="zh-CN"/>
        </w:rPr>
        <w:t>和风险动态评估机制，科学有序推进开放节奏和进度。用好</w:t>
      </w:r>
      <w:r>
        <w:rPr>
          <w:rFonts w:hint="eastAsia"/>
          <w:color w:val="auto"/>
          <w:sz w:val="32"/>
          <w:szCs w:val="32"/>
          <w:highlight w:val="none"/>
        </w:rPr>
        <w:t>社会管理信息化平台，强化资金、人员、货物、数据跨境流动等领域监管。防范化解金融风险，完善跨境资本流动监测、预警和响应机制，严厉打击电信诈骗、洗钱、网络赌博等违法犯罪行为。降低人员流动风险，建立健全境外人员出入境和动态管理，以及自贸港免签外国人离岛管控体系。强化货物出入境风险监管，建立以货物风险分类、企业信用分级的精准管理模式，强化</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一线</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进出境环节安全准入监管，提升</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二线口岸</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通行便利水平。深化网络空间安全综合治理，强化数据流动风险监控，加强数据出境安全管理，</w:t>
      </w:r>
      <w:bookmarkStart w:id="937" w:name="OLE_LINK6"/>
      <w:r>
        <w:rPr>
          <w:rFonts w:hint="eastAsia"/>
          <w:color w:val="auto"/>
          <w:sz w:val="32"/>
          <w:szCs w:val="32"/>
          <w:highlight w:val="none"/>
        </w:rPr>
        <w:t>落实个人信息和重要数据出境安全评估标准等制度</w:t>
      </w:r>
      <w:bookmarkEnd w:id="937"/>
      <w:r>
        <w:rPr>
          <w:rFonts w:hint="eastAsia"/>
          <w:color w:val="auto"/>
          <w:sz w:val="32"/>
          <w:szCs w:val="32"/>
          <w:highlight w:val="none"/>
        </w:rPr>
        <w:t>，加强个人信息保护。</w:t>
      </w:r>
    </w:p>
    <w:p>
      <w:pPr>
        <w:pStyle w:val="31"/>
        <w:keepNext w:val="0"/>
        <w:keepLines w:val="0"/>
        <w:pageBreakBefore w:val="0"/>
        <w:widowControl w:val="0"/>
        <w:shd w:val="clear"/>
        <w:kinsoku/>
        <w:wordWrap/>
        <w:overflowPunct/>
        <w:topLinePunct w:val="0"/>
        <w:autoSpaceDE/>
        <w:autoSpaceDN/>
        <w:bidi w:val="0"/>
        <w:adjustRightInd w:val="0"/>
        <w:snapToGrid w:val="0"/>
        <w:spacing w:after="0" w:afterLines="0" w:line="560" w:lineRule="exact"/>
        <w:textAlignment w:val="auto"/>
        <w:rPr>
          <w:rFonts w:hint="eastAsia"/>
          <w:color w:val="auto"/>
          <w:sz w:val="32"/>
          <w:szCs w:val="32"/>
          <w:highlight w:val="none"/>
        </w:rPr>
      </w:pPr>
      <w:r>
        <w:rPr>
          <w:rFonts w:hint="eastAsia"/>
          <w:b/>
          <w:bCs/>
          <w:color w:val="auto"/>
          <w:sz w:val="32"/>
          <w:szCs w:val="32"/>
          <w:highlight w:val="none"/>
        </w:rPr>
        <w:t>强化重点领域风险防范。</w:t>
      </w:r>
      <w:r>
        <w:rPr>
          <w:rFonts w:hint="eastAsia"/>
          <w:color w:val="auto"/>
          <w:sz w:val="32"/>
          <w:szCs w:val="32"/>
          <w:highlight w:val="none"/>
        </w:rPr>
        <w:t>推进贸易、投资、金融、税收、意识形态等重点领域风险防控工作，严防严惩各类违法违规行为。统筹化解房地产、地方政府债务、中小金融机构等风险，坚决守住不发生系统性、区域性风险底线。建好用好反走私综合执法站，提升沿海非设关地监管能力，完善打击离岛免税</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套代购</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走私行为联动协作机制</w:t>
      </w:r>
      <w:r>
        <w:rPr>
          <w:color w:val="auto"/>
          <w:sz w:val="32"/>
          <w:szCs w:val="32"/>
          <w:highlight w:val="none"/>
        </w:rPr>
        <w:t>，</w:t>
      </w:r>
      <w:r>
        <w:rPr>
          <w:rFonts w:hint="eastAsia"/>
          <w:color w:val="auto"/>
          <w:sz w:val="32"/>
          <w:szCs w:val="32"/>
          <w:highlight w:val="none"/>
        </w:rPr>
        <w:t>构建反走私综合治理体系。</w:t>
      </w:r>
      <w:r>
        <w:rPr>
          <w:color w:val="auto"/>
          <w:sz w:val="32"/>
          <w:szCs w:val="32"/>
          <w:highlight w:val="none"/>
        </w:rPr>
        <w:t>加快推进海警工作站和综合执法点实战化建设、社管平台高效运行、三无船舶清理整治、陆海联勤联防等非设关地监管工作。</w:t>
      </w:r>
      <w:r>
        <w:rPr>
          <w:rFonts w:hint="eastAsia"/>
          <w:color w:val="auto"/>
          <w:sz w:val="32"/>
          <w:szCs w:val="32"/>
          <w:highlight w:val="none"/>
        </w:rPr>
        <w:t>防范化解生态风险，加强海洋生态保护管理。加强涉疫等重点人员流动风险防控管理，建立突发公共卫生事件监测预警机制与防控救治机制。</w:t>
      </w:r>
    </w:p>
    <w:tbl>
      <w:tblPr>
        <w:tblStyle w:val="22"/>
        <w:tblpPr w:leftFromText="180" w:rightFromText="180" w:vertAnchor="text" w:horzAnchor="page" w:tblpX="1830" w:tblpY="409"/>
        <w:tblOverlap w:val="never"/>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844" w:type="dxa"/>
          </w:tcPr>
          <w:p>
            <w:pPr>
              <w:keepNext w:val="0"/>
              <w:keepLines w:val="0"/>
              <w:pageBreakBefore w:val="0"/>
              <w:widowControl w:val="0"/>
              <w:shd w:val="clear"/>
              <w:kinsoku/>
              <w:wordWrap/>
              <w:overflowPunct/>
              <w:topLinePunct w:val="0"/>
              <w:autoSpaceDE/>
              <w:autoSpaceDN/>
              <w:bidi w:val="0"/>
              <w:snapToGrid w:val="0"/>
              <w:spacing w:before="95" w:beforeLines="30" w:after="95" w:afterLines="30" w:line="560" w:lineRule="exact"/>
              <w:jc w:val="center"/>
              <w:textAlignment w:val="auto"/>
              <w:rPr>
                <w:rFonts w:ascii="Times New Roman" w:hAnsi="Times New Roman" w:eastAsia="仿宋"/>
                <w:color w:val="auto"/>
                <w:kern w:val="0"/>
                <w:sz w:val="28"/>
                <w:szCs w:val="28"/>
                <w:highlight w:val="none"/>
              </w:rPr>
            </w:pPr>
            <w:bookmarkStart w:id="938" w:name="_Toc1494235531"/>
            <w:bookmarkStart w:id="939" w:name="_Toc485634231"/>
            <w:bookmarkStart w:id="940" w:name="_Toc725611384"/>
            <w:bookmarkStart w:id="941" w:name="_Toc1089382510"/>
            <w:bookmarkStart w:id="942" w:name="_Toc213447292"/>
            <w:bookmarkStart w:id="943" w:name="_Toc860425585"/>
            <w:bookmarkStart w:id="944" w:name="_Toc1097395547"/>
            <w:bookmarkStart w:id="945" w:name="_Toc18677"/>
            <w:bookmarkStart w:id="946" w:name="_Toc1931842483"/>
            <w:bookmarkStart w:id="947" w:name="_Toc332062644"/>
            <w:r>
              <w:rPr>
                <w:rFonts w:hint="eastAsia" w:ascii="Times New Roman" w:hAnsi="Times New Roman" w:eastAsia="黑体" w:cs="黑体"/>
                <w:color w:val="auto"/>
                <w:kern w:val="0"/>
                <w:sz w:val="28"/>
                <w:szCs w:val="28"/>
                <w:highlight w:val="none"/>
              </w:rPr>
              <w:t>专栏</w:t>
            </w:r>
            <w:r>
              <w:rPr>
                <w:rFonts w:hint="default" w:ascii="Times New Roman" w:hAnsi="Times New Roman" w:eastAsia="黑体" w:cs="Times New Roman"/>
                <w:bCs/>
                <w:color w:val="auto"/>
                <w:sz w:val="28"/>
                <w:szCs w:val="28"/>
                <w:highlight w:val="none"/>
              </w:rPr>
              <w:fldChar w:fldCharType="begin"/>
            </w:r>
            <w:r>
              <w:rPr>
                <w:rFonts w:hint="default" w:ascii="Times New Roman" w:hAnsi="Times New Roman" w:eastAsia="黑体" w:cs="Times New Roman"/>
                <w:bCs/>
                <w:color w:val="auto"/>
                <w:sz w:val="28"/>
                <w:szCs w:val="28"/>
                <w:highlight w:val="none"/>
              </w:rPr>
              <w:instrText xml:space="preserve"> SEQ 表格 \* ARABIC </w:instrText>
            </w:r>
            <w:r>
              <w:rPr>
                <w:rFonts w:hint="default" w:ascii="Times New Roman" w:hAnsi="Times New Roman" w:eastAsia="黑体" w:cs="Times New Roman"/>
                <w:bCs/>
                <w:color w:val="auto"/>
                <w:sz w:val="28"/>
                <w:szCs w:val="28"/>
                <w:highlight w:val="none"/>
              </w:rPr>
              <w:fldChar w:fldCharType="separate"/>
            </w:r>
            <w:r>
              <w:rPr>
                <w:rFonts w:hint="default" w:ascii="Times New Roman" w:hAnsi="Times New Roman" w:eastAsia="黑体" w:cs="Times New Roman"/>
                <w:bCs/>
                <w:color w:val="auto"/>
                <w:sz w:val="28"/>
                <w:szCs w:val="28"/>
                <w:highlight w:val="none"/>
              </w:rPr>
              <w:t>1</w:t>
            </w:r>
            <w:r>
              <w:rPr>
                <w:rFonts w:hint="default" w:ascii="Times New Roman" w:hAnsi="Times New Roman" w:eastAsia="黑体" w:cs="Times New Roman"/>
                <w:bCs/>
                <w:color w:val="auto"/>
                <w:sz w:val="28"/>
                <w:szCs w:val="28"/>
                <w:highlight w:val="none"/>
              </w:rPr>
              <w:fldChar w:fldCharType="end"/>
            </w:r>
            <w:r>
              <w:rPr>
                <w:rFonts w:hint="default" w:ascii="Times New Roman" w:hAnsi="Times New Roman" w:eastAsia="黑体" w:cs="Times New Roman"/>
                <w:bCs/>
                <w:color w:val="auto"/>
                <w:sz w:val="28"/>
                <w:szCs w:val="28"/>
                <w:highlight w:val="none"/>
                <w:lang w:val="en-US" w:eastAsia="zh-CN"/>
              </w:rPr>
              <w:t>7</w:t>
            </w:r>
            <w:r>
              <w:rPr>
                <w:rFonts w:hint="eastAsia" w:ascii="Times New Roman" w:hAnsi="Times New Roman" w:eastAsia="黑体"/>
                <w:color w:val="auto"/>
                <w:kern w:val="0"/>
                <w:sz w:val="28"/>
                <w:szCs w:val="28"/>
                <w:highlight w:val="none"/>
                <w:lang w:val="en-US" w:eastAsia="zh-CN"/>
              </w:rPr>
              <w:t xml:space="preserve">  </w:t>
            </w:r>
            <w:r>
              <w:rPr>
                <w:rFonts w:hint="eastAsia" w:ascii="Times New Roman" w:hAnsi="Times New Roman" w:eastAsia="黑体" w:cs="黑体"/>
                <w:color w:val="auto"/>
                <w:kern w:val="0"/>
                <w:sz w:val="28"/>
                <w:szCs w:val="28"/>
                <w:highlight w:val="none"/>
                <w:lang w:val="en-US" w:eastAsia="zh-CN"/>
              </w:rPr>
              <w:t>社会风险防控</w:t>
            </w:r>
            <w:r>
              <w:rPr>
                <w:rFonts w:hint="eastAsia" w:ascii="Times New Roman" w:hAnsi="Times New Roman" w:eastAsia="黑体" w:cs="黑体"/>
                <w:color w:val="auto"/>
                <w:kern w:val="0"/>
                <w:sz w:val="28"/>
                <w:szCs w:val="28"/>
                <w:highlight w:val="none"/>
              </w:rPr>
              <w:t>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844" w:type="dxa"/>
            <w:vAlign w:val="center"/>
          </w:tcPr>
          <w:p>
            <w:pPr>
              <w:pStyle w:val="33"/>
              <w:keepNext w:val="0"/>
              <w:keepLines w:val="0"/>
              <w:pageBreakBefore w:val="0"/>
              <w:widowControl w:val="0"/>
              <w:numPr>
                <w:ilvl w:val="-1"/>
                <w:numId w:val="0"/>
              </w:numPr>
              <w:shd w:val="clear"/>
              <w:kinsoku/>
              <w:wordWrap/>
              <w:overflowPunct/>
              <w:topLinePunct w:val="0"/>
              <w:autoSpaceDE/>
              <w:autoSpaceDN/>
              <w:bidi w:val="0"/>
              <w:snapToGrid w:val="0"/>
              <w:spacing w:before="95" w:beforeLines="30" w:after="95" w:afterLines="30" w:line="440" w:lineRule="exact"/>
              <w:ind w:firstLine="562" w:firstLineChars="200"/>
              <w:textAlignment w:val="auto"/>
              <w:rPr>
                <w:rFonts w:hint="eastAsia" w:ascii="Times New Roman" w:hAnsi="Times New Roman" w:eastAsia="楷体" w:cs="楷体"/>
                <w:color w:val="auto"/>
                <w:highlight w:val="none"/>
                <w:lang w:val="en-US" w:eastAsia="zh-CN"/>
              </w:rPr>
            </w:pPr>
            <w:r>
              <w:rPr>
                <w:rFonts w:hint="eastAsia" w:cs="Times New Roman"/>
                <w:b/>
                <w:bCs/>
                <w:color w:val="auto"/>
                <w:highlight w:val="none"/>
                <w:lang w:val="en-US" w:eastAsia="zh-CN"/>
              </w:rPr>
              <w:t>1.</w:t>
            </w:r>
            <w:r>
              <w:rPr>
                <w:rFonts w:hint="eastAsia"/>
                <w:b/>
                <w:bCs/>
                <w:color w:val="auto"/>
                <w:highlight w:val="none"/>
                <w:lang w:val="en-US" w:eastAsia="zh-CN"/>
              </w:rPr>
              <w:t>政治安全风险防控工程。</w:t>
            </w:r>
            <w:r>
              <w:rPr>
                <w:rFonts w:hint="eastAsia" w:ascii="Times New Roman" w:hAnsi="Times New Roman" w:eastAsia="楷体" w:cs="楷体"/>
                <w:color w:val="auto"/>
                <w:highlight w:val="none"/>
                <w:lang w:val="en-US" w:eastAsia="zh-CN"/>
              </w:rPr>
              <w:t>重点领域国家安全能力建设、国家安全机关保障、重点地区综合治理、重点</w:t>
            </w:r>
            <w:r>
              <w:rPr>
                <w:rFonts w:hint="eastAsia" w:cs="楷体"/>
                <w:color w:val="auto"/>
                <w:highlight w:val="none"/>
                <w:lang w:val="en-US" w:eastAsia="zh-CN"/>
              </w:rPr>
              <w:t>场所</w:t>
            </w:r>
            <w:r>
              <w:rPr>
                <w:rFonts w:hint="eastAsia" w:ascii="Times New Roman" w:hAnsi="Times New Roman" w:eastAsia="楷体" w:cs="楷体"/>
                <w:color w:val="auto"/>
                <w:highlight w:val="none"/>
                <w:lang w:val="en-US" w:eastAsia="zh-CN"/>
              </w:rPr>
              <w:t>防暴恐设施建设、重大活动安保能力提升。</w:t>
            </w:r>
          </w:p>
          <w:p>
            <w:pPr>
              <w:pStyle w:val="33"/>
              <w:keepNext w:val="0"/>
              <w:keepLines w:val="0"/>
              <w:pageBreakBefore w:val="0"/>
              <w:widowControl w:val="0"/>
              <w:numPr>
                <w:ilvl w:val="-1"/>
                <w:numId w:val="0"/>
              </w:numPr>
              <w:shd w:val="clear"/>
              <w:kinsoku/>
              <w:wordWrap/>
              <w:overflowPunct/>
              <w:topLinePunct w:val="0"/>
              <w:autoSpaceDE/>
              <w:autoSpaceDN/>
              <w:bidi w:val="0"/>
              <w:snapToGrid w:val="0"/>
              <w:spacing w:before="95" w:beforeLines="30" w:after="95" w:afterLines="30" w:line="440" w:lineRule="exact"/>
              <w:ind w:firstLine="562" w:firstLineChars="200"/>
              <w:textAlignment w:val="auto"/>
              <w:rPr>
                <w:rFonts w:hint="eastAsia" w:ascii="Times New Roman" w:hAnsi="Times New Roman" w:eastAsia="楷体" w:cs="楷体"/>
                <w:color w:val="auto"/>
                <w:highlight w:val="none"/>
                <w:lang w:val="en-US" w:eastAsia="zh-CN"/>
              </w:rPr>
            </w:pPr>
            <w:r>
              <w:rPr>
                <w:rFonts w:hint="default" w:ascii="Times New Roman" w:hAnsi="Times New Roman" w:cs="Times New Roman"/>
                <w:b/>
                <w:bCs/>
                <w:color w:val="auto"/>
                <w:highlight w:val="none"/>
                <w:lang w:val="en-US" w:eastAsia="zh-CN"/>
              </w:rPr>
              <w:t>2</w:t>
            </w:r>
            <w:r>
              <w:rPr>
                <w:rFonts w:hint="eastAsia" w:ascii="楷体_GB2312" w:hAnsi="楷体_GB2312" w:eastAsia="楷体_GB2312" w:cs="楷体_GB2312"/>
                <w:b/>
                <w:bCs/>
                <w:color w:val="auto"/>
                <w:highlight w:val="none"/>
                <w:lang w:val="en-US" w:eastAsia="zh-CN"/>
              </w:rPr>
              <w:t>.</w:t>
            </w:r>
            <w:r>
              <w:rPr>
                <w:rFonts w:hint="eastAsia"/>
                <w:b/>
                <w:bCs/>
                <w:color w:val="auto"/>
                <w:highlight w:val="none"/>
                <w:lang w:val="en-US" w:eastAsia="zh-CN"/>
              </w:rPr>
              <w:t>社会稳定风险防控工程</w:t>
            </w:r>
            <w:r>
              <w:rPr>
                <w:rFonts w:hint="eastAsia"/>
                <w:color w:val="auto"/>
                <w:highlight w:val="none"/>
                <w:lang w:val="en-US" w:eastAsia="zh-CN"/>
              </w:rPr>
              <w:t>。</w:t>
            </w:r>
            <w:r>
              <w:rPr>
                <w:rFonts w:hint="eastAsia" w:ascii="Times New Roman" w:hAnsi="Times New Roman" w:eastAsia="楷体" w:cs="楷体"/>
                <w:color w:val="auto"/>
                <w:highlight w:val="none"/>
                <w:lang w:eastAsia="zh-CN"/>
              </w:rPr>
              <w:t>重大决策</w:t>
            </w:r>
            <w:r>
              <w:rPr>
                <w:rFonts w:hint="eastAsia" w:ascii="Times New Roman" w:hAnsi="Times New Roman" w:eastAsia="楷体" w:cs="楷体"/>
                <w:color w:val="auto"/>
                <w:highlight w:val="none"/>
                <w:lang w:val="en-US" w:eastAsia="zh-CN"/>
              </w:rPr>
              <w:t>社会稳定风险评估</w:t>
            </w:r>
            <w:r>
              <w:rPr>
                <w:rFonts w:hint="eastAsia" w:cs="楷体"/>
                <w:color w:val="auto"/>
                <w:highlight w:val="none"/>
                <w:lang w:val="en-US" w:eastAsia="zh-CN"/>
              </w:rPr>
              <w:t>，</w:t>
            </w:r>
            <w:r>
              <w:rPr>
                <w:rFonts w:hint="eastAsia" w:ascii="Times New Roman" w:hAnsi="Times New Roman" w:eastAsia="楷体" w:cs="楷体"/>
                <w:color w:val="auto"/>
                <w:highlight w:val="none"/>
                <w:lang w:val="en-US" w:eastAsia="zh-CN"/>
              </w:rPr>
              <w:t>重点行业领域风险源头防范</w:t>
            </w:r>
            <w:r>
              <w:rPr>
                <w:rFonts w:hint="eastAsia" w:cs="楷体"/>
                <w:color w:val="auto"/>
                <w:highlight w:val="none"/>
                <w:lang w:val="en-US" w:eastAsia="zh-CN"/>
              </w:rPr>
              <w:t>，</w:t>
            </w:r>
            <w:r>
              <w:rPr>
                <w:rFonts w:hint="eastAsia" w:ascii="Times New Roman" w:hAnsi="Times New Roman" w:eastAsia="楷体" w:cs="楷体"/>
                <w:color w:val="auto"/>
                <w:highlight w:val="none"/>
                <w:lang w:val="en-US" w:eastAsia="zh-CN"/>
              </w:rPr>
              <w:t>矛盾纠纷一站式多元化解平台建设</w:t>
            </w:r>
            <w:r>
              <w:rPr>
                <w:rFonts w:hint="eastAsia" w:cs="楷体"/>
                <w:color w:val="auto"/>
                <w:highlight w:val="none"/>
                <w:lang w:val="en-US" w:eastAsia="zh-CN"/>
              </w:rPr>
              <w:t>，</w:t>
            </w:r>
            <w:r>
              <w:rPr>
                <w:rFonts w:hint="eastAsia" w:ascii="Times New Roman" w:hAnsi="Times New Roman" w:eastAsia="楷体" w:cs="楷体"/>
                <w:color w:val="auto"/>
                <w:highlight w:val="none"/>
                <w:lang w:val="en-US" w:eastAsia="zh-CN"/>
              </w:rPr>
              <w:t>重点人群动态服务管理。</w:t>
            </w:r>
          </w:p>
          <w:p>
            <w:pPr>
              <w:pStyle w:val="33"/>
              <w:keepNext w:val="0"/>
              <w:keepLines w:val="0"/>
              <w:pageBreakBefore w:val="0"/>
              <w:widowControl w:val="0"/>
              <w:numPr>
                <w:ilvl w:val="0"/>
                <w:numId w:val="0"/>
              </w:numPr>
              <w:shd w:val="clear"/>
              <w:kinsoku/>
              <w:wordWrap/>
              <w:overflowPunct/>
              <w:topLinePunct w:val="0"/>
              <w:autoSpaceDE/>
              <w:autoSpaceDN/>
              <w:bidi w:val="0"/>
              <w:snapToGrid w:val="0"/>
              <w:spacing w:before="95" w:beforeLines="30" w:after="95" w:afterLines="30" w:line="440" w:lineRule="exact"/>
              <w:ind w:firstLine="562" w:firstLineChars="200"/>
              <w:textAlignment w:val="auto"/>
              <w:rPr>
                <w:rFonts w:hint="eastAsia" w:ascii="Times New Roman" w:hAnsi="Times New Roman" w:eastAsia="楷体" w:cs="楷体"/>
                <w:color w:val="auto"/>
                <w:highlight w:val="none"/>
                <w:lang w:val="en-US" w:eastAsia="zh-CN"/>
              </w:rPr>
            </w:pPr>
            <w:r>
              <w:rPr>
                <w:rFonts w:hint="default" w:ascii="Times New Roman" w:hAnsi="Times New Roman" w:cs="Times New Roman"/>
                <w:b/>
                <w:bCs/>
                <w:color w:val="auto"/>
                <w:highlight w:val="none"/>
                <w:lang w:val="en-US" w:eastAsia="zh-CN"/>
              </w:rPr>
              <w:t>3</w:t>
            </w:r>
            <w:r>
              <w:rPr>
                <w:rFonts w:hint="eastAsia" w:ascii="楷体_GB2312" w:hAnsi="楷体_GB2312" w:eastAsia="楷体_GB2312" w:cs="楷体_GB2312"/>
                <w:b/>
                <w:bCs/>
                <w:color w:val="auto"/>
                <w:highlight w:val="none"/>
                <w:lang w:eastAsia="zh-CN"/>
              </w:rPr>
              <w:t>.</w:t>
            </w:r>
            <w:r>
              <w:rPr>
                <w:rFonts w:hint="eastAsia"/>
                <w:b/>
                <w:bCs/>
                <w:color w:val="auto"/>
                <w:highlight w:val="none"/>
                <w:lang w:val="en-US" w:eastAsia="zh-CN"/>
              </w:rPr>
              <w:t>社会治安风险防控工程。</w:t>
            </w:r>
            <w:r>
              <w:rPr>
                <w:rFonts w:hint="eastAsia" w:ascii="Times New Roman" w:hAnsi="Times New Roman" w:eastAsia="楷体" w:cs="楷体"/>
                <w:color w:val="auto"/>
                <w:highlight w:val="none"/>
                <w:lang w:val="en-US" w:eastAsia="zh-CN"/>
              </w:rPr>
              <w:t>社会治安防控体系升级</w:t>
            </w:r>
            <w:r>
              <w:rPr>
                <w:rFonts w:hint="eastAsia" w:cs="楷体"/>
                <w:color w:val="auto"/>
                <w:highlight w:val="none"/>
                <w:lang w:val="en-US" w:eastAsia="zh-CN"/>
              </w:rPr>
              <w:t>，</w:t>
            </w:r>
            <w:r>
              <w:rPr>
                <w:rFonts w:hint="eastAsia" w:ascii="Times New Roman" w:hAnsi="Times New Roman" w:eastAsia="楷体" w:cs="楷体"/>
                <w:color w:val="auto"/>
                <w:highlight w:val="none"/>
                <w:lang w:val="en-US" w:eastAsia="zh-CN"/>
              </w:rPr>
              <w:t>公共安全视频监控联网应用和数据挖掘能力提升</w:t>
            </w:r>
            <w:r>
              <w:rPr>
                <w:rFonts w:hint="eastAsia" w:cs="楷体"/>
                <w:color w:val="auto"/>
                <w:highlight w:val="none"/>
                <w:lang w:val="en-US" w:eastAsia="zh-CN"/>
              </w:rPr>
              <w:t>，</w:t>
            </w:r>
            <w:r>
              <w:rPr>
                <w:rFonts w:hint="eastAsia" w:ascii="Times New Roman" w:hAnsi="Times New Roman" w:eastAsia="楷体" w:cs="楷体"/>
                <w:color w:val="auto"/>
                <w:highlight w:val="none"/>
                <w:lang w:val="en-US" w:eastAsia="zh-CN"/>
              </w:rPr>
              <w:t>打击犯罪的技术装备升级</w:t>
            </w:r>
            <w:r>
              <w:rPr>
                <w:rFonts w:hint="eastAsia" w:cs="楷体"/>
                <w:color w:val="auto"/>
                <w:highlight w:val="none"/>
                <w:lang w:val="en-US" w:eastAsia="zh-CN"/>
              </w:rPr>
              <w:t>，</w:t>
            </w:r>
            <w:r>
              <w:rPr>
                <w:rFonts w:hint="eastAsia" w:ascii="Times New Roman" w:hAnsi="Times New Roman" w:eastAsia="楷体" w:cs="楷体"/>
                <w:color w:val="auto"/>
                <w:highlight w:val="none"/>
                <w:lang w:val="en-US" w:eastAsia="zh-CN"/>
              </w:rPr>
              <w:t>重点场所风险管控与响应能力</w:t>
            </w:r>
            <w:r>
              <w:rPr>
                <w:rFonts w:hint="eastAsia" w:cs="楷体"/>
                <w:color w:val="auto"/>
                <w:highlight w:val="none"/>
                <w:lang w:val="en-US" w:eastAsia="zh-CN"/>
              </w:rPr>
              <w:t>提升</w:t>
            </w:r>
            <w:r>
              <w:rPr>
                <w:rFonts w:hint="eastAsia" w:ascii="Times New Roman" w:hAnsi="Times New Roman" w:eastAsia="楷体" w:cs="楷体"/>
                <w:color w:val="auto"/>
                <w:highlight w:val="none"/>
                <w:lang w:val="en-US" w:eastAsia="zh-CN"/>
              </w:rPr>
              <w:t>。</w:t>
            </w:r>
          </w:p>
          <w:p>
            <w:pPr>
              <w:pStyle w:val="33"/>
              <w:keepNext w:val="0"/>
              <w:keepLines w:val="0"/>
              <w:pageBreakBefore w:val="0"/>
              <w:widowControl w:val="0"/>
              <w:numPr>
                <w:ilvl w:val="0"/>
                <w:numId w:val="0"/>
              </w:numPr>
              <w:shd w:val="clear"/>
              <w:kinsoku/>
              <w:wordWrap/>
              <w:overflowPunct/>
              <w:topLinePunct w:val="0"/>
              <w:autoSpaceDE/>
              <w:autoSpaceDN/>
              <w:bidi w:val="0"/>
              <w:snapToGrid w:val="0"/>
              <w:spacing w:before="95" w:beforeLines="30" w:after="95" w:afterLines="30" w:line="440" w:lineRule="exact"/>
              <w:ind w:firstLine="562" w:firstLineChars="200"/>
              <w:textAlignment w:val="auto"/>
              <w:rPr>
                <w:rFonts w:hint="eastAsia" w:ascii="Times New Roman" w:hAnsi="Times New Roman" w:eastAsia="楷体" w:cs="楷体"/>
                <w:color w:val="auto"/>
                <w:highlight w:val="none"/>
                <w:lang w:val="en-US" w:eastAsia="zh-CN"/>
              </w:rPr>
            </w:pPr>
            <w:r>
              <w:rPr>
                <w:rFonts w:hint="default" w:ascii="Times New Roman" w:hAnsi="Times New Roman" w:cs="Times New Roman"/>
                <w:b/>
                <w:bCs/>
                <w:color w:val="auto"/>
                <w:highlight w:val="none"/>
                <w:lang w:val="en-US" w:eastAsia="zh-CN"/>
              </w:rPr>
              <w:t>4</w:t>
            </w:r>
            <w:r>
              <w:rPr>
                <w:rFonts w:hint="eastAsia" w:ascii="楷体_GB2312" w:hAnsi="楷体_GB2312" w:eastAsia="楷体_GB2312" w:cs="楷体_GB2312"/>
                <w:b/>
                <w:bCs/>
                <w:color w:val="auto"/>
                <w:highlight w:val="none"/>
                <w:lang w:eastAsia="zh-CN"/>
              </w:rPr>
              <w:t>.</w:t>
            </w:r>
            <w:r>
              <w:rPr>
                <w:rFonts w:hint="eastAsia"/>
                <w:b/>
                <w:bCs/>
                <w:color w:val="auto"/>
                <w:highlight w:val="none"/>
                <w:lang w:val="en-US" w:eastAsia="zh-CN"/>
              </w:rPr>
              <w:t>公共安全风险防控工程。</w:t>
            </w:r>
            <w:r>
              <w:rPr>
                <w:rFonts w:hint="eastAsia" w:ascii="Times New Roman" w:hAnsi="Times New Roman" w:eastAsia="楷体" w:cs="楷体"/>
                <w:color w:val="auto"/>
                <w:highlight w:val="none"/>
                <w:lang w:val="en-US" w:eastAsia="zh-CN"/>
              </w:rPr>
              <w:t>城市生命线与重点场所安全韧性提升</w:t>
            </w:r>
            <w:r>
              <w:rPr>
                <w:rFonts w:hint="eastAsia" w:cs="楷体"/>
                <w:color w:val="auto"/>
                <w:highlight w:val="none"/>
                <w:lang w:val="en-US" w:eastAsia="zh-CN"/>
              </w:rPr>
              <w:t>，</w:t>
            </w:r>
            <w:r>
              <w:rPr>
                <w:rFonts w:hint="eastAsia" w:ascii="Times New Roman" w:hAnsi="Times New Roman" w:eastAsia="楷体" w:cs="楷体"/>
                <w:color w:val="auto"/>
                <w:highlight w:val="none"/>
                <w:lang w:val="en-US" w:eastAsia="zh-CN"/>
              </w:rPr>
              <w:t>公共安全应急联动响应能力</w:t>
            </w:r>
            <w:r>
              <w:rPr>
                <w:rFonts w:hint="eastAsia" w:cs="楷体"/>
                <w:color w:val="auto"/>
                <w:highlight w:val="none"/>
                <w:lang w:val="en-US" w:eastAsia="zh-CN"/>
              </w:rPr>
              <w:t>和</w:t>
            </w:r>
            <w:r>
              <w:rPr>
                <w:rFonts w:hint="eastAsia" w:ascii="Times New Roman" w:hAnsi="Times New Roman" w:eastAsia="楷体" w:cs="楷体"/>
                <w:color w:val="auto"/>
                <w:highlight w:val="none"/>
                <w:lang w:val="en-US" w:eastAsia="zh-CN"/>
              </w:rPr>
              <w:t>基层社区网格化应急响应单元能力建设。</w:t>
            </w:r>
          </w:p>
          <w:p>
            <w:pPr>
              <w:pStyle w:val="33"/>
              <w:keepNext w:val="0"/>
              <w:keepLines w:val="0"/>
              <w:pageBreakBefore w:val="0"/>
              <w:widowControl w:val="0"/>
              <w:numPr>
                <w:ilvl w:val="0"/>
                <w:numId w:val="0"/>
              </w:numPr>
              <w:shd w:val="clear"/>
              <w:kinsoku/>
              <w:wordWrap/>
              <w:overflowPunct/>
              <w:topLinePunct w:val="0"/>
              <w:autoSpaceDE/>
              <w:autoSpaceDN/>
              <w:bidi w:val="0"/>
              <w:snapToGrid w:val="0"/>
              <w:spacing w:before="95" w:beforeLines="30" w:after="95" w:afterLines="30" w:line="440" w:lineRule="exact"/>
              <w:ind w:firstLine="562" w:firstLineChars="200"/>
              <w:textAlignment w:val="auto"/>
              <w:rPr>
                <w:rFonts w:hint="eastAsia" w:eastAsia="楷体"/>
                <w:color w:val="auto"/>
                <w:highlight w:val="none"/>
                <w:lang w:eastAsia="zh-CN"/>
              </w:rPr>
            </w:pPr>
            <w:r>
              <w:rPr>
                <w:rFonts w:hint="default" w:ascii="Times New Roman" w:hAnsi="Times New Roman" w:cs="Times New Roman"/>
                <w:b/>
                <w:bCs/>
                <w:color w:val="auto"/>
                <w:highlight w:val="none"/>
                <w:lang w:val="en-US" w:eastAsia="zh-CN"/>
              </w:rPr>
              <w:t>5</w:t>
            </w:r>
            <w:r>
              <w:rPr>
                <w:rFonts w:hint="eastAsia" w:ascii="楷体_GB2312" w:hAnsi="楷体_GB2312" w:eastAsia="楷体_GB2312" w:cs="楷体_GB2312"/>
                <w:b/>
                <w:bCs/>
                <w:color w:val="auto"/>
                <w:highlight w:val="none"/>
                <w:lang w:eastAsia="zh-CN"/>
              </w:rPr>
              <w:t>.</w:t>
            </w:r>
            <w:r>
              <w:rPr>
                <w:rFonts w:hint="eastAsia"/>
                <w:b/>
                <w:bCs/>
                <w:color w:val="auto"/>
                <w:highlight w:val="none"/>
                <w:lang w:val="en-US" w:eastAsia="zh-CN"/>
              </w:rPr>
              <w:t>反走私风险防控工程。</w:t>
            </w:r>
            <w:r>
              <w:rPr>
                <w:rFonts w:hint="eastAsia" w:ascii="Times New Roman" w:hAnsi="Times New Roman" w:eastAsia="楷体" w:cs="楷体"/>
                <w:color w:val="auto"/>
                <w:highlight w:val="none"/>
                <w:lang w:val="en-US" w:eastAsia="zh-CN"/>
              </w:rPr>
              <w:t>反走私综合治理体系建设、非设关地精准管控能力提升、</w:t>
            </w:r>
            <w:r>
              <w:rPr>
                <w:rFonts w:hint="eastAsia" w:ascii="仿宋_GB2312" w:hAnsi="仿宋_GB2312" w:eastAsia="仿宋_GB2312" w:cs="仿宋_GB2312"/>
                <w:color w:val="auto"/>
                <w:highlight w:val="none"/>
                <w:lang w:val="en-US" w:eastAsia="zh-CN"/>
              </w:rPr>
              <w:t>“</w:t>
            </w:r>
            <w:r>
              <w:rPr>
                <w:rFonts w:hint="eastAsia" w:ascii="Times New Roman" w:hAnsi="Times New Roman" w:eastAsia="楷体" w:cs="楷体"/>
                <w:color w:val="auto"/>
                <w:highlight w:val="none"/>
                <w:lang w:val="en-US" w:eastAsia="zh-CN"/>
              </w:rPr>
              <w:t>二线口岸</w:t>
            </w:r>
            <w:r>
              <w:rPr>
                <w:rFonts w:hint="eastAsia" w:ascii="仿宋_GB2312" w:hAnsi="仿宋_GB2312" w:eastAsia="仿宋_GB2312" w:cs="仿宋_GB2312"/>
                <w:color w:val="auto"/>
                <w:highlight w:val="none"/>
                <w:lang w:val="en-US" w:eastAsia="zh-CN"/>
              </w:rPr>
              <w:t>”</w:t>
            </w:r>
            <w:r>
              <w:rPr>
                <w:rFonts w:hint="eastAsia" w:ascii="Times New Roman" w:hAnsi="Times New Roman" w:eastAsia="楷体" w:cs="楷体"/>
                <w:color w:val="auto"/>
                <w:highlight w:val="none"/>
                <w:lang w:val="en-US" w:eastAsia="zh-CN"/>
              </w:rPr>
              <w:t>智慧监管与风险拦截、数据流动与网络安全风险防控。</w:t>
            </w:r>
          </w:p>
        </w:tc>
      </w:tr>
    </w:tbl>
    <w:p>
      <w:pPr>
        <w:rPr>
          <w:rFonts w:hint="eastAsia"/>
        </w:rPr>
      </w:pPr>
    </w:p>
    <w:p>
      <w:pPr>
        <w:pStyle w:val="3"/>
        <w:pageBreakBefore w:val="0"/>
        <w:widowControl w:val="0"/>
        <w:shd w:val="clear"/>
        <w:kinsoku/>
        <w:wordWrap/>
        <w:overflowPunct/>
        <w:topLinePunct w:val="0"/>
        <w:autoSpaceDE/>
        <w:autoSpaceDN/>
        <w:bidi w:val="0"/>
        <w:adjustRightInd w:val="0"/>
        <w:snapToGrid w:val="0"/>
        <w:spacing w:line="580" w:lineRule="exact"/>
        <w:jc w:val="center"/>
        <w:textAlignment w:val="auto"/>
        <w:rPr>
          <w:color w:val="auto"/>
          <w:highlight w:val="none"/>
        </w:rPr>
      </w:pPr>
      <w:r>
        <w:rPr>
          <w:rFonts w:hint="eastAsia" w:ascii="方正小标宋简体" w:hAnsi="方正小标宋简体" w:eastAsia="方正小标宋简体" w:cs="方正小标宋简体"/>
          <w:color w:val="auto"/>
          <w:sz w:val="40"/>
          <w:szCs w:val="40"/>
          <w:highlight w:val="none"/>
        </w:rPr>
        <w:t>第十四章  加强组织领导有力有效推进规划实施</w:t>
      </w:r>
      <w:bookmarkEnd w:id="864"/>
      <w:bookmarkEnd w:id="938"/>
      <w:bookmarkEnd w:id="939"/>
      <w:bookmarkEnd w:id="940"/>
      <w:bookmarkEnd w:id="941"/>
      <w:bookmarkEnd w:id="942"/>
      <w:bookmarkEnd w:id="943"/>
      <w:bookmarkEnd w:id="944"/>
      <w:bookmarkEnd w:id="945"/>
      <w:bookmarkEnd w:id="946"/>
      <w:bookmarkEnd w:id="947"/>
    </w:p>
    <w:p>
      <w:pPr>
        <w:pStyle w:val="31"/>
        <w:pageBreakBefore w:val="0"/>
        <w:widowControl w:val="0"/>
        <w:shd w:val="clear"/>
        <w:kinsoku/>
        <w:wordWrap/>
        <w:overflowPunct/>
        <w:topLinePunct w:val="0"/>
        <w:autoSpaceDE/>
        <w:autoSpaceDN/>
        <w:bidi w:val="0"/>
        <w:adjustRightInd w:val="0"/>
        <w:snapToGrid w:val="0"/>
        <w:spacing w:line="580" w:lineRule="exact"/>
        <w:textAlignment w:val="auto"/>
        <w:rPr>
          <w:rFonts w:hint="eastAsia"/>
          <w:color w:val="auto"/>
          <w:highlight w:val="none"/>
        </w:rPr>
      </w:pPr>
    </w:p>
    <w:p>
      <w:pPr>
        <w:pStyle w:val="31"/>
        <w:pageBreakBefore w:val="0"/>
        <w:widowControl w:val="0"/>
        <w:shd w:val="clear"/>
        <w:kinsoku/>
        <w:wordWrap/>
        <w:overflowPunct/>
        <w:topLinePunct w:val="0"/>
        <w:autoSpaceDE/>
        <w:autoSpaceDN/>
        <w:bidi w:val="0"/>
        <w:adjustRightInd w:val="0"/>
        <w:snapToGrid w:val="0"/>
        <w:spacing w:line="580" w:lineRule="exact"/>
        <w:textAlignment w:val="auto"/>
        <w:rPr>
          <w:rFonts w:hint="eastAsia"/>
          <w:color w:val="auto"/>
          <w:highlight w:val="none"/>
        </w:rPr>
      </w:pPr>
    </w:p>
    <w:p>
      <w:pPr>
        <w:pStyle w:val="31"/>
        <w:keepNext w:val="0"/>
        <w:keepLines w:val="0"/>
        <w:pageBreakBefore w:val="0"/>
        <w:widowControl w:val="0"/>
        <w:shd w:val="clear"/>
        <w:kinsoku/>
        <w:wordWrap/>
        <w:overflowPunct/>
        <w:topLinePunct w:val="0"/>
        <w:autoSpaceDE/>
        <w:autoSpaceDN/>
        <w:bidi w:val="0"/>
        <w:adjustRightInd w:val="0"/>
        <w:snapToGrid w:val="0"/>
        <w:spacing w:line="580" w:lineRule="exact"/>
        <w:textAlignment w:val="auto"/>
        <w:rPr>
          <w:color w:val="auto"/>
          <w:sz w:val="32"/>
          <w:szCs w:val="32"/>
          <w:highlight w:val="none"/>
        </w:rPr>
      </w:pPr>
      <w:r>
        <w:rPr>
          <w:rFonts w:hint="eastAsia"/>
          <w:color w:val="auto"/>
          <w:sz w:val="32"/>
          <w:szCs w:val="32"/>
          <w:highlight w:val="none"/>
        </w:rPr>
        <w:t>强化发展规划战略导向作用，构建实施有力、要素保障充分、项目支撑坚实、监督评估机制高效的全链条体系，确保各项目标任务落地见效，汇聚起推动高质量发展的强大合力。</w:t>
      </w:r>
    </w:p>
    <w:p>
      <w:pPr>
        <w:pStyle w:val="4"/>
        <w:keepNext w:val="0"/>
        <w:keepLines w:val="0"/>
        <w:pageBreakBefore w:val="0"/>
        <w:widowControl w:val="0"/>
        <w:shd w:val="clear"/>
        <w:kinsoku/>
        <w:wordWrap/>
        <w:overflowPunct/>
        <w:topLinePunct w:val="0"/>
        <w:autoSpaceDE/>
        <w:autoSpaceDN/>
        <w:bidi w:val="0"/>
        <w:adjustRightInd w:val="0"/>
        <w:snapToGrid w:val="0"/>
        <w:spacing w:line="580" w:lineRule="exact"/>
        <w:ind w:left="0" w:leftChars="0" w:firstLine="0" w:firstLineChars="0"/>
        <w:textAlignment w:val="auto"/>
        <w:rPr>
          <w:color w:val="auto"/>
          <w:sz w:val="32"/>
          <w:szCs w:val="32"/>
          <w:highlight w:val="none"/>
        </w:rPr>
      </w:pPr>
      <w:bookmarkStart w:id="948" w:name="_Toc211979470"/>
      <w:bookmarkStart w:id="949" w:name="_Toc192139468"/>
      <w:bookmarkStart w:id="950" w:name="_Toc6277"/>
      <w:bookmarkStart w:id="951" w:name="_Toc1242750501"/>
      <w:bookmarkStart w:id="952" w:name="_Toc1091990022"/>
      <w:bookmarkStart w:id="953" w:name="_Toc356278695"/>
      <w:bookmarkStart w:id="954" w:name="_Toc735451282"/>
      <w:bookmarkStart w:id="955" w:name="_Toc2050912530"/>
      <w:bookmarkStart w:id="956" w:name="_Toc1318844803"/>
      <w:bookmarkStart w:id="957" w:name="_Toc1094398478"/>
      <w:bookmarkStart w:id="958" w:name="_Toc1875401686"/>
      <w:bookmarkStart w:id="959" w:name="_Toc213447293"/>
      <w:bookmarkStart w:id="960" w:name="_Toc2005210882"/>
    </w:p>
    <w:p>
      <w:pPr>
        <w:pStyle w:val="4"/>
        <w:keepNext w:val="0"/>
        <w:keepLines w:val="0"/>
        <w:pageBreakBefore w:val="0"/>
        <w:widowControl w:val="0"/>
        <w:shd w:val="clear"/>
        <w:kinsoku/>
        <w:wordWrap/>
        <w:overflowPunct/>
        <w:topLinePunct w:val="0"/>
        <w:autoSpaceDE/>
        <w:autoSpaceDN/>
        <w:bidi w:val="0"/>
        <w:adjustRightInd w:val="0"/>
        <w:snapToGrid w:val="0"/>
        <w:spacing w:line="580"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 xml:space="preserve">第一节  </w:t>
      </w:r>
      <w:r>
        <w:rPr>
          <w:rFonts w:hint="eastAsia" w:ascii="黑体" w:hAnsi="黑体" w:eastAsia="黑体" w:cs="黑体"/>
          <w:b w:val="0"/>
          <w:bCs/>
          <w:color w:val="auto"/>
          <w:sz w:val="32"/>
          <w:szCs w:val="32"/>
          <w:highlight w:val="none"/>
          <w:lang w:eastAsia="zh-CN"/>
        </w:rPr>
        <w:t>坚持</w:t>
      </w:r>
      <w:r>
        <w:rPr>
          <w:rFonts w:hint="eastAsia" w:ascii="黑体" w:hAnsi="黑体" w:eastAsia="黑体" w:cs="黑体"/>
          <w:b w:val="0"/>
          <w:bCs/>
          <w:color w:val="auto"/>
          <w:sz w:val="32"/>
          <w:szCs w:val="32"/>
          <w:highlight w:val="none"/>
        </w:rPr>
        <w:t>党的全面领导</w:t>
      </w:r>
      <w:bookmarkEnd w:id="948"/>
      <w:bookmarkEnd w:id="949"/>
      <w:bookmarkEnd w:id="950"/>
      <w:bookmarkEnd w:id="951"/>
      <w:bookmarkEnd w:id="952"/>
      <w:bookmarkEnd w:id="953"/>
      <w:bookmarkEnd w:id="954"/>
      <w:bookmarkEnd w:id="955"/>
      <w:bookmarkEnd w:id="956"/>
      <w:bookmarkEnd w:id="957"/>
      <w:bookmarkEnd w:id="958"/>
      <w:bookmarkEnd w:id="959"/>
      <w:bookmarkEnd w:id="960"/>
    </w:p>
    <w:p>
      <w:pPr>
        <w:pStyle w:val="31"/>
        <w:keepNext w:val="0"/>
        <w:keepLines w:val="0"/>
        <w:pageBreakBefore w:val="0"/>
        <w:widowControl w:val="0"/>
        <w:kinsoku/>
        <w:wordWrap/>
        <w:overflowPunct/>
        <w:topLinePunct w:val="0"/>
        <w:autoSpaceDE/>
        <w:autoSpaceDN/>
        <w:bidi w:val="0"/>
        <w:adjustRightInd w:val="0"/>
        <w:snapToGrid w:val="0"/>
        <w:spacing w:line="580" w:lineRule="exact"/>
        <w:textAlignment w:val="auto"/>
        <w:rPr>
          <w:color w:val="auto"/>
          <w:sz w:val="32"/>
          <w:szCs w:val="32"/>
          <w:highlight w:val="none"/>
        </w:rPr>
      </w:pPr>
    </w:p>
    <w:p>
      <w:pPr>
        <w:pStyle w:val="31"/>
        <w:keepNext w:val="0"/>
        <w:keepLines w:val="0"/>
        <w:pageBreakBefore w:val="0"/>
        <w:widowControl w:val="0"/>
        <w:kinsoku/>
        <w:wordWrap/>
        <w:overflowPunct/>
        <w:topLinePunct w:val="0"/>
        <w:autoSpaceDE/>
        <w:autoSpaceDN/>
        <w:bidi w:val="0"/>
        <w:adjustRightInd w:val="0"/>
        <w:snapToGrid w:val="0"/>
        <w:spacing w:line="580" w:lineRule="exact"/>
        <w:textAlignment w:val="auto"/>
        <w:rPr>
          <w:color w:val="auto"/>
          <w:sz w:val="32"/>
          <w:szCs w:val="32"/>
          <w:highlight w:val="none"/>
        </w:rPr>
      </w:pPr>
      <w:r>
        <w:rPr>
          <w:rFonts w:hint="eastAsia"/>
          <w:color w:val="auto"/>
          <w:sz w:val="32"/>
          <w:szCs w:val="32"/>
          <w:highlight w:val="none"/>
          <w:lang w:eastAsia="zh-CN"/>
        </w:rPr>
        <w:t>完</w:t>
      </w:r>
      <w:r>
        <w:rPr>
          <w:color w:val="auto"/>
          <w:sz w:val="32"/>
          <w:szCs w:val="32"/>
          <w:highlight w:val="none"/>
        </w:rPr>
        <w:t>善贯彻落实党中央重大决策和习近平总书记重要指示批示机制，确保党中央政令畅通、一贯到底。坚持正确用人导向，</w:t>
      </w:r>
      <w:r>
        <w:rPr>
          <w:rFonts w:hint="eastAsia"/>
          <w:color w:val="auto"/>
          <w:sz w:val="32"/>
          <w:szCs w:val="32"/>
          <w:highlight w:val="none"/>
          <w:lang w:eastAsia="zh-CN"/>
        </w:rPr>
        <w:t>始终</w:t>
      </w:r>
      <w:r>
        <w:rPr>
          <w:color w:val="auto"/>
          <w:sz w:val="32"/>
          <w:szCs w:val="32"/>
          <w:highlight w:val="none"/>
        </w:rPr>
        <w:t>把政治标准放在首位，树立和践行正确政绩观，完善干部考核评价机制，着力选拔政治素质高、专业能力强、工作作风实的干部。聚焦自贸港核心政策落地和提升</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五向图强</w:t>
      </w:r>
      <w:r>
        <w:rPr>
          <w:rFonts w:hint="eastAsia" w:ascii="仿宋_GB2312" w:hAnsi="仿宋_GB2312" w:eastAsia="仿宋_GB2312" w:cs="仿宋_GB2312"/>
          <w:color w:val="auto"/>
          <w:sz w:val="32"/>
          <w:szCs w:val="32"/>
          <w:highlight w:val="none"/>
        </w:rPr>
        <w:t>”</w:t>
      </w:r>
      <w:r>
        <w:rPr>
          <w:color w:val="auto"/>
          <w:sz w:val="32"/>
          <w:szCs w:val="32"/>
          <w:highlight w:val="none"/>
        </w:rPr>
        <w:t>产业能级，持续强化干部专业训练和实践锻炼。坚持大抓基层的鲜明导向，增强基层党组织政治功能和组织功能</w:t>
      </w:r>
      <w:r>
        <w:rPr>
          <w:rFonts w:hint="eastAsia"/>
          <w:color w:val="auto"/>
          <w:sz w:val="32"/>
          <w:szCs w:val="32"/>
          <w:highlight w:val="none"/>
        </w:rPr>
        <w:t>，推进作风建设常态化长效化</w:t>
      </w:r>
      <w:r>
        <w:rPr>
          <w:rFonts w:hint="eastAsia"/>
          <w:color w:val="auto"/>
          <w:sz w:val="32"/>
          <w:szCs w:val="32"/>
          <w:highlight w:val="none"/>
          <w:lang w:eastAsia="zh-CN"/>
        </w:rPr>
        <w:t>，</w:t>
      </w:r>
      <w:r>
        <w:rPr>
          <w:color w:val="auto"/>
          <w:sz w:val="32"/>
          <w:szCs w:val="32"/>
          <w:highlight w:val="none"/>
        </w:rPr>
        <w:t>引导激励广大党员在自贸港一线建功立业。持之以恒推进全面从严治党，巩固深入贯彻中央八项规定精神学习教育成果，持续深化</w:t>
      </w:r>
      <w:r>
        <w:rPr>
          <w:rFonts w:hint="eastAsia" w:ascii="仿宋_GB2312" w:hAnsi="仿宋_GB2312" w:eastAsia="仿宋_GB2312" w:cs="仿宋_GB2312"/>
          <w:color w:val="auto"/>
          <w:sz w:val="32"/>
          <w:szCs w:val="32"/>
          <w:highlight w:val="none"/>
        </w:rPr>
        <w:t>“</w:t>
      </w:r>
      <w:r>
        <w:rPr>
          <w:color w:val="auto"/>
          <w:sz w:val="32"/>
          <w:szCs w:val="32"/>
          <w:highlight w:val="none"/>
        </w:rPr>
        <w:t>监督一张网</w:t>
      </w:r>
      <w:r>
        <w:rPr>
          <w:rFonts w:hint="eastAsia" w:ascii="仿宋_GB2312" w:hAnsi="仿宋_GB2312" w:eastAsia="仿宋_GB2312" w:cs="仿宋_GB2312"/>
          <w:color w:val="auto"/>
          <w:sz w:val="32"/>
          <w:szCs w:val="32"/>
          <w:highlight w:val="none"/>
        </w:rPr>
        <w:t>”</w:t>
      </w:r>
      <w:r>
        <w:rPr>
          <w:color w:val="auto"/>
          <w:sz w:val="32"/>
          <w:szCs w:val="32"/>
          <w:highlight w:val="none"/>
        </w:rPr>
        <w:t>，拓宽</w:t>
      </w:r>
      <w:r>
        <w:rPr>
          <w:rFonts w:hint="eastAsia" w:ascii="仿宋_GB2312" w:hAnsi="仿宋_GB2312" w:eastAsia="仿宋_GB2312" w:cs="仿宋_GB2312"/>
          <w:color w:val="auto"/>
          <w:sz w:val="32"/>
          <w:szCs w:val="32"/>
          <w:highlight w:val="none"/>
        </w:rPr>
        <w:t>“</w:t>
      </w:r>
      <w:r>
        <w:rPr>
          <w:color w:val="auto"/>
          <w:sz w:val="32"/>
          <w:szCs w:val="32"/>
          <w:highlight w:val="none"/>
        </w:rPr>
        <w:t>机器管</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lang w:eastAsia="zh-CN"/>
        </w:rPr>
        <w:t>领域</w:t>
      </w:r>
      <w:r>
        <w:rPr>
          <w:color w:val="auto"/>
          <w:sz w:val="32"/>
          <w:szCs w:val="32"/>
          <w:highlight w:val="none"/>
        </w:rPr>
        <w:t>，完善权力监督制约</w:t>
      </w:r>
      <w:r>
        <w:rPr>
          <w:rFonts w:hint="eastAsia"/>
          <w:color w:val="auto"/>
          <w:sz w:val="32"/>
          <w:szCs w:val="32"/>
          <w:highlight w:val="none"/>
          <w:lang w:eastAsia="zh-CN"/>
        </w:rPr>
        <w:t>机制</w:t>
      </w:r>
      <w:r>
        <w:rPr>
          <w:color w:val="auto"/>
          <w:sz w:val="32"/>
          <w:szCs w:val="32"/>
          <w:highlight w:val="none"/>
        </w:rPr>
        <w:t>，</w:t>
      </w:r>
      <w:r>
        <w:rPr>
          <w:rFonts w:hint="eastAsia"/>
          <w:color w:val="auto"/>
          <w:sz w:val="32"/>
          <w:szCs w:val="32"/>
          <w:highlight w:val="none"/>
          <w:lang w:eastAsia="zh-CN"/>
        </w:rPr>
        <w:t>加强清廉三亚建设，健全正风肃纪反腐长效机制，</w:t>
      </w:r>
      <w:r>
        <w:rPr>
          <w:color w:val="auto"/>
          <w:sz w:val="32"/>
          <w:szCs w:val="32"/>
          <w:highlight w:val="none"/>
        </w:rPr>
        <w:t>营造风清气正、干事创业的政治生态。</w:t>
      </w:r>
    </w:p>
    <w:p>
      <w:pPr>
        <w:pStyle w:val="31"/>
        <w:keepNext w:val="0"/>
        <w:keepLines w:val="0"/>
        <w:pageBreakBefore w:val="0"/>
        <w:widowControl w:val="0"/>
        <w:kinsoku/>
        <w:wordWrap/>
        <w:overflowPunct/>
        <w:topLinePunct w:val="0"/>
        <w:autoSpaceDE/>
        <w:autoSpaceDN/>
        <w:bidi w:val="0"/>
        <w:adjustRightInd w:val="0"/>
        <w:snapToGrid w:val="0"/>
        <w:spacing w:line="580" w:lineRule="exact"/>
        <w:textAlignment w:val="auto"/>
        <w:rPr>
          <w:color w:val="auto"/>
          <w:sz w:val="32"/>
          <w:szCs w:val="32"/>
          <w:highlight w:val="none"/>
        </w:rPr>
      </w:pPr>
    </w:p>
    <w:p>
      <w:pPr>
        <w:pStyle w:val="4"/>
        <w:keepNext w:val="0"/>
        <w:keepLines w:val="0"/>
        <w:pageBreakBefore w:val="0"/>
        <w:widowControl w:val="0"/>
        <w:shd w:val="clear"/>
        <w:kinsoku/>
        <w:wordWrap/>
        <w:overflowPunct/>
        <w:topLinePunct w:val="0"/>
        <w:autoSpaceDE/>
        <w:autoSpaceDN/>
        <w:bidi w:val="0"/>
        <w:adjustRightInd w:val="0"/>
        <w:snapToGrid w:val="0"/>
        <w:spacing w:line="576" w:lineRule="exact"/>
        <w:ind w:left="0" w:leftChars="0" w:firstLine="0" w:firstLineChars="0"/>
        <w:jc w:val="center"/>
        <w:textAlignment w:val="auto"/>
        <w:rPr>
          <w:rFonts w:hint="eastAsia" w:ascii="黑体" w:hAnsi="黑体" w:eastAsia="黑体" w:cs="黑体"/>
          <w:b w:val="0"/>
          <w:bCs/>
          <w:color w:val="auto"/>
          <w:sz w:val="32"/>
          <w:szCs w:val="32"/>
          <w:highlight w:val="none"/>
        </w:rPr>
      </w:pPr>
      <w:bookmarkStart w:id="961" w:name="_Toc2079423898"/>
      <w:bookmarkStart w:id="962" w:name="_Toc220778057"/>
      <w:bookmarkStart w:id="963" w:name="_Toc547723055"/>
      <w:bookmarkStart w:id="964" w:name="_Toc851544317"/>
      <w:bookmarkStart w:id="965" w:name="_Toc18859"/>
      <w:bookmarkStart w:id="966" w:name="_Toc531088888"/>
      <w:bookmarkStart w:id="967" w:name="_Toc213447294"/>
      <w:bookmarkStart w:id="968" w:name="_Toc1409847038"/>
      <w:bookmarkStart w:id="969" w:name="_Toc9816357"/>
      <w:bookmarkStart w:id="970" w:name="_Toc539409017"/>
      <w:bookmarkStart w:id="971" w:name="_Toc269842302"/>
      <w:bookmarkStart w:id="972" w:name="_Toc211979471"/>
      <w:bookmarkStart w:id="973" w:name="_Toc1092437448"/>
      <w:r>
        <w:rPr>
          <w:rFonts w:hint="eastAsia" w:ascii="黑体" w:hAnsi="黑体" w:eastAsia="黑体" w:cs="黑体"/>
          <w:b w:val="0"/>
          <w:bCs/>
          <w:color w:val="auto"/>
          <w:sz w:val="32"/>
          <w:szCs w:val="32"/>
          <w:highlight w:val="none"/>
        </w:rPr>
        <w:t>第二节  健全规划实施机制</w:t>
      </w:r>
      <w:bookmarkEnd w:id="961"/>
      <w:bookmarkEnd w:id="962"/>
      <w:bookmarkEnd w:id="963"/>
      <w:bookmarkEnd w:id="964"/>
      <w:bookmarkEnd w:id="965"/>
      <w:bookmarkEnd w:id="966"/>
      <w:bookmarkEnd w:id="967"/>
      <w:bookmarkEnd w:id="968"/>
      <w:bookmarkEnd w:id="969"/>
      <w:bookmarkEnd w:id="970"/>
      <w:bookmarkEnd w:id="971"/>
      <w:bookmarkEnd w:id="972"/>
      <w:bookmarkEnd w:id="973"/>
    </w:p>
    <w:p>
      <w:pPr>
        <w:pStyle w:val="31"/>
        <w:keepNext w:val="0"/>
        <w:keepLines w:val="0"/>
        <w:pageBreakBefore w:val="0"/>
        <w:widowControl w:val="0"/>
        <w:shd w:val="clear"/>
        <w:kinsoku/>
        <w:wordWrap/>
        <w:overflowPunct/>
        <w:topLinePunct w:val="0"/>
        <w:autoSpaceDE/>
        <w:autoSpaceDN/>
        <w:bidi w:val="0"/>
        <w:adjustRightInd w:val="0"/>
        <w:snapToGrid w:val="0"/>
        <w:spacing w:line="576" w:lineRule="exact"/>
        <w:textAlignment w:val="auto"/>
        <w:rPr>
          <w:rFonts w:hint="eastAsia"/>
          <w:color w:val="auto"/>
          <w:sz w:val="32"/>
          <w:szCs w:val="32"/>
          <w:highlight w:val="none"/>
        </w:rPr>
      </w:pPr>
    </w:p>
    <w:p>
      <w:pPr>
        <w:pStyle w:val="31"/>
        <w:keepNext w:val="0"/>
        <w:keepLines w:val="0"/>
        <w:pageBreakBefore w:val="0"/>
        <w:widowControl w:val="0"/>
        <w:shd w:val="clear"/>
        <w:kinsoku/>
        <w:wordWrap/>
        <w:overflowPunct/>
        <w:topLinePunct w:val="0"/>
        <w:autoSpaceDE/>
        <w:autoSpaceDN/>
        <w:bidi w:val="0"/>
        <w:adjustRightInd w:val="0"/>
        <w:snapToGrid w:val="0"/>
        <w:spacing w:line="556" w:lineRule="exact"/>
        <w:textAlignment w:val="auto"/>
        <w:rPr>
          <w:color w:val="auto"/>
          <w:sz w:val="32"/>
          <w:szCs w:val="32"/>
          <w:highlight w:val="none"/>
        </w:rPr>
      </w:pPr>
      <w:r>
        <w:rPr>
          <w:rFonts w:hint="eastAsia"/>
          <w:color w:val="auto"/>
          <w:sz w:val="32"/>
          <w:szCs w:val="32"/>
          <w:highlight w:val="none"/>
        </w:rPr>
        <w:t>落实</w:t>
      </w:r>
      <w:r>
        <w:rPr>
          <w:rFonts w:hint="eastAsia"/>
          <w:color w:val="auto"/>
          <w:sz w:val="32"/>
          <w:szCs w:val="32"/>
          <w:highlight w:val="none"/>
          <w:lang w:eastAsia="zh-CN"/>
        </w:rPr>
        <w:t>国家发展规划法，夯实</w:t>
      </w:r>
      <w:r>
        <w:rPr>
          <w:rFonts w:hint="eastAsia"/>
          <w:color w:val="auto"/>
          <w:sz w:val="32"/>
          <w:szCs w:val="32"/>
          <w:highlight w:val="none"/>
        </w:rPr>
        <w:t>规划实施责任，强化年度计划与发展规划衔接，由市政府统一组织纲要的实施工作，市有关部门和各区落实，确保规划目标任务有计划、按步骤落</w:t>
      </w:r>
      <w:r>
        <w:rPr>
          <w:rFonts w:hint="eastAsia"/>
          <w:color w:val="auto"/>
          <w:sz w:val="32"/>
          <w:szCs w:val="32"/>
          <w:highlight w:val="none"/>
          <w:lang w:eastAsia="zh-CN"/>
        </w:rPr>
        <w:t>实</w:t>
      </w:r>
      <w:r>
        <w:rPr>
          <w:rFonts w:hint="eastAsia"/>
          <w:color w:val="auto"/>
          <w:sz w:val="32"/>
          <w:szCs w:val="32"/>
          <w:highlight w:val="none"/>
        </w:rPr>
        <w:t>。做好规划动态调整，结合自贸港政策落地成效、国内外发展环境变化，开展规划中期评估，按法定程序调整需优化的指标和任务，确保规划</w:t>
      </w:r>
      <w:r>
        <w:rPr>
          <w:rFonts w:hint="eastAsia"/>
          <w:color w:val="auto"/>
          <w:spacing w:val="6"/>
          <w:sz w:val="32"/>
          <w:szCs w:val="32"/>
          <w:highlight w:val="none"/>
        </w:rPr>
        <w:t>科学性与适应性平衡。鼓励开展第三方评估，强化监测评估</w:t>
      </w:r>
      <w:r>
        <w:rPr>
          <w:rFonts w:hint="eastAsia"/>
          <w:color w:val="auto"/>
          <w:sz w:val="32"/>
          <w:szCs w:val="32"/>
          <w:highlight w:val="none"/>
        </w:rPr>
        <w:t>结果运用，自觉接受人大</w:t>
      </w:r>
      <w:r>
        <w:rPr>
          <w:rFonts w:hint="eastAsia"/>
          <w:color w:val="auto"/>
          <w:sz w:val="32"/>
          <w:szCs w:val="32"/>
          <w:highlight w:val="none"/>
          <w:lang w:eastAsia="zh-CN"/>
        </w:rPr>
        <w:t>、政协</w:t>
      </w:r>
      <w:r>
        <w:rPr>
          <w:rFonts w:hint="eastAsia"/>
          <w:color w:val="auto"/>
          <w:sz w:val="32"/>
          <w:szCs w:val="32"/>
          <w:highlight w:val="none"/>
        </w:rPr>
        <w:t>、</w:t>
      </w:r>
      <w:r>
        <w:rPr>
          <w:rFonts w:hint="eastAsia"/>
          <w:color w:val="auto"/>
          <w:sz w:val="32"/>
          <w:szCs w:val="32"/>
          <w:highlight w:val="none"/>
          <w:lang w:eastAsia="zh-CN"/>
        </w:rPr>
        <w:t>纪检监察机关、</w:t>
      </w:r>
      <w:r>
        <w:rPr>
          <w:rFonts w:hint="eastAsia"/>
          <w:color w:val="auto"/>
          <w:sz w:val="32"/>
          <w:szCs w:val="32"/>
          <w:highlight w:val="none"/>
        </w:rPr>
        <w:t>审计和社会监督。</w:t>
      </w:r>
    </w:p>
    <w:p>
      <w:pPr>
        <w:pStyle w:val="4"/>
        <w:keepNext w:val="0"/>
        <w:keepLines w:val="0"/>
        <w:pageBreakBefore w:val="0"/>
        <w:widowControl w:val="0"/>
        <w:shd w:val="clear"/>
        <w:kinsoku/>
        <w:wordWrap/>
        <w:overflowPunct/>
        <w:topLinePunct w:val="0"/>
        <w:autoSpaceDE/>
        <w:autoSpaceDN/>
        <w:bidi w:val="0"/>
        <w:adjustRightInd w:val="0"/>
        <w:snapToGrid w:val="0"/>
        <w:spacing w:line="556" w:lineRule="exact"/>
        <w:ind w:left="0" w:leftChars="0" w:firstLine="0" w:firstLineChars="0"/>
        <w:textAlignment w:val="auto"/>
        <w:rPr>
          <w:rFonts w:hint="eastAsia"/>
          <w:color w:val="auto"/>
          <w:sz w:val="32"/>
          <w:szCs w:val="32"/>
          <w:highlight w:val="none"/>
        </w:rPr>
      </w:pPr>
      <w:bookmarkStart w:id="974" w:name="_Toc764708982"/>
      <w:bookmarkStart w:id="975" w:name="_Toc1898"/>
      <w:bookmarkStart w:id="976" w:name="_Toc1830661588"/>
      <w:bookmarkStart w:id="977" w:name="_Toc1556089510"/>
      <w:bookmarkStart w:id="978" w:name="_Toc213447295"/>
      <w:bookmarkStart w:id="979" w:name="_Toc356187416"/>
      <w:bookmarkStart w:id="980" w:name="_Toc1630626714"/>
      <w:bookmarkStart w:id="981" w:name="_Toc211979472"/>
      <w:bookmarkStart w:id="982" w:name="_Toc92588203"/>
      <w:bookmarkStart w:id="983" w:name="_Toc397019410"/>
      <w:bookmarkStart w:id="984" w:name="_Toc1978734251"/>
      <w:bookmarkStart w:id="985" w:name="_Toc1519815720"/>
      <w:bookmarkStart w:id="986" w:name="_Toc1441112254"/>
      <w:bookmarkStart w:id="987" w:name="_Toc817179796"/>
    </w:p>
    <w:p>
      <w:pPr>
        <w:pStyle w:val="4"/>
        <w:keepNext w:val="0"/>
        <w:keepLines w:val="0"/>
        <w:pageBreakBefore w:val="0"/>
        <w:widowControl w:val="0"/>
        <w:shd w:val="clear"/>
        <w:kinsoku/>
        <w:wordWrap/>
        <w:overflowPunct/>
        <w:topLinePunct w:val="0"/>
        <w:autoSpaceDE/>
        <w:autoSpaceDN/>
        <w:bidi w:val="0"/>
        <w:adjustRightInd w:val="0"/>
        <w:snapToGrid w:val="0"/>
        <w:spacing w:line="556" w:lineRule="exact"/>
        <w:ind w:left="0" w:leftChars="0" w:firstLine="0" w:firstLineChars="0"/>
        <w:jc w:val="center"/>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第三节  强化重点要素保障</w:t>
      </w:r>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p>
    <w:p>
      <w:pPr>
        <w:pStyle w:val="31"/>
        <w:keepNext w:val="0"/>
        <w:keepLines w:val="0"/>
        <w:pageBreakBefore w:val="0"/>
        <w:widowControl w:val="0"/>
        <w:shd w:val="clear"/>
        <w:kinsoku/>
        <w:wordWrap/>
        <w:overflowPunct/>
        <w:topLinePunct w:val="0"/>
        <w:autoSpaceDE/>
        <w:autoSpaceDN/>
        <w:bidi w:val="0"/>
        <w:adjustRightInd w:val="0"/>
        <w:snapToGrid w:val="0"/>
        <w:spacing w:line="556" w:lineRule="exact"/>
        <w:textAlignment w:val="auto"/>
        <w:rPr>
          <w:rFonts w:hint="eastAsia"/>
          <w:color w:val="auto"/>
          <w:sz w:val="32"/>
          <w:szCs w:val="32"/>
          <w:highlight w:val="none"/>
        </w:rPr>
      </w:pPr>
    </w:p>
    <w:p>
      <w:pPr>
        <w:pStyle w:val="31"/>
        <w:keepNext w:val="0"/>
        <w:keepLines w:val="0"/>
        <w:pageBreakBefore w:val="0"/>
        <w:widowControl w:val="0"/>
        <w:shd w:val="clear"/>
        <w:kinsoku/>
        <w:wordWrap/>
        <w:overflowPunct/>
        <w:topLinePunct w:val="0"/>
        <w:autoSpaceDE/>
        <w:autoSpaceDN/>
        <w:bidi w:val="0"/>
        <w:adjustRightInd w:val="0"/>
        <w:snapToGrid w:val="0"/>
        <w:spacing w:line="556" w:lineRule="exact"/>
        <w:ind w:firstLine="0" w:firstLineChars="0"/>
        <w:textAlignment w:val="auto"/>
        <w:rPr>
          <w:rFonts w:hint="eastAsia"/>
          <w:color w:val="auto"/>
          <w:sz w:val="32"/>
          <w:szCs w:val="32"/>
          <w:highlight w:val="none"/>
        </w:rPr>
      </w:pPr>
      <w:r>
        <w:rPr>
          <w:rFonts w:hint="eastAsia"/>
          <w:color w:val="auto"/>
          <w:sz w:val="32"/>
          <w:szCs w:val="32"/>
          <w:highlight w:val="none"/>
          <w:lang w:val="en-US" w:eastAsia="zh-CN"/>
        </w:rPr>
        <w:t xml:space="preserve">    </w:t>
      </w:r>
      <w:r>
        <w:rPr>
          <w:rFonts w:hint="eastAsia"/>
          <w:color w:val="auto"/>
          <w:sz w:val="32"/>
          <w:szCs w:val="32"/>
          <w:highlight w:val="none"/>
        </w:rPr>
        <w:t>加快推进城镇（产业园区）开发边界内土地征收成片开发，推动中心城区、亚龙湾、崖州湾科技城高新区、中央商务区、市现代服务业产业园等片区土地征收工作。优化供地模式</w:t>
      </w:r>
      <w:r>
        <w:rPr>
          <w:rFonts w:hint="eastAsia"/>
          <w:color w:val="auto"/>
          <w:sz w:val="32"/>
          <w:szCs w:val="32"/>
          <w:highlight w:val="none"/>
          <w:lang w:eastAsia="zh-CN"/>
        </w:rPr>
        <w:t>，</w:t>
      </w:r>
      <w:r>
        <w:rPr>
          <w:rFonts w:hint="eastAsia"/>
          <w:color w:val="auto"/>
          <w:sz w:val="32"/>
          <w:szCs w:val="32"/>
          <w:highlight w:val="none"/>
        </w:rPr>
        <w:t>优先保障</w:t>
      </w:r>
      <w:r>
        <w:rPr>
          <w:rFonts w:hint="eastAsia"/>
          <w:color w:val="auto"/>
          <w:sz w:val="32"/>
          <w:szCs w:val="32"/>
          <w:highlight w:val="none"/>
          <w:lang w:eastAsia="zh-CN"/>
        </w:rPr>
        <w:t>国家重大战略、重点项目</w:t>
      </w:r>
      <w:r>
        <w:rPr>
          <w:rFonts w:hint="eastAsia"/>
          <w:color w:val="auto"/>
          <w:sz w:val="32"/>
          <w:szCs w:val="32"/>
          <w:highlight w:val="none"/>
        </w:rPr>
        <w:t>等用地。利用线上平台，拓展落户、住房、子女教育等线上服务，吸引全球高端人才集聚。强化财政精准支持，优化财政支出结构，新增财力重点投向民生领域和重点产业。创新政策工具箱，结合</w:t>
      </w:r>
      <w:r>
        <w:rPr>
          <w:rFonts w:hint="eastAsia" w:ascii="Times New Roman" w:hAnsi="Times New Roman" w:eastAsia="仿宋_GB2312" w:cs="Times New Roman"/>
          <w:color w:val="auto"/>
          <w:sz w:val="32"/>
          <w:szCs w:val="32"/>
          <w:highlight w:val="none"/>
        </w:rPr>
        <w:t>“</w:t>
      </w:r>
      <w:r>
        <w:rPr>
          <w:rFonts w:hint="eastAsia"/>
          <w:color w:val="auto"/>
          <w:sz w:val="32"/>
          <w:szCs w:val="32"/>
          <w:highlight w:val="none"/>
        </w:rPr>
        <w:t>两重</w:t>
      </w:r>
      <w:r>
        <w:rPr>
          <w:rFonts w:hint="eastAsia" w:ascii="Times New Roman" w:hAnsi="Times New Roman" w:eastAsia="仿宋_GB2312" w:cs="Times New Roman"/>
          <w:color w:val="auto"/>
          <w:sz w:val="32"/>
          <w:szCs w:val="32"/>
          <w:highlight w:val="none"/>
        </w:rPr>
        <w:t>”“</w:t>
      </w:r>
      <w:r>
        <w:rPr>
          <w:rFonts w:hint="eastAsia"/>
          <w:color w:val="auto"/>
          <w:sz w:val="32"/>
          <w:szCs w:val="32"/>
          <w:highlight w:val="none"/>
        </w:rPr>
        <w:t>两新</w:t>
      </w:r>
      <w:r>
        <w:rPr>
          <w:rFonts w:hint="eastAsia" w:ascii="Times New Roman" w:hAnsi="Times New Roman" w:eastAsia="仿宋_GB2312" w:cs="Times New Roman"/>
          <w:color w:val="auto"/>
          <w:sz w:val="32"/>
          <w:szCs w:val="32"/>
          <w:highlight w:val="none"/>
        </w:rPr>
        <w:t>”</w:t>
      </w:r>
      <w:r>
        <w:rPr>
          <w:rFonts w:hint="eastAsia"/>
          <w:color w:val="auto"/>
          <w:sz w:val="32"/>
          <w:szCs w:val="32"/>
          <w:highlight w:val="none"/>
        </w:rPr>
        <w:t>政策，出台扩大消费、产业发展、科技创新、旅游升级等方面专项支持政策。实施项目攻坚行动，开展全周期项目管理，定期谋划一批重大项目。压缩审批时限，围绕关键产业和新兴产业项目，探索极简审批模式，不断提高工程质量监管水平。</w:t>
      </w:r>
    </w:p>
    <w:p>
      <w:pPr>
        <w:pStyle w:val="4"/>
        <w:keepNext w:val="0"/>
        <w:keepLines w:val="0"/>
        <w:pageBreakBefore w:val="0"/>
        <w:widowControl w:val="0"/>
        <w:shd w:val="clear"/>
        <w:kinsoku/>
        <w:wordWrap/>
        <w:overflowPunct/>
        <w:topLinePunct w:val="0"/>
        <w:autoSpaceDE/>
        <w:autoSpaceDN/>
        <w:bidi w:val="0"/>
        <w:adjustRightInd w:val="0"/>
        <w:snapToGrid w:val="0"/>
        <w:spacing w:line="580" w:lineRule="exact"/>
        <w:ind w:left="0" w:leftChars="0" w:firstLine="0" w:firstLineChars="0"/>
        <w:jc w:val="center"/>
        <w:textAlignment w:val="auto"/>
        <w:rPr>
          <w:rFonts w:hint="eastAsia" w:ascii="黑体" w:hAnsi="黑体" w:eastAsia="黑体" w:cs="黑体"/>
          <w:b w:val="0"/>
          <w:bCs/>
          <w:color w:val="auto"/>
          <w:sz w:val="32"/>
          <w:szCs w:val="32"/>
          <w:highlight w:val="none"/>
        </w:rPr>
      </w:pPr>
      <w:bookmarkStart w:id="988" w:name="_Toc254255944"/>
      <w:bookmarkStart w:id="989" w:name="_Toc126911575"/>
      <w:bookmarkStart w:id="990" w:name="_Toc213447296"/>
      <w:bookmarkStart w:id="991" w:name="_Toc2135832425"/>
      <w:bookmarkStart w:id="992" w:name="_Toc85961155"/>
      <w:bookmarkStart w:id="993" w:name="_Toc211979473"/>
      <w:bookmarkStart w:id="994" w:name="_Toc1767313641"/>
      <w:bookmarkStart w:id="995" w:name="_Toc164174481"/>
      <w:bookmarkStart w:id="996" w:name="_Toc247802833"/>
      <w:bookmarkStart w:id="997" w:name="_Toc1478110129"/>
      <w:bookmarkStart w:id="998" w:name="_Toc2183"/>
      <w:bookmarkStart w:id="999" w:name="_Toc150359081"/>
      <w:bookmarkStart w:id="1000" w:name="_Toc902280003"/>
      <w:r>
        <w:rPr>
          <w:rFonts w:hint="eastAsia" w:ascii="黑体" w:hAnsi="黑体" w:eastAsia="黑体" w:cs="黑体"/>
          <w:b w:val="0"/>
          <w:bCs/>
          <w:color w:val="auto"/>
          <w:sz w:val="32"/>
          <w:szCs w:val="32"/>
          <w:highlight w:val="none"/>
        </w:rPr>
        <w:t>第四节  广泛凝聚社会力量</w:t>
      </w:r>
      <w:bookmarkEnd w:id="988"/>
      <w:bookmarkEnd w:id="989"/>
      <w:bookmarkEnd w:id="990"/>
      <w:bookmarkEnd w:id="991"/>
      <w:bookmarkEnd w:id="992"/>
      <w:bookmarkEnd w:id="993"/>
      <w:bookmarkEnd w:id="994"/>
      <w:bookmarkEnd w:id="995"/>
      <w:bookmarkEnd w:id="996"/>
      <w:bookmarkEnd w:id="997"/>
      <w:bookmarkEnd w:id="998"/>
      <w:bookmarkEnd w:id="999"/>
      <w:bookmarkEnd w:id="1000"/>
    </w:p>
    <w:p>
      <w:pPr>
        <w:keepNext w:val="0"/>
        <w:keepLines w:val="0"/>
        <w:pageBreakBefore w:val="0"/>
        <w:widowControl w:val="0"/>
        <w:kinsoku/>
        <w:wordWrap/>
        <w:overflowPunct/>
        <w:topLinePunct w:val="0"/>
        <w:autoSpaceDE/>
        <w:autoSpaceDN/>
        <w:bidi w:val="0"/>
        <w:spacing w:line="580" w:lineRule="exact"/>
        <w:textAlignment w:val="auto"/>
        <w:rPr>
          <w:rFonts w:hint="eastAsia"/>
        </w:rPr>
      </w:pPr>
    </w:p>
    <w:p>
      <w:pPr>
        <w:pStyle w:val="31"/>
        <w:keepNext w:val="0"/>
        <w:keepLines w:val="0"/>
        <w:pageBreakBefore w:val="0"/>
        <w:widowControl w:val="0"/>
        <w:shd w:val="clear"/>
        <w:kinsoku/>
        <w:wordWrap/>
        <w:overflowPunct/>
        <w:topLinePunct w:val="0"/>
        <w:autoSpaceDE/>
        <w:autoSpaceDN/>
        <w:bidi w:val="0"/>
        <w:adjustRightInd w:val="0"/>
        <w:snapToGrid w:val="0"/>
        <w:spacing w:line="580" w:lineRule="exact"/>
        <w:textAlignment w:val="auto"/>
        <w:rPr>
          <w:rFonts w:hint="eastAsia"/>
          <w:color w:val="auto"/>
          <w:sz w:val="32"/>
          <w:szCs w:val="32"/>
          <w:highlight w:val="none"/>
        </w:rPr>
      </w:pPr>
      <w:r>
        <w:rPr>
          <w:rFonts w:hint="eastAsia"/>
          <w:color w:val="auto"/>
          <w:sz w:val="32"/>
          <w:szCs w:val="32"/>
          <w:highlight w:val="none"/>
        </w:rPr>
        <w:t>做好规划相关信息公开工作，及时公布规划实施进展情况，鼓励市场主体、社会力量和人民群众广泛参与规划实施全过程，提高规划实施的民主化和透明度。发挥社会各界对规划实施情况的监督作用，充分利用数字化信息平台，问需于民，问计于民。加强规划宣传，增强</w:t>
      </w:r>
      <w:r>
        <w:rPr>
          <w:rFonts w:hint="eastAsia"/>
          <w:color w:val="auto"/>
          <w:sz w:val="32"/>
          <w:szCs w:val="32"/>
          <w:highlight w:val="none"/>
          <w:lang w:eastAsia="zh-CN"/>
        </w:rPr>
        <w:t>社会各界</w:t>
      </w:r>
      <w:r>
        <w:rPr>
          <w:rFonts w:hint="eastAsia"/>
          <w:color w:val="auto"/>
          <w:sz w:val="32"/>
          <w:szCs w:val="32"/>
          <w:highlight w:val="none"/>
        </w:rPr>
        <w:t>对规划的认知、认可和认同，营造人人参与、人人享有的发展环境。</w:t>
      </w:r>
    </w:p>
    <w:p>
      <w:pPr>
        <w:pStyle w:val="31"/>
        <w:keepNext w:val="0"/>
        <w:keepLines w:val="0"/>
        <w:pageBreakBefore w:val="0"/>
        <w:widowControl w:val="0"/>
        <w:shd w:val="clear"/>
        <w:kinsoku/>
        <w:wordWrap/>
        <w:overflowPunct/>
        <w:topLinePunct w:val="0"/>
        <w:autoSpaceDE/>
        <w:autoSpaceDN/>
        <w:bidi w:val="0"/>
        <w:adjustRightInd w:val="0"/>
        <w:snapToGrid w:val="0"/>
        <w:spacing w:line="580" w:lineRule="exact"/>
        <w:textAlignment w:val="auto"/>
        <w:rPr>
          <w:rFonts w:hint="eastAsia"/>
          <w:color w:val="auto"/>
          <w:highlight w:val="none"/>
        </w:rPr>
      </w:pPr>
      <w:r>
        <w:rPr>
          <w:rFonts w:hint="eastAsia"/>
          <w:color w:val="auto"/>
          <w:highlight w:val="none"/>
        </w:rPr>
        <w:br w:type="page"/>
      </w:r>
    </w:p>
    <w:p>
      <w:pPr>
        <w:pStyle w:val="31"/>
        <w:keepNext w:val="0"/>
        <w:keepLines w:val="0"/>
        <w:pageBreakBefore w:val="0"/>
        <w:widowControl w:val="0"/>
        <w:shd w:val="clear"/>
        <w:kinsoku/>
        <w:wordWrap/>
        <w:overflowPunct/>
        <w:topLinePunct w:val="0"/>
        <w:autoSpaceDE/>
        <w:autoSpaceDN/>
        <w:bidi w:val="0"/>
        <w:spacing w:beforeAutospacing="0" w:afterAutospacing="0" w:line="588" w:lineRule="exact"/>
        <w:ind w:left="0" w:leftChars="0" w:firstLine="0" w:firstLineChars="0"/>
        <w:jc w:val="center"/>
        <w:textAlignment w:val="auto"/>
        <w:rPr>
          <w:rFonts w:hint="eastAsia" w:ascii="方正小标宋_GBK" w:hAnsi="方正小标宋_GBK" w:eastAsia="方正小标宋_GBK" w:cs="方正小标宋_GBK"/>
          <w:b w:val="0"/>
          <w:bCs w:val="0"/>
          <w:color w:val="auto"/>
          <w:sz w:val="44"/>
          <w:szCs w:val="44"/>
          <w:highlight w:val="none"/>
          <w:lang w:val="en-US" w:eastAsia="zh-CN"/>
        </w:rPr>
      </w:pPr>
    </w:p>
    <w:p>
      <w:pPr>
        <w:pStyle w:val="3"/>
        <w:keepNext w:val="0"/>
        <w:keepLines w:val="0"/>
        <w:pageBreakBefore w:val="0"/>
        <w:widowControl w:val="0"/>
        <w:shd w:val="clear"/>
        <w:kinsoku/>
        <w:wordWrap/>
        <w:overflowPunct/>
        <w:topLinePunct w:val="0"/>
        <w:autoSpaceDE/>
        <w:autoSpaceDN/>
        <w:bidi w:val="0"/>
        <w:spacing w:beforeAutospacing="0" w:afterAutospacing="0" w:line="576" w:lineRule="exact"/>
        <w:ind w:left="0" w:leftChars="0" w:firstLine="0" w:firstLineChars="0"/>
        <w:jc w:val="center"/>
        <w:textAlignment w:val="auto"/>
        <w:rPr>
          <w:rFonts w:hint="eastAsia" w:ascii="方正黑体简体" w:hAnsi="方正黑体简体" w:eastAsia="方正黑体简体" w:cs="方正黑体简体"/>
          <w:sz w:val="32"/>
          <w:szCs w:val="32"/>
          <w:lang w:val="en-US" w:eastAsia="zh-CN"/>
        </w:rPr>
      </w:pPr>
      <w:bookmarkStart w:id="1001" w:name="_Toc1804129724"/>
      <w:bookmarkStart w:id="1002" w:name="_Toc1101374632"/>
      <w:r>
        <w:rPr>
          <w:rFonts w:hint="eastAsia" w:ascii="方正黑体简体" w:hAnsi="方正黑体简体" w:eastAsia="方正黑体简体" w:cs="方正黑体简体"/>
          <w:sz w:val="32"/>
          <w:szCs w:val="32"/>
          <w:lang w:val="en-US" w:eastAsia="zh-CN"/>
        </w:rPr>
        <w:t>名词解释</w:t>
      </w:r>
      <w:bookmarkEnd w:id="1001"/>
      <w:bookmarkEnd w:id="1002"/>
    </w:p>
    <w:p>
      <w:pPr>
        <w:pStyle w:val="31"/>
        <w:keepNext w:val="0"/>
        <w:keepLines w:val="0"/>
        <w:pageBreakBefore w:val="0"/>
        <w:widowControl w:val="0"/>
        <w:shd w:val="clear"/>
        <w:kinsoku/>
        <w:wordWrap/>
        <w:overflowPunct/>
        <w:topLinePunct w:val="0"/>
        <w:autoSpaceDE/>
        <w:autoSpaceDN/>
        <w:bidi w:val="0"/>
        <w:spacing w:beforeAutospacing="0" w:afterAutospacing="0" w:line="576" w:lineRule="exact"/>
        <w:textAlignment w:val="auto"/>
        <w:rPr>
          <w:rFonts w:hint="eastAsia" w:ascii="仿宋_GB2312" w:hAnsi="仿宋_GB2312" w:eastAsia="仿宋_GB2312" w:cs="仿宋_GB2312"/>
          <w:color w:val="auto"/>
          <w:sz w:val="32"/>
          <w:szCs w:val="32"/>
          <w:highlight w:val="none"/>
          <w:lang w:val="en-US" w:eastAsia="zh-CN"/>
        </w:rPr>
      </w:pPr>
    </w:p>
    <w:p>
      <w:pPr>
        <w:pStyle w:val="31"/>
        <w:keepNext w:val="0"/>
        <w:keepLines w:val="0"/>
        <w:pageBreakBefore w:val="0"/>
        <w:widowControl w:val="0"/>
        <w:kinsoku/>
        <w:wordWrap/>
        <w:overflowPunct/>
        <w:topLinePunct w:val="0"/>
        <w:autoSpaceDE/>
        <w:autoSpaceDN/>
        <w:bidi w:val="0"/>
        <w:spacing w:line="576" w:lineRule="exact"/>
        <w:textAlignment w:val="auto"/>
        <w:rPr>
          <w:rFonts w:hint="eastAsia" w:ascii="仿宋_GB2312" w:hAnsi="仿宋_GB2312" w:eastAsia="仿宋_GB2312" w:cs="仿宋_GB2312"/>
          <w:color w:val="auto"/>
          <w:sz w:val="32"/>
          <w:szCs w:val="32"/>
          <w:highlight w:val="none"/>
          <w:lang w:eastAsia="zh-CN"/>
        </w:rPr>
      </w:pPr>
      <w:r>
        <w:rPr>
          <w:rFonts w:hint="default" w:ascii="Times New Roman" w:hAnsi="Times New Roman" w:cs="Times New Roman"/>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rPr>
        <w:t>一本三基四梁八柱</w:t>
      </w:r>
      <w:r>
        <w:rPr>
          <w:rFonts w:hint="eastAsia"/>
          <w:color w:val="auto"/>
          <w:sz w:val="32"/>
          <w:szCs w:val="32"/>
          <w:highlight w:val="none"/>
          <w:lang w:eastAsia="zh-CN"/>
        </w:rPr>
        <w:t>：坚持以习近平总书记关于海南工作的系列重要讲话和指示批示精神为根本遵循，以《中共中央</w:t>
      </w:r>
      <w:r>
        <w:rPr>
          <w:rFonts w:hint="eastAsia"/>
          <w:color w:val="auto"/>
          <w:sz w:val="32"/>
          <w:szCs w:val="32"/>
          <w:highlight w:val="none"/>
          <w:lang w:val="en-US" w:eastAsia="zh-CN"/>
        </w:rPr>
        <w:t xml:space="preserve"> </w:t>
      </w:r>
      <w:r>
        <w:rPr>
          <w:rFonts w:hint="eastAsia"/>
          <w:color w:val="auto"/>
          <w:sz w:val="32"/>
          <w:szCs w:val="32"/>
          <w:highlight w:val="none"/>
          <w:lang w:eastAsia="zh-CN"/>
        </w:rPr>
        <w:t>国务院关于支持海南全面深化改革开放的指导意见》《海南自由贸易港建设总体方案》《中华人民共和国海南自由贸易港法》为制度基石，以全面深化改革开放试验区、国家生态文明试验区、国际旅游消费中心、国家重大战略服务保障区为目标定位，以政策环境、法治环境、营商环境、生态环境、经济发展体系、社会治理体系、风险防控体系、组织领导体系为稳固支撑。</w:t>
      </w:r>
    </w:p>
    <w:p>
      <w:pPr>
        <w:pStyle w:val="31"/>
        <w:keepNext w:val="0"/>
        <w:keepLines w:val="0"/>
        <w:pageBreakBefore w:val="0"/>
        <w:widowControl w:val="0"/>
        <w:kinsoku/>
        <w:wordWrap/>
        <w:overflowPunct/>
        <w:topLinePunct w:val="0"/>
        <w:autoSpaceDE/>
        <w:autoSpaceDN/>
        <w:bidi w:val="0"/>
        <w:spacing w:line="576" w:lineRule="exact"/>
        <w:textAlignment w:val="auto"/>
        <w:rPr>
          <w:rFonts w:hint="eastAsia"/>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一标杆、五个区：海南自由贸易港建设标杆、国际旅游消费中心核心区、全国种业深海科技产业创新示范区、国家重大战略服务保障区、美丽中国先行区、全省城乡协调发展和两个文明提升样板区。</w:t>
      </w:r>
    </w:p>
    <w:p>
      <w:pPr>
        <w:pStyle w:val="31"/>
        <w:keepNext w:val="0"/>
        <w:keepLines w:val="0"/>
        <w:pageBreakBefore w:val="0"/>
        <w:widowControl w:val="0"/>
        <w:kinsoku/>
        <w:wordWrap/>
        <w:overflowPunct/>
        <w:topLinePunct w:val="0"/>
        <w:autoSpaceDE/>
        <w:autoSpaceDN/>
        <w:bidi w:val="0"/>
        <w:spacing w:line="576" w:lineRule="exact"/>
        <w:textAlignment w:val="auto"/>
        <w:rPr>
          <w:rFonts w:hint="eastAsia"/>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三张</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零关税</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清单：除法律法规和相关规定明确不予免税、国家规定禁止进口的商品外，对企业进口自用的生产设备，实行</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零关税</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负面清单管理；对岛内进口用于交通运输、旅游业的船舶、航空器等营运用交通工具及游艇，岛内进口用于生产自用或以</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两头在外</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模式进行生产加工活动（或服务贸易过程中）所消耗的原辅料，实行</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零关税</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正面清单管理。对实行</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零关税</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清单管理的货物及物品免征进口关税、进口环节增值税和消费税。</w:t>
      </w:r>
    </w:p>
    <w:p>
      <w:pPr>
        <w:pStyle w:val="31"/>
        <w:keepNext w:val="0"/>
        <w:keepLines w:val="0"/>
        <w:pageBreakBefore w:val="0"/>
        <w:widowControl w:val="0"/>
        <w:kinsoku/>
        <w:wordWrap/>
        <w:overflowPunct/>
        <w:topLinePunct w:val="0"/>
        <w:autoSpaceDE/>
        <w:autoSpaceDN/>
        <w:bidi w:val="0"/>
        <w:spacing w:line="576" w:lineRule="exact"/>
        <w:textAlignment w:val="auto"/>
        <w:rPr>
          <w:rFonts w:hint="eastAsia"/>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两个</w:t>
      </w:r>
      <w:r>
        <w:rPr>
          <w:rFonts w:hint="default" w:ascii="Times New Roman" w:hAnsi="Times New Roman" w:cs="Times New Roman"/>
          <w:color w:val="auto"/>
          <w:sz w:val="32"/>
          <w:szCs w:val="32"/>
          <w:highlight w:val="none"/>
        </w:rPr>
        <w:t>15</w:t>
      </w:r>
      <w:r>
        <w:rPr>
          <w:rFonts w:hint="default"/>
          <w:color w:val="auto"/>
          <w:sz w:val="32"/>
          <w:szCs w:val="32"/>
          <w:highlight w:val="none"/>
        </w:rPr>
        <w:t>%</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lang w:eastAsia="zh-CN"/>
        </w:rPr>
        <w:t>所得税：</w:t>
      </w:r>
      <w:r>
        <w:rPr>
          <w:rFonts w:hint="eastAsia"/>
          <w:color w:val="auto"/>
          <w:sz w:val="32"/>
          <w:szCs w:val="32"/>
          <w:highlight w:val="none"/>
          <w:lang w:val="en-US" w:eastAsia="zh-CN"/>
        </w:rPr>
        <w:t>对注册在海南自由贸易港并实质性运营的鼓励类产业企业，减按</w:t>
      </w:r>
      <w:r>
        <w:rPr>
          <w:rFonts w:hint="default" w:ascii="Times New Roman" w:hAnsi="Times New Roman" w:cs="Times New Roman"/>
          <w:color w:val="auto"/>
          <w:sz w:val="32"/>
          <w:szCs w:val="32"/>
          <w:highlight w:val="none"/>
          <w:lang w:val="en-US" w:eastAsia="zh-CN"/>
        </w:rPr>
        <w:t>15</w:t>
      </w:r>
      <w:r>
        <w:rPr>
          <w:rFonts w:hint="default"/>
          <w:color w:val="auto"/>
          <w:sz w:val="32"/>
          <w:szCs w:val="32"/>
          <w:highlight w:val="none"/>
          <w:lang w:val="en-US" w:eastAsia="zh-CN"/>
        </w:rPr>
        <w:t>%</w:t>
      </w:r>
      <w:r>
        <w:rPr>
          <w:rFonts w:hint="eastAsia"/>
          <w:color w:val="auto"/>
          <w:sz w:val="32"/>
          <w:szCs w:val="32"/>
          <w:highlight w:val="none"/>
          <w:lang w:val="en-US" w:eastAsia="zh-CN"/>
        </w:rPr>
        <w:t>征收企业所得税；对在海南自由贸易港工作的高端人才和紧缺人才，其个人所得税实际税负超过</w:t>
      </w:r>
      <w:r>
        <w:rPr>
          <w:rFonts w:hint="default" w:ascii="Times New Roman" w:hAnsi="Times New Roman" w:cs="Times New Roman"/>
          <w:color w:val="auto"/>
          <w:sz w:val="32"/>
          <w:szCs w:val="32"/>
          <w:highlight w:val="none"/>
          <w:lang w:val="en-US" w:eastAsia="zh-CN"/>
        </w:rPr>
        <w:t>15</w:t>
      </w:r>
      <w:r>
        <w:rPr>
          <w:rFonts w:hint="default"/>
          <w:color w:val="auto"/>
          <w:sz w:val="32"/>
          <w:szCs w:val="32"/>
          <w:highlight w:val="none"/>
          <w:lang w:val="en-US" w:eastAsia="zh-CN"/>
        </w:rPr>
        <w:t>%</w:t>
      </w:r>
      <w:r>
        <w:rPr>
          <w:rFonts w:hint="eastAsia"/>
          <w:color w:val="auto"/>
          <w:sz w:val="32"/>
          <w:szCs w:val="32"/>
          <w:highlight w:val="none"/>
          <w:lang w:val="en-US" w:eastAsia="zh-CN"/>
        </w:rPr>
        <w:t>的部分，予以免征。</w:t>
      </w:r>
    </w:p>
    <w:p>
      <w:pPr>
        <w:pStyle w:val="31"/>
        <w:keepNext w:val="0"/>
        <w:keepLines w:val="0"/>
        <w:pageBreakBefore w:val="0"/>
        <w:widowControl w:val="0"/>
        <w:kinsoku/>
        <w:wordWrap/>
        <w:overflowPunct/>
        <w:topLinePunct w:val="0"/>
        <w:autoSpaceDE/>
        <w:autoSpaceDN/>
        <w:bidi w:val="0"/>
        <w:spacing w:line="576" w:lineRule="exact"/>
        <w:textAlignment w:val="auto"/>
        <w:rPr>
          <w:rFonts w:hint="eastAsia"/>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rPr>
        <w:t>五自由便利一安全有序流动</w:t>
      </w:r>
      <w:r>
        <w:rPr>
          <w:rFonts w:hint="eastAsia"/>
          <w:color w:val="auto"/>
          <w:sz w:val="32"/>
          <w:szCs w:val="32"/>
          <w:highlight w:val="none"/>
          <w:lang w:eastAsia="zh-CN"/>
        </w:rPr>
        <w:t>：</w:t>
      </w:r>
      <w:r>
        <w:rPr>
          <w:rFonts w:hint="eastAsia"/>
          <w:color w:val="auto"/>
          <w:sz w:val="32"/>
          <w:szCs w:val="32"/>
          <w:highlight w:val="none"/>
          <w:lang w:val="en-US" w:eastAsia="zh-CN"/>
        </w:rPr>
        <w:t>贸易自由便利、投资自由便利、跨境资金流动自由便利、人员进出自由便利、运输来往自由便利和数据安全有序流动。</w:t>
      </w:r>
    </w:p>
    <w:p>
      <w:pPr>
        <w:pStyle w:val="31"/>
        <w:keepNext w:val="0"/>
        <w:keepLines w:val="0"/>
        <w:pageBreakBefore w:val="0"/>
        <w:widowControl w:val="0"/>
        <w:kinsoku/>
        <w:wordWrap/>
        <w:overflowPunct/>
        <w:topLinePunct w:val="0"/>
        <w:autoSpaceDE/>
        <w:autoSpaceDN/>
        <w:bidi w:val="0"/>
        <w:spacing w:line="576" w:lineRule="exact"/>
        <w:textAlignment w:val="auto"/>
        <w:rPr>
          <w:rFonts w:hint="eastAsia"/>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二线口岸：经国务院批准，列入海南自由贸易港口岸布局方案，服务于货物、物品、交通运输工具、人员在海南自由贸易港与中华人民共和国关境内的其他地区之间进出的港口、机场等。</w:t>
      </w:r>
    </w:p>
    <w:p>
      <w:pPr>
        <w:pStyle w:val="31"/>
        <w:keepNext w:val="0"/>
        <w:keepLines w:val="0"/>
        <w:pageBreakBefore w:val="0"/>
        <w:widowControl w:val="0"/>
        <w:kinsoku/>
        <w:wordWrap/>
        <w:overflowPunct/>
        <w:topLinePunct w:val="0"/>
        <w:autoSpaceDE/>
        <w:autoSpaceDN/>
        <w:bidi w:val="0"/>
        <w:spacing w:line="576" w:lineRule="exact"/>
        <w:textAlignment w:val="auto"/>
        <w:rPr>
          <w:rFonts w:hint="eastAsia"/>
          <w:sz w:val="32"/>
          <w:szCs w:val="32"/>
          <w:lang w:val="en-US" w:eastAsia="zh-CN"/>
        </w:rPr>
      </w:pPr>
      <w:r>
        <w:rPr>
          <w:rFonts w:hint="default"/>
          <w:sz w:val="32"/>
          <w:szCs w:val="32"/>
          <w:lang w:val="en-US" w:eastAsia="zh-CN"/>
        </w:rPr>
        <w:t>7</w:t>
      </w:r>
      <w:r>
        <w:rPr>
          <w:rFonts w:hint="eastAsia" w:ascii="仿宋_GB2312" w:hAnsi="仿宋_GB2312" w:eastAsia="仿宋_GB2312" w:cs="仿宋_GB2312"/>
          <w:color w:val="auto"/>
          <w:sz w:val="32"/>
          <w:szCs w:val="32"/>
          <w:highlight w:val="none"/>
          <w:lang w:val="en-US" w:eastAsia="zh-CN"/>
        </w:rPr>
        <w:t>.</w:t>
      </w:r>
      <w:r>
        <w:rPr>
          <w:rFonts w:hint="eastAsia"/>
          <w:sz w:val="32"/>
          <w:szCs w:val="32"/>
        </w:rPr>
        <w:t>跨境资金集中运营中心</w:t>
      </w:r>
      <w:r>
        <w:rPr>
          <w:rFonts w:hint="eastAsia"/>
          <w:color w:val="auto"/>
          <w:sz w:val="32"/>
          <w:szCs w:val="32"/>
          <w:highlight w:val="none"/>
          <w:lang w:val="en-US" w:eastAsia="zh-CN"/>
        </w:rPr>
        <w:t>：</w:t>
      </w:r>
      <w:r>
        <w:rPr>
          <w:rFonts w:hint="eastAsia"/>
          <w:sz w:val="32"/>
          <w:szCs w:val="32"/>
        </w:rPr>
        <w:t>在海南自由贸易港内注册并实质性运营，主要负责集中运营管理跨国公司成员企业境内外本外币资金的独立法人机构。</w:t>
      </w:r>
    </w:p>
    <w:p>
      <w:pPr>
        <w:pStyle w:val="31"/>
        <w:keepNext w:val="0"/>
        <w:keepLines w:val="0"/>
        <w:pageBreakBefore w:val="0"/>
        <w:widowControl w:val="0"/>
        <w:kinsoku/>
        <w:wordWrap/>
        <w:overflowPunct/>
        <w:topLinePunct w:val="0"/>
        <w:autoSpaceDE/>
        <w:autoSpaceDN/>
        <w:bidi w:val="0"/>
        <w:spacing w:line="576" w:lineRule="exact"/>
        <w:textAlignment w:val="auto"/>
        <w:rPr>
          <w:rFonts w:hint="eastAsia"/>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8</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两个基地”“两个枢纽”“两个网络”：中国企业走向国际市场的总部基地和境外企业进入中国市场的总部基地，西部陆海新通道国际航运枢纽和面向太平洋、印度洋的航空区域门户枢纽，国际经贸合作网络和国际人文交流合作网络。</w:t>
      </w:r>
    </w:p>
    <w:p>
      <w:pPr>
        <w:pStyle w:val="31"/>
        <w:keepNext w:val="0"/>
        <w:keepLines w:val="0"/>
        <w:pageBreakBefore w:val="0"/>
        <w:widowControl w:val="0"/>
        <w:kinsoku/>
        <w:wordWrap/>
        <w:overflowPunct/>
        <w:topLinePunct w:val="0"/>
        <w:autoSpaceDE/>
        <w:autoSpaceDN/>
        <w:bidi w:val="0"/>
        <w:spacing w:line="576" w:lineRule="exact"/>
        <w:textAlignment w:val="auto"/>
        <w:rPr>
          <w:color w:val="auto"/>
          <w:sz w:val="32"/>
          <w:szCs w:val="32"/>
          <w:highlight w:val="none"/>
        </w:rPr>
      </w:pPr>
      <w:r>
        <w:rPr>
          <w:rFonts w:hint="eastAsia" w:cs="Times New Roman"/>
          <w:color w:val="auto"/>
          <w:sz w:val="32"/>
          <w:szCs w:val="32"/>
          <w:highlight w:val="none"/>
          <w:lang w:val="en-US" w:eastAsia="zh-CN"/>
        </w:rPr>
        <w:t>9</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rPr>
        <w:t>海南放心付</w:t>
      </w:r>
      <w:r>
        <w:rPr>
          <w:rFonts w:hint="eastAsia"/>
          <w:color w:val="auto"/>
          <w:sz w:val="32"/>
          <w:szCs w:val="32"/>
          <w:highlight w:val="none"/>
          <w:lang w:val="en-US" w:eastAsia="zh-CN"/>
        </w:rPr>
        <w:t>：海南省为优化境外游客支付服务推出的创新支付平台，旨在提升境外游客支付便利性，促进海南旅游市场国际化发展。</w:t>
      </w:r>
    </w:p>
    <w:p>
      <w:pPr>
        <w:pStyle w:val="31"/>
        <w:keepNext w:val="0"/>
        <w:keepLines w:val="0"/>
        <w:pageBreakBefore w:val="0"/>
        <w:widowControl w:val="0"/>
        <w:kinsoku/>
        <w:wordWrap/>
        <w:overflowPunct/>
        <w:topLinePunct w:val="0"/>
        <w:autoSpaceDE/>
        <w:autoSpaceDN/>
        <w:bidi w:val="0"/>
        <w:spacing w:line="576" w:lineRule="exact"/>
        <w:textAlignment w:val="auto"/>
        <w:rPr>
          <w:color w:val="auto"/>
          <w:sz w:val="32"/>
          <w:szCs w:val="32"/>
          <w:highlight w:val="none"/>
        </w:rPr>
      </w:pPr>
      <w:r>
        <w:rPr>
          <w:rFonts w:hint="eastAsia" w:ascii="Times New Roman" w:hAnsi="Times New Roman" w:cs="Times New Roman"/>
          <w:color w:val="auto"/>
          <w:sz w:val="32"/>
          <w:szCs w:val="32"/>
          <w:highlight w:val="none"/>
          <w:lang w:val="en-US" w:eastAsia="zh-CN"/>
        </w:rPr>
        <w:t>1</w:t>
      </w:r>
      <w:r>
        <w:rPr>
          <w:rFonts w:hint="eastAsia" w:cs="Times New Roman"/>
          <w:color w:val="auto"/>
          <w:sz w:val="32"/>
          <w:szCs w:val="32"/>
          <w:highlight w:val="none"/>
          <w:lang w:val="en-US" w:eastAsia="zh-CN"/>
        </w:rPr>
        <w:t>0</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eastAsia="zh-CN"/>
        </w:rPr>
        <w:t>六水共治：</w:t>
      </w:r>
      <w:r>
        <w:rPr>
          <w:rFonts w:hint="eastAsia"/>
          <w:color w:val="auto"/>
          <w:sz w:val="32"/>
          <w:szCs w:val="32"/>
          <w:highlight w:val="none"/>
          <w:lang w:val="en-US" w:eastAsia="zh-CN"/>
        </w:rPr>
        <w:t>以水环境综合治理为突破口，系统推进治污水、保供水、排涝水、防洪水、抓节水、优海水六项工作。</w:t>
      </w:r>
    </w:p>
    <w:p>
      <w:pPr>
        <w:pStyle w:val="31"/>
        <w:keepNext w:val="0"/>
        <w:keepLines w:val="0"/>
        <w:pageBreakBefore w:val="0"/>
        <w:widowControl w:val="0"/>
        <w:kinsoku/>
        <w:wordWrap/>
        <w:overflowPunct/>
        <w:topLinePunct w:val="0"/>
        <w:autoSpaceDE/>
        <w:autoSpaceDN/>
        <w:bidi w:val="0"/>
        <w:spacing w:line="576" w:lineRule="exact"/>
        <w:textAlignment w:val="auto"/>
        <w:rPr>
          <w:rFonts w:hint="eastAsia"/>
          <w:color w:val="auto"/>
          <w:sz w:val="32"/>
          <w:szCs w:val="32"/>
          <w:highlight w:val="none"/>
          <w:lang w:eastAsia="zh-CN"/>
        </w:rPr>
      </w:pPr>
      <w:r>
        <w:rPr>
          <w:rFonts w:hint="eastAsia" w:ascii="Times New Roman" w:hAnsi="Times New Roman" w:cs="Times New Roman"/>
          <w:color w:val="auto"/>
          <w:sz w:val="32"/>
          <w:szCs w:val="32"/>
          <w:highlight w:val="none"/>
          <w:lang w:val="en-US" w:eastAsia="zh-CN"/>
        </w:rPr>
        <w:t>1</w:t>
      </w:r>
      <w:r>
        <w:rPr>
          <w:rFonts w:hint="eastAsia" w:cs="Times New Roman"/>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rPr>
        <w:t>五向图强</w:t>
      </w:r>
      <w:r>
        <w:rPr>
          <w:rFonts w:hint="eastAsia"/>
          <w:color w:val="auto"/>
          <w:sz w:val="32"/>
          <w:szCs w:val="32"/>
          <w:highlight w:val="none"/>
          <w:lang w:eastAsia="zh-CN"/>
        </w:rPr>
        <w:t>：向种图强、向海图强、向天图强、向绿图强、向数图强。</w:t>
      </w:r>
    </w:p>
    <w:p>
      <w:pPr>
        <w:pStyle w:val="31"/>
        <w:keepNext w:val="0"/>
        <w:keepLines w:val="0"/>
        <w:pageBreakBefore w:val="0"/>
        <w:widowControl w:val="0"/>
        <w:kinsoku/>
        <w:wordWrap/>
        <w:overflowPunct/>
        <w:topLinePunct w:val="0"/>
        <w:autoSpaceDE/>
        <w:autoSpaceDN/>
        <w:bidi w:val="0"/>
        <w:spacing w:line="576" w:lineRule="exact"/>
        <w:textAlignment w:val="auto"/>
        <w:rPr>
          <w:rFonts w:hint="eastAsia"/>
          <w:color w:val="auto"/>
          <w:sz w:val="32"/>
          <w:szCs w:val="32"/>
          <w:highlight w:val="none"/>
          <w:lang w:eastAsia="zh-CN"/>
        </w:rPr>
      </w:pPr>
      <w:r>
        <w:rPr>
          <w:rFonts w:hint="default" w:ascii="Times New Roman" w:hAnsi="Times New Roman" w:cs="Times New Roman"/>
          <w:color w:val="auto"/>
          <w:sz w:val="32"/>
          <w:szCs w:val="32"/>
          <w:highlight w:val="none"/>
          <w:lang w:val="en-US" w:eastAsia="zh-CN"/>
        </w:rPr>
        <w:t>1</w:t>
      </w:r>
      <w:r>
        <w:rPr>
          <w:rFonts w:hint="eastAsia" w:cs="Times New Roman"/>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eastAsia="zh-CN"/>
        </w:rPr>
        <w:t>《区域全面经济伙伴关系协定》（</w:t>
      </w:r>
      <w:r>
        <w:rPr>
          <w:rFonts w:hint="default"/>
          <w:color w:val="auto"/>
          <w:sz w:val="32"/>
          <w:szCs w:val="32"/>
          <w:highlight w:val="none"/>
          <w:lang w:eastAsia="zh-CN"/>
        </w:rPr>
        <w:t>RCEP</w:t>
      </w:r>
      <w:r>
        <w:rPr>
          <w:rFonts w:hint="eastAsia"/>
          <w:color w:val="auto"/>
          <w:sz w:val="32"/>
          <w:szCs w:val="32"/>
          <w:highlight w:val="none"/>
          <w:lang w:eastAsia="zh-CN"/>
        </w:rPr>
        <w:t>）：</w:t>
      </w:r>
      <w:r>
        <w:rPr>
          <w:rFonts w:hint="default"/>
          <w:color w:val="auto"/>
          <w:sz w:val="32"/>
          <w:szCs w:val="32"/>
          <w:highlight w:val="none"/>
        </w:rPr>
        <w:t>由东盟十国发起，邀请中国、日本、韩国、澳大利亚、新西兰共同参与，通过削减关税及非关税壁垒，建立</w:t>
      </w:r>
      <w:r>
        <w:rPr>
          <w:rFonts w:hint="default" w:ascii="Times New Roman" w:hAnsi="Times New Roman" w:cs="Times New Roman"/>
          <w:color w:val="auto"/>
          <w:sz w:val="32"/>
          <w:szCs w:val="32"/>
          <w:highlight w:val="none"/>
        </w:rPr>
        <w:t>15</w:t>
      </w:r>
      <w:r>
        <w:rPr>
          <w:rFonts w:hint="default"/>
          <w:color w:val="auto"/>
          <w:sz w:val="32"/>
          <w:szCs w:val="32"/>
          <w:highlight w:val="none"/>
        </w:rPr>
        <w:t>国统一市场的自由贸易协定。</w:t>
      </w:r>
    </w:p>
    <w:p>
      <w:pPr>
        <w:pStyle w:val="31"/>
        <w:keepNext w:val="0"/>
        <w:keepLines w:val="0"/>
        <w:pageBreakBefore w:val="0"/>
        <w:widowControl w:val="0"/>
        <w:kinsoku/>
        <w:wordWrap/>
        <w:overflowPunct/>
        <w:topLinePunct w:val="0"/>
        <w:autoSpaceDE/>
        <w:autoSpaceDN/>
        <w:bidi w:val="0"/>
        <w:spacing w:line="576" w:lineRule="exact"/>
        <w:textAlignment w:val="auto"/>
        <w:rPr>
          <w:rFonts w:hint="eastAsia"/>
          <w:color w:val="auto"/>
          <w:sz w:val="32"/>
          <w:szCs w:val="32"/>
          <w:highlight w:val="none"/>
          <w:lang w:eastAsia="zh-CN"/>
        </w:rPr>
      </w:pPr>
      <w:r>
        <w:rPr>
          <w:rFonts w:hint="default" w:ascii="Times New Roman" w:hAnsi="Times New Roman" w:cs="Times New Roman"/>
          <w:color w:val="auto"/>
          <w:sz w:val="32"/>
          <w:szCs w:val="32"/>
          <w:highlight w:val="none"/>
          <w:lang w:val="en-US" w:eastAsia="zh-CN"/>
        </w:rPr>
        <w:t>1</w:t>
      </w:r>
      <w:r>
        <w:rPr>
          <w:rFonts w:hint="eastAsia" w:cs="Times New Roman"/>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eastAsia="zh-CN"/>
        </w:rPr>
        <w:t>《全面与进步跨太平洋伙伴关系协定》（</w:t>
      </w:r>
      <w:r>
        <w:rPr>
          <w:rFonts w:hint="default"/>
          <w:color w:val="auto"/>
          <w:sz w:val="32"/>
          <w:szCs w:val="32"/>
          <w:highlight w:val="none"/>
          <w:lang w:val="en-US" w:eastAsia="zh-CN"/>
        </w:rPr>
        <w:t>CPTPP</w:t>
      </w:r>
      <w:r>
        <w:rPr>
          <w:rFonts w:hint="eastAsia"/>
          <w:color w:val="auto"/>
          <w:sz w:val="32"/>
          <w:szCs w:val="32"/>
          <w:highlight w:val="none"/>
          <w:lang w:eastAsia="zh-CN"/>
        </w:rPr>
        <w:t>）：</w:t>
      </w:r>
      <w:r>
        <w:rPr>
          <w:rFonts w:hint="default"/>
          <w:color w:val="auto"/>
          <w:sz w:val="32"/>
          <w:szCs w:val="32"/>
          <w:highlight w:val="none"/>
        </w:rPr>
        <w:t>由日本、加拿大、澳大利亚、智利、新西兰、新加坡、文莱、马来西亚、越南、墨西哥和秘鲁等</w:t>
      </w:r>
      <w:r>
        <w:rPr>
          <w:rFonts w:hint="default" w:ascii="Times New Roman" w:hAnsi="Times New Roman" w:cs="Times New Roman"/>
          <w:color w:val="auto"/>
          <w:sz w:val="32"/>
          <w:szCs w:val="32"/>
          <w:highlight w:val="none"/>
        </w:rPr>
        <w:t>11</w:t>
      </w:r>
      <w:r>
        <w:rPr>
          <w:rFonts w:hint="default"/>
          <w:color w:val="auto"/>
          <w:sz w:val="32"/>
          <w:szCs w:val="32"/>
          <w:highlight w:val="none"/>
        </w:rPr>
        <w:t>个国家达成的自由贸易协定。</w:t>
      </w:r>
      <w:r>
        <w:rPr>
          <w:rFonts w:hint="default" w:ascii="Times New Roman" w:hAnsi="Times New Roman" w:cs="Times New Roman"/>
          <w:color w:val="auto"/>
          <w:sz w:val="32"/>
          <w:szCs w:val="32"/>
          <w:highlight w:val="none"/>
        </w:rPr>
        <w:t>2024</w:t>
      </w:r>
      <w:r>
        <w:rPr>
          <w:rFonts w:hint="default"/>
          <w:color w:val="auto"/>
          <w:sz w:val="32"/>
          <w:szCs w:val="32"/>
          <w:highlight w:val="none"/>
        </w:rPr>
        <w:t>年</w:t>
      </w:r>
      <w:r>
        <w:rPr>
          <w:rFonts w:hint="default" w:ascii="Times New Roman" w:hAnsi="Times New Roman" w:cs="Times New Roman"/>
          <w:color w:val="auto"/>
          <w:sz w:val="32"/>
          <w:szCs w:val="32"/>
          <w:highlight w:val="none"/>
        </w:rPr>
        <w:t>12</w:t>
      </w:r>
      <w:r>
        <w:rPr>
          <w:rFonts w:hint="default"/>
          <w:color w:val="auto"/>
          <w:sz w:val="32"/>
          <w:szCs w:val="32"/>
          <w:highlight w:val="none"/>
        </w:rPr>
        <w:t>月</w:t>
      </w:r>
      <w:r>
        <w:rPr>
          <w:rFonts w:hint="default" w:ascii="Times New Roman" w:hAnsi="Times New Roman" w:cs="Times New Roman"/>
          <w:color w:val="auto"/>
          <w:sz w:val="32"/>
          <w:szCs w:val="32"/>
          <w:highlight w:val="none"/>
        </w:rPr>
        <w:t>15</w:t>
      </w:r>
      <w:r>
        <w:rPr>
          <w:rFonts w:hint="default"/>
          <w:color w:val="auto"/>
          <w:sz w:val="32"/>
          <w:szCs w:val="32"/>
          <w:highlight w:val="none"/>
        </w:rPr>
        <w:t>日，英国正式加入，成为其第</w:t>
      </w:r>
      <w:r>
        <w:rPr>
          <w:rFonts w:hint="default" w:ascii="Times New Roman" w:hAnsi="Times New Roman" w:cs="Times New Roman"/>
          <w:color w:val="auto"/>
          <w:sz w:val="32"/>
          <w:szCs w:val="32"/>
          <w:highlight w:val="none"/>
        </w:rPr>
        <w:t>12</w:t>
      </w:r>
      <w:r>
        <w:rPr>
          <w:rFonts w:hint="default"/>
          <w:color w:val="auto"/>
          <w:sz w:val="32"/>
          <w:szCs w:val="32"/>
          <w:highlight w:val="none"/>
        </w:rPr>
        <w:t>个成员国。协定内容涉及货物贸易、服务贸易、投资等方面，还涵盖知识产权保护、劳工与环境标准、竞争政策、国有企业、中小企业政策、监管一致性、透明度和反腐败</w:t>
      </w:r>
      <w:r>
        <w:rPr>
          <w:rFonts w:hint="eastAsia"/>
          <w:color w:val="auto"/>
          <w:sz w:val="32"/>
          <w:szCs w:val="32"/>
          <w:highlight w:val="none"/>
        </w:rPr>
        <w:t>等</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边境后</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规则</w:t>
      </w:r>
      <w:r>
        <w:rPr>
          <w:rFonts w:hint="default"/>
          <w:color w:val="auto"/>
          <w:sz w:val="32"/>
          <w:szCs w:val="32"/>
          <w:highlight w:val="none"/>
        </w:rPr>
        <w:t>领域。</w:t>
      </w:r>
    </w:p>
    <w:p>
      <w:pPr>
        <w:pStyle w:val="31"/>
        <w:keepNext w:val="0"/>
        <w:keepLines w:val="0"/>
        <w:pageBreakBefore w:val="0"/>
        <w:widowControl w:val="0"/>
        <w:kinsoku/>
        <w:wordWrap/>
        <w:overflowPunct/>
        <w:topLinePunct w:val="0"/>
        <w:autoSpaceDE/>
        <w:autoSpaceDN/>
        <w:bidi w:val="0"/>
        <w:spacing w:line="576" w:lineRule="exact"/>
        <w:textAlignment w:val="auto"/>
        <w:rPr>
          <w:rFonts w:hint="eastAsia"/>
          <w:color w:val="auto"/>
          <w:sz w:val="32"/>
          <w:szCs w:val="32"/>
          <w:highlight w:val="none"/>
        </w:rPr>
      </w:pPr>
      <w:r>
        <w:rPr>
          <w:rFonts w:hint="default" w:ascii="Times New Roman" w:hAnsi="Times New Roman" w:cs="Times New Roman"/>
          <w:color w:val="auto"/>
          <w:sz w:val="32"/>
          <w:szCs w:val="32"/>
          <w:highlight w:val="none"/>
          <w:lang w:val="en-US" w:eastAsia="zh-CN"/>
        </w:rPr>
        <w:t>1</w:t>
      </w:r>
      <w:r>
        <w:rPr>
          <w:rFonts w:hint="eastAsia" w:cs="Times New Roman"/>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eastAsia="zh-CN"/>
        </w:rPr>
        <w:t>《数字经济伙伴关系协定》（</w:t>
      </w:r>
      <w:r>
        <w:rPr>
          <w:rFonts w:hint="default"/>
          <w:color w:val="auto"/>
          <w:sz w:val="32"/>
          <w:szCs w:val="32"/>
          <w:highlight w:val="none"/>
          <w:lang w:val="en-US" w:eastAsia="zh-CN"/>
        </w:rPr>
        <w:t>DEPA</w:t>
      </w:r>
      <w:r>
        <w:rPr>
          <w:rFonts w:hint="eastAsia"/>
          <w:color w:val="auto"/>
          <w:sz w:val="32"/>
          <w:szCs w:val="32"/>
          <w:highlight w:val="none"/>
          <w:lang w:eastAsia="zh-CN"/>
        </w:rPr>
        <w:t>）：</w:t>
      </w:r>
      <w:r>
        <w:rPr>
          <w:rFonts w:hint="default"/>
          <w:color w:val="auto"/>
          <w:sz w:val="32"/>
          <w:szCs w:val="32"/>
          <w:highlight w:val="none"/>
        </w:rPr>
        <w:t>由新加坡、智利和新西兰三国于</w:t>
      </w:r>
      <w:r>
        <w:rPr>
          <w:rFonts w:hint="default" w:ascii="Times New Roman" w:hAnsi="Times New Roman" w:cs="Times New Roman"/>
          <w:color w:val="auto"/>
          <w:sz w:val="32"/>
          <w:szCs w:val="32"/>
          <w:highlight w:val="none"/>
        </w:rPr>
        <w:t>2020</w:t>
      </w:r>
      <w:r>
        <w:rPr>
          <w:rFonts w:hint="default"/>
          <w:color w:val="auto"/>
          <w:sz w:val="32"/>
          <w:szCs w:val="32"/>
          <w:highlight w:val="none"/>
        </w:rPr>
        <w:t>年</w:t>
      </w:r>
      <w:r>
        <w:rPr>
          <w:rFonts w:hint="default" w:ascii="Times New Roman" w:hAnsi="Times New Roman" w:cs="Times New Roman"/>
          <w:color w:val="auto"/>
          <w:sz w:val="32"/>
          <w:szCs w:val="32"/>
          <w:highlight w:val="none"/>
        </w:rPr>
        <w:t>6</w:t>
      </w:r>
      <w:r>
        <w:rPr>
          <w:rFonts w:hint="default"/>
          <w:color w:val="auto"/>
          <w:sz w:val="32"/>
          <w:szCs w:val="32"/>
          <w:highlight w:val="none"/>
        </w:rPr>
        <w:t>月</w:t>
      </w:r>
      <w:r>
        <w:rPr>
          <w:rFonts w:hint="default" w:ascii="Times New Roman" w:hAnsi="Times New Roman" w:cs="Times New Roman"/>
          <w:color w:val="auto"/>
          <w:sz w:val="32"/>
          <w:szCs w:val="32"/>
          <w:highlight w:val="none"/>
        </w:rPr>
        <w:t>12</w:t>
      </w:r>
      <w:r>
        <w:rPr>
          <w:rFonts w:hint="default"/>
          <w:color w:val="auto"/>
          <w:sz w:val="32"/>
          <w:szCs w:val="32"/>
          <w:highlight w:val="none"/>
        </w:rPr>
        <w:t>日共同签署的全球第一个专门针对数字经济的多边协定，为数字经济领域的合作提供了一个创新性的框架。</w:t>
      </w:r>
    </w:p>
    <w:p>
      <w:pPr>
        <w:pStyle w:val="31"/>
        <w:keepNext w:val="0"/>
        <w:keepLines w:val="0"/>
        <w:pageBreakBefore w:val="0"/>
        <w:widowControl w:val="0"/>
        <w:kinsoku/>
        <w:wordWrap/>
        <w:overflowPunct/>
        <w:topLinePunct w:val="0"/>
        <w:autoSpaceDE/>
        <w:autoSpaceDN/>
        <w:bidi w:val="0"/>
        <w:spacing w:line="576" w:lineRule="exact"/>
        <w:textAlignment w:val="auto"/>
        <w:rPr>
          <w:rFonts w:hint="eastAsia"/>
          <w:color w:val="auto"/>
          <w:sz w:val="32"/>
          <w:szCs w:val="32"/>
          <w:highlight w:val="none"/>
          <w:lang w:eastAsia="zh-CN"/>
        </w:rPr>
      </w:pPr>
      <w:r>
        <w:rPr>
          <w:rFonts w:hint="default" w:ascii="Times New Roman" w:hAnsi="Times New Roman" w:cs="Times New Roman"/>
          <w:color w:val="auto"/>
          <w:sz w:val="32"/>
          <w:szCs w:val="32"/>
          <w:highlight w:val="none"/>
          <w:lang w:val="en-US" w:eastAsia="zh-CN"/>
        </w:rPr>
        <w:t>1</w:t>
      </w:r>
      <w:r>
        <w:rPr>
          <w:rFonts w:hint="eastAsia" w:cs="Times New Roman"/>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rPr>
        <w:t>机器管招投标</w:t>
      </w:r>
      <w:r>
        <w:rPr>
          <w:rFonts w:hint="eastAsia"/>
          <w:color w:val="auto"/>
          <w:sz w:val="32"/>
          <w:szCs w:val="32"/>
          <w:highlight w:val="none"/>
          <w:lang w:eastAsia="zh-CN"/>
        </w:rPr>
        <w:t>：运用大数据、区块链等智慧监管手段，实现对电子招投标的事中事后监管。</w:t>
      </w:r>
    </w:p>
    <w:p>
      <w:pPr>
        <w:pStyle w:val="31"/>
        <w:keepNext w:val="0"/>
        <w:keepLines w:val="0"/>
        <w:pageBreakBefore w:val="0"/>
        <w:widowControl w:val="0"/>
        <w:kinsoku/>
        <w:wordWrap/>
        <w:overflowPunct/>
        <w:topLinePunct w:val="0"/>
        <w:autoSpaceDE/>
        <w:autoSpaceDN/>
        <w:bidi w:val="0"/>
        <w:spacing w:line="576" w:lineRule="exact"/>
        <w:textAlignment w:val="auto"/>
        <w:rPr>
          <w:rFonts w:hint="eastAsia"/>
          <w:color w:val="auto"/>
          <w:sz w:val="32"/>
          <w:szCs w:val="32"/>
          <w:highlight w:val="none"/>
          <w:lang w:eastAsia="zh-CN"/>
        </w:rPr>
      </w:pPr>
      <w:r>
        <w:rPr>
          <w:rFonts w:hint="default" w:ascii="Times New Roman" w:hAnsi="Times New Roman" w:cs="Times New Roman"/>
          <w:color w:val="auto"/>
          <w:sz w:val="32"/>
          <w:szCs w:val="32"/>
          <w:highlight w:val="none"/>
          <w:lang w:val="en-US" w:eastAsia="zh-CN"/>
        </w:rPr>
        <w:t>1</w:t>
      </w:r>
      <w:r>
        <w:rPr>
          <w:rFonts w:hint="eastAsia" w:cs="Times New Roman"/>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rPr>
        <w:t>三亚放心游</w:t>
      </w:r>
      <w:r>
        <w:rPr>
          <w:rFonts w:hint="eastAsia"/>
          <w:color w:val="auto"/>
          <w:sz w:val="32"/>
          <w:szCs w:val="32"/>
          <w:highlight w:val="none"/>
          <w:lang w:eastAsia="zh-CN"/>
        </w:rPr>
        <w:t>：三亚市政府以创新手段打造的旅游服务品牌，通过科技赋能、制度创新和信用体系建设，让游客在三亚能够放心游玩、安心消费。</w:t>
      </w:r>
    </w:p>
    <w:p>
      <w:pPr>
        <w:pStyle w:val="31"/>
        <w:keepNext w:val="0"/>
        <w:keepLines w:val="0"/>
        <w:pageBreakBefore w:val="0"/>
        <w:widowControl w:val="0"/>
        <w:kinsoku/>
        <w:wordWrap/>
        <w:overflowPunct/>
        <w:topLinePunct w:val="0"/>
        <w:autoSpaceDE/>
        <w:autoSpaceDN/>
        <w:bidi w:val="0"/>
        <w:spacing w:line="576" w:lineRule="exact"/>
        <w:textAlignment w:val="auto"/>
        <w:rPr>
          <w:rFonts w:hint="eastAsia"/>
          <w:color w:val="auto"/>
          <w:sz w:val="32"/>
          <w:szCs w:val="32"/>
          <w:highlight w:val="none"/>
          <w:lang w:eastAsia="zh-CN"/>
        </w:rPr>
      </w:pPr>
      <w:r>
        <w:rPr>
          <w:rFonts w:hint="default" w:ascii="Times New Roman" w:hAnsi="Times New Roman" w:cs="Times New Roman"/>
          <w:color w:val="auto"/>
          <w:sz w:val="32"/>
          <w:szCs w:val="32"/>
          <w:highlight w:val="none"/>
          <w:lang w:val="en-US" w:eastAsia="zh-CN"/>
        </w:rPr>
        <w:t>1</w:t>
      </w:r>
      <w:r>
        <w:rPr>
          <w:rFonts w:hint="eastAsia" w:cs="Times New Roman"/>
          <w:color w:val="auto"/>
          <w:sz w:val="32"/>
          <w:szCs w:val="32"/>
          <w:highlight w:val="none"/>
          <w:lang w:val="en-US" w:eastAsia="zh-CN"/>
        </w:rPr>
        <w:t>7</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eastAsia="zh-CN"/>
        </w:rPr>
        <w:t>双中心：</w:t>
      </w:r>
      <w:r>
        <w:rPr>
          <w:rFonts w:hint="eastAsia" w:ascii="Times New Roman" w:hAnsi="Times New Roman" w:eastAsia="仿宋_GB2312" w:cs="Times New Roman"/>
          <w:color w:val="auto"/>
          <w:kern w:val="2"/>
          <w:sz w:val="32"/>
          <w:szCs w:val="32"/>
          <w:highlight w:val="none"/>
          <w:lang w:val="en-US" w:eastAsia="zh-CN" w:bidi="ar"/>
        </w:rPr>
        <w:t>中国海南国际文物艺术品交易中心</w:t>
      </w:r>
      <w:r>
        <w:rPr>
          <w:rFonts w:hint="eastAsia" w:ascii="Times New Roman" w:hAnsi="Times New Roman" w:cs="Times New Roman"/>
          <w:color w:val="auto"/>
          <w:kern w:val="2"/>
          <w:sz w:val="32"/>
          <w:szCs w:val="32"/>
          <w:highlight w:val="none"/>
          <w:lang w:val="en-US" w:eastAsia="zh-CN" w:bidi="ar"/>
        </w:rPr>
        <w:t>、</w:t>
      </w:r>
      <w:r>
        <w:rPr>
          <w:rFonts w:hint="eastAsia" w:ascii="Times New Roman" w:hAnsi="Times New Roman" w:eastAsia="仿宋_GB2312" w:cs="Times New Roman"/>
          <w:color w:val="auto"/>
          <w:kern w:val="2"/>
          <w:sz w:val="32"/>
          <w:szCs w:val="32"/>
          <w:highlight w:val="none"/>
          <w:lang w:val="en-US" w:eastAsia="zh-CN" w:bidi="ar"/>
        </w:rPr>
        <w:t>海南国际文化交流中心</w:t>
      </w:r>
      <w:r>
        <w:rPr>
          <w:rFonts w:hint="eastAsia" w:ascii="Times New Roman" w:hAnsi="Times New Roman" w:cs="Times New Roman"/>
          <w:color w:val="auto"/>
          <w:kern w:val="2"/>
          <w:sz w:val="32"/>
          <w:szCs w:val="32"/>
          <w:highlight w:val="none"/>
          <w:lang w:val="en-US" w:eastAsia="zh-CN" w:bidi="ar"/>
        </w:rPr>
        <w:t>。</w:t>
      </w:r>
    </w:p>
    <w:p>
      <w:pPr>
        <w:pStyle w:val="31"/>
        <w:keepNext w:val="0"/>
        <w:keepLines w:val="0"/>
        <w:pageBreakBefore w:val="0"/>
        <w:widowControl w:val="0"/>
        <w:kinsoku/>
        <w:wordWrap/>
        <w:overflowPunct/>
        <w:topLinePunct w:val="0"/>
        <w:autoSpaceDE/>
        <w:autoSpaceDN/>
        <w:bidi w:val="0"/>
        <w:spacing w:line="576" w:lineRule="exact"/>
        <w:textAlignment w:val="auto"/>
        <w:rPr>
          <w:rFonts w:hint="eastAsia"/>
          <w:color w:val="auto"/>
          <w:sz w:val="32"/>
          <w:szCs w:val="32"/>
          <w:highlight w:val="none"/>
          <w:lang w:eastAsia="zh-CN"/>
        </w:rPr>
      </w:pPr>
      <w:r>
        <w:rPr>
          <w:rFonts w:hint="eastAsia" w:ascii="Times New Roman" w:hAnsi="Times New Roman" w:cs="Times New Roman"/>
          <w:color w:val="auto"/>
          <w:sz w:val="32"/>
          <w:szCs w:val="32"/>
          <w:highlight w:val="none"/>
          <w:lang w:eastAsia="zh-CN"/>
        </w:rPr>
        <w:t>1</w:t>
      </w:r>
      <w:r>
        <w:rPr>
          <w:rFonts w:hint="eastAsia" w:cs="Times New Roman"/>
          <w:color w:val="auto"/>
          <w:sz w:val="32"/>
          <w:szCs w:val="32"/>
          <w:highlight w:val="none"/>
          <w:lang w:val="en-US" w:eastAsia="zh-CN"/>
        </w:rPr>
        <w:t>8</w:t>
      </w:r>
      <w:r>
        <w:rPr>
          <w:rFonts w:hint="eastAsia" w:ascii="仿宋_GB2312" w:hAnsi="仿宋_GB2312" w:cs="仿宋_GB2312"/>
          <w:color w:val="auto"/>
          <w:sz w:val="32"/>
          <w:szCs w:val="32"/>
          <w:highlight w:val="none"/>
          <w:lang w:eastAsia="zh-CN"/>
        </w:rPr>
        <w:t>.</w:t>
      </w:r>
      <w:r>
        <w:rPr>
          <w:rFonts w:hint="eastAsia"/>
          <w:color w:val="auto"/>
          <w:sz w:val="32"/>
          <w:szCs w:val="32"/>
          <w:highlight w:val="none"/>
          <w:lang w:eastAsia="zh-CN"/>
        </w:rPr>
        <w:t>首发经济：开设首店，发布新产品，推动新业态、新模式、新服务、新技术等经济活动的总称，涵盖了企业从产品或服务的首次发布、首次展出到首次落地开设门店、首次设立研发中心，再到设立企业总部的链式发展全过程。</w:t>
      </w:r>
    </w:p>
    <w:p>
      <w:pPr>
        <w:pStyle w:val="31"/>
        <w:keepNext w:val="0"/>
        <w:keepLines w:val="0"/>
        <w:pageBreakBefore w:val="0"/>
        <w:widowControl w:val="0"/>
        <w:kinsoku/>
        <w:wordWrap/>
        <w:overflowPunct/>
        <w:topLinePunct w:val="0"/>
        <w:autoSpaceDE/>
        <w:autoSpaceDN/>
        <w:bidi w:val="0"/>
        <w:spacing w:line="576" w:lineRule="exact"/>
        <w:textAlignment w:val="auto"/>
        <w:rPr>
          <w:color w:val="auto"/>
          <w:sz w:val="32"/>
          <w:szCs w:val="32"/>
          <w:highlight w:val="none"/>
        </w:rPr>
      </w:pPr>
      <w:r>
        <w:rPr>
          <w:rFonts w:hint="eastAsia" w:cs="Times New Roman"/>
          <w:color w:val="auto"/>
          <w:sz w:val="32"/>
          <w:szCs w:val="32"/>
          <w:highlight w:val="none"/>
          <w:lang w:val="en-US" w:eastAsia="zh-CN"/>
        </w:rPr>
        <w:t>19</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rPr>
        <w:t>三度一色</w:t>
      </w:r>
      <w:r>
        <w:rPr>
          <w:rFonts w:hint="eastAsia"/>
          <w:color w:val="auto"/>
          <w:sz w:val="32"/>
          <w:szCs w:val="32"/>
          <w:highlight w:val="none"/>
          <w:lang w:eastAsia="zh-CN"/>
        </w:rPr>
        <w:t>：</w:t>
      </w:r>
      <w:r>
        <w:rPr>
          <w:rFonts w:hint="eastAsia"/>
          <w:color w:val="auto"/>
          <w:sz w:val="32"/>
          <w:szCs w:val="32"/>
          <w:highlight w:val="none"/>
          <w:lang w:val="en-US" w:eastAsia="zh-CN"/>
        </w:rPr>
        <w:t>气候温度、海洋深度、地理纬度、绿</w:t>
      </w:r>
      <w:r>
        <w:rPr>
          <w:rFonts w:hint="default"/>
          <w:color w:val="auto"/>
          <w:sz w:val="32"/>
          <w:szCs w:val="32"/>
          <w:highlight w:val="none"/>
          <w:lang w:val="en-US" w:eastAsia="zh-CN"/>
        </w:rPr>
        <w:t>色生态。</w:t>
      </w:r>
    </w:p>
    <w:p>
      <w:pPr>
        <w:pStyle w:val="31"/>
        <w:keepNext w:val="0"/>
        <w:keepLines w:val="0"/>
        <w:pageBreakBefore w:val="0"/>
        <w:widowControl w:val="0"/>
        <w:kinsoku/>
        <w:wordWrap/>
        <w:overflowPunct/>
        <w:topLinePunct w:val="0"/>
        <w:autoSpaceDE/>
        <w:autoSpaceDN/>
        <w:bidi w:val="0"/>
        <w:spacing w:line="576" w:lineRule="exact"/>
        <w:textAlignment w:val="auto"/>
        <w:rPr>
          <w:rFonts w:hint="eastAsia"/>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2</w:t>
      </w:r>
      <w:r>
        <w:rPr>
          <w:rFonts w:hint="eastAsia" w:cs="Times New Roman"/>
          <w:color w:val="auto"/>
          <w:sz w:val="32"/>
          <w:szCs w:val="32"/>
          <w:highlight w:val="none"/>
          <w:lang w:val="en-US" w:eastAsia="zh-CN"/>
        </w:rPr>
        <w:t>0</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一心三片：</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一心</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为迎宾路凤凰海岸片区，</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三片</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为南丁园区、天涯绿谷、三亚数字经济产业园。</w:t>
      </w:r>
    </w:p>
    <w:p>
      <w:pPr>
        <w:pStyle w:val="31"/>
        <w:keepNext w:val="0"/>
        <w:keepLines w:val="0"/>
        <w:pageBreakBefore w:val="0"/>
        <w:widowControl w:val="0"/>
        <w:kinsoku/>
        <w:wordWrap/>
        <w:overflowPunct/>
        <w:topLinePunct w:val="0"/>
        <w:autoSpaceDE/>
        <w:autoSpaceDN/>
        <w:bidi w:val="0"/>
        <w:spacing w:line="576" w:lineRule="exact"/>
        <w:textAlignment w:val="auto"/>
        <w:rPr>
          <w:rFonts w:hint="eastAsia"/>
          <w:color w:val="auto"/>
          <w:sz w:val="32"/>
          <w:szCs w:val="32"/>
          <w:highlight w:val="none"/>
          <w:lang w:eastAsia="zh-CN"/>
        </w:rPr>
      </w:pPr>
      <w:r>
        <w:rPr>
          <w:rFonts w:hint="eastAsia" w:ascii="Times New Roman" w:hAnsi="Times New Roman" w:cs="Times New Roman"/>
          <w:color w:val="auto"/>
          <w:sz w:val="32"/>
          <w:szCs w:val="32"/>
          <w:highlight w:val="none"/>
          <w:lang w:val="en-US" w:eastAsia="zh-CN"/>
        </w:rPr>
        <w:t>2</w:t>
      </w:r>
      <w:r>
        <w:rPr>
          <w:rFonts w:hint="eastAsia" w:cs="Times New Roman"/>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rPr>
        <w:t>双环两高两道</w:t>
      </w:r>
      <w:r>
        <w:rPr>
          <w:rFonts w:hint="default"/>
          <w:color w:val="auto"/>
          <w:sz w:val="32"/>
          <w:szCs w:val="32"/>
          <w:highlight w:val="none"/>
          <w:lang w:eastAsia="zh-CN"/>
        </w:rPr>
        <w:t>：</w:t>
      </w:r>
      <w:r>
        <w:rPr>
          <w:color w:val="auto"/>
          <w:sz w:val="32"/>
          <w:szCs w:val="32"/>
          <w:highlight w:val="none"/>
          <w:lang w:val="en-US" w:eastAsia="zh-CN"/>
        </w:rPr>
        <w:t>环岛旅游公路、环热带雨林国家公园公路</w:t>
      </w:r>
      <w:r>
        <w:rPr>
          <w:rFonts w:hint="eastAsia"/>
          <w:color w:val="auto"/>
          <w:sz w:val="32"/>
          <w:szCs w:val="32"/>
          <w:highlight w:val="none"/>
          <w:lang w:val="en-US" w:eastAsia="zh-CN"/>
        </w:rPr>
        <w:t>、</w:t>
      </w:r>
      <w:r>
        <w:rPr>
          <w:color w:val="auto"/>
          <w:sz w:val="32"/>
          <w:szCs w:val="32"/>
          <w:highlight w:val="none"/>
          <w:lang w:val="en-US" w:eastAsia="zh-CN"/>
        </w:rPr>
        <w:t>高速铁路、高速公路</w:t>
      </w:r>
      <w:r>
        <w:rPr>
          <w:rFonts w:hint="eastAsia"/>
          <w:color w:val="auto"/>
          <w:sz w:val="32"/>
          <w:szCs w:val="32"/>
          <w:highlight w:val="none"/>
          <w:lang w:val="en-US" w:eastAsia="zh-CN"/>
        </w:rPr>
        <w:t>、</w:t>
      </w:r>
      <w:r>
        <w:rPr>
          <w:color w:val="auto"/>
          <w:sz w:val="32"/>
          <w:szCs w:val="32"/>
          <w:highlight w:val="none"/>
          <w:lang w:val="en-US" w:eastAsia="zh-CN"/>
        </w:rPr>
        <w:t>省道</w:t>
      </w:r>
      <w:r>
        <w:rPr>
          <w:rFonts w:hint="eastAsia"/>
          <w:color w:val="auto"/>
          <w:sz w:val="32"/>
          <w:szCs w:val="32"/>
          <w:highlight w:val="none"/>
          <w:lang w:val="en-US" w:eastAsia="zh-CN"/>
        </w:rPr>
        <w:t>、</w:t>
      </w:r>
      <w:r>
        <w:rPr>
          <w:color w:val="auto"/>
          <w:sz w:val="32"/>
          <w:szCs w:val="32"/>
          <w:highlight w:val="none"/>
          <w:lang w:val="en-US" w:eastAsia="zh-CN"/>
        </w:rPr>
        <w:t>乡道</w:t>
      </w:r>
      <w:r>
        <w:rPr>
          <w:rFonts w:hint="eastAsia"/>
          <w:color w:val="auto"/>
          <w:sz w:val="32"/>
          <w:szCs w:val="32"/>
          <w:highlight w:val="none"/>
          <w:lang w:val="en-US" w:eastAsia="zh-CN"/>
        </w:rPr>
        <w:t>。</w:t>
      </w:r>
    </w:p>
    <w:p>
      <w:pPr>
        <w:pStyle w:val="31"/>
        <w:keepNext w:val="0"/>
        <w:keepLines w:val="0"/>
        <w:pageBreakBefore w:val="0"/>
        <w:widowControl w:val="0"/>
        <w:kinsoku/>
        <w:wordWrap/>
        <w:overflowPunct/>
        <w:topLinePunct w:val="0"/>
        <w:autoSpaceDE/>
        <w:autoSpaceDN/>
        <w:bidi w:val="0"/>
        <w:spacing w:line="576" w:lineRule="exact"/>
        <w:textAlignment w:val="auto"/>
        <w:rPr>
          <w:rFonts w:hint="eastAsia"/>
          <w:color w:val="auto"/>
          <w:sz w:val="32"/>
          <w:szCs w:val="32"/>
          <w:highlight w:val="none"/>
          <w:lang w:eastAsia="zh-CN"/>
        </w:rPr>
      </w:pPr>
      <w:r>
        <w:rPr>
          <w:rFonts w:hint="default" w:ascii="Times New Roman" w:hAnsi="Times New Roman" w:cs="Times New Roman"/>
          <w:color w:val="auto"/>
          <w:sz w:val="32"/>
          <w:szCs w:val="32"/>
          <w:highlight w:val="none"/>
          <w:lang w:val="en-US" w:eastAsia="zh-CN"/>
        </w:rPr>
        <w:t>2</w:t>
      </w:r>
      <w:r>
        <w:rPr>
          <w:rFonts w:hint="eastAsia" w:cs="Times New Roman"/>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lang w:val="en-US" w:eastAsia="zh-CN"/>
        </w:rPr>
        <w:t>五横五纵十一联</w:t>
      </w:r>
      <w:r>
        <w:rPr>
          <w:rFonts w:hint="eastAsia"/>
          <w:color w:val="auto"/>
          <w:sz w:val="32"/>
          <w:szCs w:val="32"/>
          <w:highlight w:val="none"/>
          <w:lang w:eastAsia="zh-CN"/>
        </w:rPr>
        <w:t>：</w:t>
      </w:r>
      <w:r>
        <w:rPr>
          <w:rFonts w:hint="eastAsia"/>
          <w:color w:val="auto"/>
          <w:sz w:val="32"/>
          <w:szCs w:val="32"/>
          <w:highlight w:val="none"/>
        </w:rPr>
        <w:t>五横为第二高速、G</w:t>
      </w:r>
      <w:r>
        <w:rPr>
          <w:rFonts w:hint="default" w:ascii="Times New Roman" w:hAnsi="Times New Roman" w:cs="Times New Roman"/>
          <w:color w:val="auto"/>
          <w:sz w:val="32"/>
          <w:szCs w:val="32"/>
          <w:highlight w:val="none"/>
        </w:rPr>
        <w:t>98</w:t>
      </w:r>
      <w:r>
        <w:rPr>
          <w:rFonts w:hint="eastAsia"/>
          <w:color w:val="auto"/>
          <w:sz w:val="32"/>
          <w:szCs w:val="32"/>
          <w:highlight w:val="none"/>
        </w:rPr>
        <w:t>、鹿城大道、 G</w:t>
      </w:r>
      <w:r>
        <w:rPr>
          <w:rFonts w:hint="default" w:ascii="Times New Roman" w:hAnsi="Times New Roman" w:cs="Times New Roman"/>
          <w:color w:val="auto"/>
          <w:sz w:val="32"/>
          <w:szCs w:val="32"/>
          <w:highlight w:val="none"/>
        </w:rPr>
        <w:t>223</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迎宾路</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凤凰路</w:t>
      </w:r>
      <w:r>
        <w:rPr>
          <w:rFonts w:hint="eastAsia" w:ascii="仿宋_GB2312" w:hAnsi="仿宋_GB2312" w:eastAsia="仿宋_GB2312" w:cs="仿宋_GB2312"/>
          <w:color w:val="auto"/>
          <w:sz w:val="32"/>
          <w:szCs w:val="32"/>
          <w:highlight w:val="none"/>
        </w:rPr>
        <w:t>-</w:t>
      </w:r>
      <w:r>
        <w:rPr>
          <w:rFonts w:hint="eastAsia"/>
          <w:color w:val="auto"/>
          <w:sz w:val="32"/>
          <w:szCs w:val="32"/>
          <w:highlight w:val="none"/>
        </w:rPr>
        <w:t>G</w:t>
      </w:r>
      <w:r>
        <w:rPr>
          <w:rFonts w:hint="default" w:ascii="Times New Roman" w:hAnsi="Times New Roman" w:cs="Times New Roman"/>
          <w:color w:val="auto"/>
          <w:sz w:val="32"/>
          <w:szCs w:val="32"/>
          <w:highlight w:val="none"/>
        </w:rPr>
        <w:t>225</w:t>
      </w:r>
      <w:r>
        <w:rPr>
          <w:rFonts w:hint="eastAsia"/>
          <w:color w:val="auto"/>
          <w:sz w:val="32"/>
          <w:szCs w:val="32"/>
          <w:highlight w:val="none"/>
        </w:rPr>
        <w:t>、规划北横通道；五纵为三亚至乐东高速、三亚至五指山高速、山海高速、G</w:t>
      </w:r>
      <w:r>
        <w:rPr>
          <w:rFonts w:hint="default" w:ascii="Times New Roman" w:hAnsi="Times New Roman" w:cs="Times New Roman"/>
          <w:color w:val="auto"/>
          <w:sz w:val="32"/>
          <w:szCs w:val="32"/>
          <w:highlight w:val="none"/>
        </w:rPr>
        <w:t>224</w:t>
      </w:r>
      <w:r>
        <w:rPr>
          <w:rFonts w:hint="eastAsia"/>
          <w:color w:val="auto"/>
          <w:sz w:val="32"/>
          <w:szCs w:val="32"/>
          <w:highlight w:val="none"/>
        </w:rPr>
        <w:t>、S</w:t>
      </w:r>
      <w:r>
        <w:rPr>
          <w:rFonts w:hint="default" w:ascii="Times New Roman" w:hAnsi="Times New Roman" w:cs="Times New Roman"/>
          <w:color w:val="auto"/>
          <w:sz w:val="32"/>
          <w:szCs w:val="32"/>
          <w:highlight w:val="none"/>
        </w:rPr>
        <w:t>314</w:t>
      </w:r>
      <w:r>
        <w:rPr>
          <w:rFonts w:hint="eastAsia"/>
          <w:color w:val="auto"/>
          <w:sz w:val="32"/>
          <w:szCs w:val="32"/>
          <w:highlight w:val="none"/>
        </w:rPr>
        <w:t>；十一联为镇海、崖州、南山、新机场、S</w:t>
      </w:r>
      <w:r>
        <w:rPr>
          <w:rFonts w:hint="default" w:ascii="Times New Roman" w:hAnsi="Times New Roman" w:cs="Times New Roman"/>
          <w:color w:val="auto"/>
          <w:sz w:val="32"/>
          <w:szCs w:val="32"/>
          <w:highlight w:val="none"/>
        </w:rPr>
        <w:t>314</w:t>
      </w:r>
      <w:r>
        <w:rPr>
          <w:rFonts w:hint="eastAsia"/>
          <w:color w:val="auto"/>
          <w:sz w:val="32"/>
          <w:szCs w:val="32"/>
          <w:highlight w:val="none"/>
        </w:rPr>
        <w:t>、凤凰机场、凤凰、火车站、亚龙湾北、吉阳、海棠湾等连接线。</w:t>
      </w:r>
    </w:p>
    <w:p>
      <w:pPr>
        <w:pStyle w:val="31"/>
        <w:keepNext w:val="0"/>
        <w:keepLines w:val="0"/>
        <w:pageBreakBefore w:val="0"/>
        <w:widowControl w:val="0"/>
        <w:kinsoku/>
        <w:wordWrap/>
        <w:overflowPunct/>
        <w:topLinePunct w:val="0"/>
        <w:autoSpaceDE/>
        <w:autoSpaceDN/>
        <w:bidi w:val="0"/>
        <w:spacing w:line="576" w:lineRule="exact"/>
        <w:textAlignment w:val="auto"/>
        <w:rPr>
          <w:rFonts w:hint="eastAsia"/>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2</w:t>
      </w:r>
      <w:r>
        <w:rPr>
          <w:rFonts w:hint="eastAsia" w:cs="Times New Roman"/>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val="en-US" w:eastAsia="zh-CN"/>
        </w:rPr>
        <w:t>.</w:t>
      </w:r>
      <w:r>
        <w:rPr>
          <w:rFonts w:hint="eastAsia"/>
          <w:color w:val="auto"/>
          <w:sz w:val="32"/>
          <w:szCs w:val="32"/>
          <w:highlight w:val="none"/>
        </w:rPr>
        <w:t>清凉城市</w:t>
      </w:r>
      <w:r>
        <w:rPr>
          <w:rFonts w:hint="eastAsia"/>
          <w:color w:val="auto"/>
          <w:sz w:val="32"/>
          <w:szCs w:val="32"/>
          <w:highlight w:val="none"/>
          <w:lang w:val="en-US" w:eastAsia="zh-CN"/>
        </w:rPr>
        <w:t>：基于气候适应性理念构建的城市可持续降温系统，通过生态调控与工程技术手段的综合运用，科学干预城市热环境形成机制，系统性降低城市热岛强度、改善微气候环境，实现城市热环境优化与人体热舒适度提升的双重目标。</w:t>
      </w:r>
    </w:p>
    <w:p>
      <w:pPr>
        <w:pStyle w:val="31"/>
        <w:keepNext w:val="0"/>
        <w:keepLines w:val="0"/>
        <w:pageBreakBefore w:val="0"/>
        <w:widowControl w:val="0"/>
        <w:kinsoku/>
        <w:wordWrap/>
        <w:overflowPunct/>
        <w:topLinePunct w:val="0"/>
        <w:autoSpaceDE/>
        <w:autoSpaceDN/>
        <w:bidi w:val="0"/>
        <w:spacing w:line="576" w:lineRule="exact"/>
        <w:textAlignment w:val="auto"/>
        <w:rPr>
          <w:rFonts w:hint="eastAsia" w:ascii="仿宋_GB2312" w:hAnsi="仿宋_GB2312" w:eastAsia="仿宋_GB2312" w:cs="仿宋_GB2312"/>
          <w:b w:val="0"/>
          <w:color w:val="auto"/>
          <w:kern w:val="2"/>
          <w:sz w:val="32"/>
          <w:szCs w:val="32"/>
          <w:highlight w:val="none"/>
          <w:shd w:val="clear" w:color="auto" w:fill="FFFFFF"/>
          <w:lang w:val="en-US" w:eastAsia="zh-CN" w:bidi="ar-SA"/>
        </w:rPr>
      </w:pPr>
      <w:r>
        <w:rPr>
          <w:rFonts w:hint="default" w:ascii="Times New Roman" w:hAnsi="Times New Roman" w:cs="Times New Roman"/>
          <w:color w:val="auto"/>
          <w:sz w:val="32"/>
          <w:szCs w:val="32"/>
          <w:highlight w:val="none"/>
          <w:lang w:val="en-US" w:eastAsia="zh-CN"/>
        </w:rPr>
        <w:t>2</w:t>
      </w:r>
      <w:r>
        <w:rPr>
          <w:rFonts w:hint="eastAsia" w:cs="Times New Roman"/>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val="en-US" w:eastAsia="zh-CN"/>
        </w:rPr>
        <w:t>.感知城市：以物联网、大数据等信息技术为核心手段，搭建全域感知网络，采集交通、环境、安防等多领域数据，再经分析处理实现对城市运行状态的实时掌握，最终为城市治理、服务优化提供支撑。</w:t>
      </w:r>
    </w:p>
    <w:p>
      <w:pPr>
        <w:keepNext w:val="0"/>
        <w:keepLines w:val="0"/>
        <w:pageBreakBefore w:val="0"/>
        <w:widowControl w:val="0"/>
        <w:kinsoku/>
        <w:wordWrap/>
        <w:overflowPunct/>
        <w:topLinePunct w:val="0"/>
        <w:autoSpaceDE/>
        <w:autoSpaceDN/>
        <w:bidi w:val="0"/>
        <w:spacing w:line="576" w:lineRule="exact"/>
        <w:ind w:firstLine="640" w:firstLineChars="200"/>
        <w:jc w:val="left"/>
        <w:textAlignment w:val="auto"/>
        <w:rPr>
          <w:rFonts w:hint="eastAsia" w:ascii="仿宋_GB2312" w:hAnsi="仿宋_GB2312" w:eastAsia="仿宋_GB2312" w:cs="仿宋_GB2312"/>
          <w:color w:val="auto"/>
          <w:sz w:val="32"/>
          <w:szCs w:val="32"/>
          <w:highlight w:val="none"/>
          <w:shd w:val="clear" w:color="auto" w:fill="FFFFFF"/>
          <w:lang w:val="en-US" w:eastAsia="zh-CN"/>
        </w:rPr>
      </w:pPr>
      <w:r>
        <w:rPr>
          <w:rFonts w:hint="default" w:ascii="Times New Roman" w:hAnsi="Times New Roman" w:eastAsia="仿宋_GB2312" w:cs="Times New Roman"/>
          <w:color w:val="auto"/>
          <w:sz w:val="32"/>
          <w:szCs w:val="32"/>
          <w:highlight w:val="none"/>
          <w:shd w:val="clear" w:color="auto" w:fill="FFFFFF"/>
          <w:lang w:val="en-US" w:eastAsia="zh-CN"/>
        </w:rPr>
        <w:t>2</w:t>
      </w:r>
      <w:r>
        <w:rPr>
          <w:rFonts w:hint="eastAsia" w:ascii="Times New Roman" w:hAnsi="Times New Roman" w:eastAsia="仿宋_GB2312" w:cs="Times New Roman"/>
          <w:color w:val="auto"/>
          <w:sz w:val="32"/>
          <w:szCs w:val="32"/>
          <w:highlight w:val="none"/>
          <w:shd w:val="clear" w:color="auto" w:fill="FFFFFF"/>
          <w:lang w:val="en-US" w:eastAsia="zh-CN"/>
        </w:rPr>
        <w:t>5</w:t>
      </w:r>
      <w:r>
        <w:rPr>
          <w:rFonts w:hint="eastAsia" w:ascii="仿宋_GB2312" w:hAnsi="仿宋_GB2312" w:eastAsia="仿宋_GB2312" w:cs="仿宋_GB2312"/>
          <w:color w:val="auto"/>
          <w:sz w:val="32"/>
          <w:szCs w:val="32"/>
          <w:highlight w:val="none"/>
          <w:shd w:val="clear" w:color="auto" w:fill="FFFFFF"/>
          <w:lang w:val="en-US" w:eastAsia="zh-CN"/>
        </w:rPr>
        <w:t>.</w:t>
      </w:r>
      <w:r>
        <w:rPr>
          <w:rFonts w:hint="eastAsia" w:ascii="仿宋_GB2312" w:hAnsi="仿宋_GB2312" w:eastAsia="仿宋_GB2312" w:cs="仿宋_GB2312"/>
          <w:color w:val="auto"/>
          <w:sz w:val="32"/>
          <w:szCs w:val="32"/>
          <w:highlight w:val="none"/>
          <w:shd w:val="clear" w:color="auto" w:fill="FFFFFF"/>
        </w:rPr>
        <w:t>五篇大文章</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shd w:val="clear" w:color="auto" w:fill="FFFFFF"/>
          <w:lang w:val="en-US" w:eastAsia="zh-CN"/>
        </w:rPr>
        <w:t>涵盖科技金融、绿色金融、普惠金融、养老金融与数字金融五大领域，旨在通过差异化金融服务推动经济高质量发展。</w:t>
      </w:r>
    </w:p>
    <w:p>
      <w:pPr>
        <w:pStyle w:val="31"/>
        <w:keepNext w:val="0"/>
        <w:keepLines w:val="0"/>
        <w:pageBreakBefore w:val="0"/>
        <w:widowControl w:val="0"/>
        <w:kinsoku/>
        <w:wordWrap/>
        <w:overflowPunct/>
        <w:topLinePunct w:val="0"/>
        <w:autoSpaceDE/>
        <w:autoSpaceDN/>
        <w:bidi w:val="0"/>
        <w:spacing w:line="576" w:lineRule="exact"/>
        <w:textAlignment w:val="auto"/>
        <w:rPr>
          <w:rFonts w:hint="eastAsia"/>
          <w:sz w:val="32"/>
          <w:szCs w:val="32"/>
          <w:lang w:val="en-US" w:eastAsia="zh-CN"/>
        </w:rPr>
      </w:pPr>
      <w:r>
        <w:rPr>
          <w:rFonts w:hint="eastAsia"/>
          <w:sz w:val="32"/>
          <w:szCs w:val="32"/>
          <w:lang w:val="en-US" w:eastAsia="zh-CN"/>
        </w:rPr>
        <w:t>26.“建枢纽带站点进家庭”模式：以区域性养老服务中心为枢纽，依托专业养老机构及服务团队，将养老服务延伸到老年人日间照料中心、长者饭堂等社区养老服务站，为老年人家庭提供“一刻钟”居家社区养老服务。</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lang w:val="en-US" w:eastAsia="zh-CN"/>
        </w:rPr>
      </w:pPr>
      <w:r>
        <w:rPr>
          <w:rFonts w:hint="eastAsia" w:ascii="Times New Roman" w:hAnsi="Times New Roman" w:eastAsia="仿宋_GB2312" w:cs="Times New Roman"/>
          <w:color w:val="auto"/>
          <w:sz w:val="32"/>
          <w:szCs w:val="32"/>
          <w:highlight w:val="none"/>
          <w:shd w:val="clear" w:color="auto" w:fill="FFFFFF"/>
          <w:lang w:val="en-US" w:eastAsia="zh-CN"/>
        </w:rPr>
        <w:t>27</w:t>
      </w:r>
      <w:r>
        <w:rPr>
          <w:rFonts w:hint="eastAsia" w:ascii="仿宋_GB2312" w:hAnsi="仿宋_GB2312" w:eastAsia="仿宋_GB2312" w:cs="仿宋_GB2312"/>
          <w:color w:val="auto"/>
          <w:sz w:val="32"/>
          <w:szCs w:val="32"/>
          <w:highlight w:val="none"/>
          <w:shd w:val="clear" w:color="auto" w:fill="FFFFFF"/>
          <w:lang w:val="en-US" w:eastAsia="zh-CN"/>
        </w:rPr>
        <w:t>.</w:t>
      </w:r>
      <w:r>
        <w:rPr>
          <w:rFonts w:hint="eastAsia" w:ascii="仿宋_GB2312" w:hAnsi="仿宋_GB2312" w:eastAsia="仿宋_GB2312" w:cs="仿宋_GB2312"/>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lang w:val="en-US" w:eastAsia="zh-CN"/>
        </w:rPr>
        <w:t>11431</w:t>
      </w:r>
      <w:r>
        <w:rPr>
          <w:rFonts w:hint="eastAsia" w:ascii="仿宋_GB2312" w:hAnsi="仿宋_GB2312" w:eastAsia="仿宋_GB2312" w:cs="仿宋_GB2312"/>
          <w:color w:val="auto"/>
          <w:sz w:val="32"/>
          <w:szCs w:val="32"/>
          <w:highlight w:val="none"/>
          <w:shd w:val="clear" w:color="auto" w:fill="FFFFFF"/>
          <w:lang w:eastAsia="zh-CN"/>
        </w:rPr>
        <w:t>”基层治理体系：第一个“</w:t>
      </w:r>
      <w:r>
        <w:rPr>
          <w:rFonts w:hint="default" w:ascii="Times New Roman" w:hAnsi="Times New Roman" w:eastAsia="仿宋_GB2312" w:cs="Times New Roman"/>
          <w:color w:val="auto"/>
          <w:sz w:val="32"/>
          <w:szCs w:val="32"/>
          <w:highlight w:val="none"/>
          <w:shd w:val="clear" w:color="auto" w:fill="FFFFFF"/>
          <w:lang w:val="en-US" w:eastAsia="zh-CN"/>
        </w:rPr>
        <w:t>1</w:t>
      </w:r>
      <w:r>
        <w:rPr>
          <w:rFonts w:hint="eastAsia" w:ascii="仿宋_GB2312" w:hAnsi="仿宋_GB2312" w:eastAsia="仿宋_GB2312" w:cs="仿宋_GB2312"/>
          <w:color w:val="auto"/>
          <w:sz w:val="32"/>
          <w:szCs w:val="32"/>
          <w:highlight w:val="none"/>
          <w:shd w:val="clear" w:color="auto" w:fill="FFFFFF"/>
          <w:lang w:eastAsia="zh-CN"/>
        </w:rPr>
        <w:t>”指完善省、</w:t>
      </w:r>
      <w:r>
        <w:rPr>
          <w:rFonts w:hint="eastAsia" w:ascii="仿宋_GB2312" w:hAnsi="仿宋_GB2312" w:eastAsia="仿宋_GB2312" w:cs="仿宋_GB2312"/>
          <w:color w:val="auto"/>
          <w:sz w:val="32"/>
          <w:szCs w:val="32"/>
          <w:highlight w:val="none"/>
          <w:shd w:val="clear" w:color="auto" w:fill="FFFFFF"/>
        </w:rPr>
        <w:t>市县、乡镇（街道）、村（社区）党对基层治理全面领导机制，第二个“</w:t>
      </w:r>
      <w:r>
        <w:rPr>
          <w:rFonts w:hint="default" w:ascii="Times New Roman" w:hAnsi="Times New Roman" w:eastAsia="仿宋_GB2312" w:cs="Times New Roman"/>
          <w:color w:val="auto"/>
          <w:sz w:val="32"/>
          <w:szCs w:val="32"/>
          <w:highlight w:val="none"/>
          <w:shd w:val="clear" w:color="auto" w:fill="FFFFFF"/>
        </w:rPr>
        <w:t>1</w:t>
      </w:r>
      <w:r>
        <w:rPr>
          <w:rFonts w:hint="eastAsia" w:ascii="仿宋_GB2312" w:hAnsi="仿宋_GB2312" w:eastAsia="仿宋_GB2312" w:cs="仿宋_GB2312"/>
          <w:color w:val="auto"/>
          <w:sz w:val="32"/>
          <w:szCs w:val="32"/>
          <w:highlight w:val="none"/>
          <w:shd w:val="clear" w:color="auto" w:fill="FFFFFF"/>
        </w:rPr>
        <w:t>”指设立县、乡、村级社会治理联动平台,“</w:t>
      </w:r>
      <w:r>
        <w:rPr>
          <w:rFonts w:hint="default" w:ascii="Times New Roman" w:hAnsi="Times New Roman" w:eastAsia="仿宋_GB2312" w:cs="Times New Roman"/>
          <w:color w:val="auto"/>
          <w:sz w:val="32"/>
          <w:szCs w:val="32"/>
          <w:highlight w:val="none"/>
          <w:shd w:val="clear" w:color="auto" w:fill="FFFFFF"/>
        </w:rPr>
        <w:t>4</w:t>
      </w:r>
      <w:r>
        <w:rPr>
          <w:rFonts w:hint="eastAsia" w:ascii="仿宋_GB2312" w:hAnsi="仿宋_GB2312" w:eastAsia="仿宋_GB2312" w:cs="仿宋_GB2312"/>
          <w:color w:val="auto"/>
          <w:sz w:val="32"/>
          <w:szCs w:val="32"/>
          <w:highlight w:val="none"/>
          <w:shd w:val="clear" w:color="auto" w:fill="FFFFFF"/>
        </w:rPr>
        <w:t>”指设置乡镇（街道）党的建设、经济生态（城市管理）、平安法治、民生服务基层治理“四板块”，“</w:t>
      </w:r>
      <w:r>
        <w:rPr>
          <w:rFonts w:hint="default" w:ascii="Times New Roman" w:hAnsi="Times New Roman" w:eastAsia="仿宋_GB2312" w:cs="Times New Roman"/>
          <w:color w:val="auto"/>
          <w:sz w:val="32"/>
          <w:szCs w:val="32"/>
          <w:highlight w:val="none"/>
          <w:shd w:val="clear" w:color="auto" w:fill="FFFFFF"/>
        </w:rPr>
        <w:t>3</w:t>
      </w:r>
      <w:r>
        <w:rPr>
          <w:rFonts w:hint="eastAsia" w:ascii="仿宋_GB2312" w:hAnsi="仿宋_GB2312" w:eastAsia="仿宋_GB2312" w:cs="仿宋_GB2312"/>
          <w:color w:val="auto"/>
          <w:sz w:val="32"/>
          <w:szCs w:val="32"/>
          <w:highlight w:val="none"/>
          <w:shd w:val="clear" w:color="auto" w:fill="FFFFFF"/>
        </w:rPr>
        <w:t>”指推进城乡社区自治、法治、德治“三融合”，第三个“</w:t>
      </w:r>
      <w:r>
        <w:rPr>
          <w:rFonts w:hint="default" w:ascii="Times New Roman" w:hAnsi="Times New Roman" w:eastAsia="仿宋_GB2312" w:cs="Times New Roman"/>
          <w:color w:val="auto"/>
          <w:sz w:val="32"/>
          <w:szCs w:val="32"/>
          <w:highlight w:val="none"/>
          <w:shd w:val="clear" w:color="auto" w:fill="FFFFFF"/>
        </w:rPr>
        <w:t>1</w:t>
      </w:r>
      <w:r>
        <w:rPr>
          <w:rFonts w:hint="eastAsia" w:ascii="仿宋_GB2312" w:hAnsi="仿宋_GB2312" w:eastAsia="仿宋_GB2312" w:cs="仿宋_GB2312"/>
          <w:color w:val="auto"/>
          <w:sz w:val="32"/>
          <w:szCs w:val="32"/>
          <w:highlight w:val="none"/>
          <w:shd w:val="clear" w:color="auto" w:fill="FFFFFF"/>
        </w:rPr>
        <w:t>”指推动村（社区）网格“多格合一、多员合一”。</w:t>
      </w:r>
    </w:p>
    <w:sectPr>
      <w:footerReference r:id="rId8" w:type="default"/>
      <w:pgSz w:w="11906" w:h="16838"/>
      <w:pgMar w:top="1701" w:right="1531" w:bottom="1701" w:left="1531" w:header="851" w:footer="992" w:gutter="0"/>
      <w:pgNumType w:fmt="decimal" w:start="1"/>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decorative"/>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0000000000000000000"/>
    <w:charset w:val="00"/>
    <w:family w:val="auto"/>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Fang Song">
    <w:altName w:val="仿宋"/>
    <w:panose1 w:val="00000000000000000000"/>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黑体_GBK">
    <w:panose1 w:val="03000509000000000000"/>
    <w:charset w:val="86"/>
    <w:family w:val="script"/>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隶书_GBK">
    <w:panose1 w:val="03000509000000000000"/>
    <w:charset w:val="86"/>
    <w:family w:val="auto"/>
    <w:pitch w:val="default"/>
    <w:sig w:usb0="00000001" w:usb1="080E0000" w:usb2="00000000" w:usb3="00000000" w:csb0="00040000" w:csb1="00000000"/>
  </w:font>
  <w:font w:name="东文宋体">
    <w:altName w:val="宋体"/>
    <w:panose1 w:val="00000000000000000000"/>
    <w:charset w:val="00"/>
    <w:family w:val="auto"/>
    <w:pitch w:val="default"/>
    <w:sig w:usb0="00000000" w:usb1="00000000" w:usb2="00000000" w:usb3="00000000" w:csb0="00000000" w:csb1="00000000"/>
  </w:font>
  <w:font w:name="方正楷体_GBK">
    <w:panose1 w:val="03000509000000000000"/>
    <w:charset w:val="86"/>
    <w:family w:val="script"/>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书宋简体">
    <w:altName w:val="方正书宋_GBK"/>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A0000287" w:usb1="28C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0288" behindDoc="0" locked="0" layoutInCell="1" allowOverlap="1">
              <wp:simplePos x="0" y="0"/>
              <wp:positionH relativeFrom="margin">
                <wp:posOffset>2576195</wp:posOffset>
              </wp:positionH>
              <wp:positionV relativeFrom="paragraph">
                <wp:posOffset>-28575</wp:posOffset>
              </wp:positionV>
              <wp:extent cx="644525" cy="189865"/>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644525" cy="1898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left:202.85pt;margin-top:-2.25pt;height:14.95pt;width:50.75pt;mso-position-horizontal-relative:margin;z-index:251660288;mso-width-relative:page;mso-height-relative:page;" filled="f" stroked="f" coordsize="21600,21600" o:gfxdata="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WAAAAZHJz&#10;L1BLAQIUABQAAAAIAIdO4kAnMUBL2AAAAAkBAAAPAAAAAAAAAAEAIAAAADgAAABkcnMvZG93bnJl&#10;di54bWxQSwECFAAUAAAACACHTuJA3J4KnCACAAApBAAADgAAAAAAAAABACAAAAA9AQAAZHJzL2Uy&#10;b0RvYy54bWxQSwUGAAAAAAYABgBZAQAAzwUAAAAA&#10;">
              <v:fill on="f" focussize="0,0"/>
              <v:stroke on="f" weight="0.5pt"/>
              <v:imagedata o:title=""/>
              <o:lock v:ext="edit" aspectratio="f"/>
              <v:textbox inset="0mm,0mm,0mm,0mm">
                <w:txbxContent>
                  <w:p>
                    <w:pPr>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-95250</wp:posOffset>
              </wp:positionV>
              <wp:extent cx="278765" cy="250190"/>
              <wp:effectExtent l="0" t="0" r="0" b="0"/>
              <wp:wrapNone/>
              <wp:docPr id="1" name="文本框 3"/>
              <wp:cNvGraphicFramePr/>
              <a:graphic xmlns:a="http://schemas.openxmlformats.org/drawingml/2006/main">
                <a:graphicData uri="http://schemas.microsoft.com/office/word/2010/wordprocessingShape">
                  <wps:wsp>
                    <wps:cNvSpPr txBox="true">
                      <a:spLocks noChangeArrowheads="true"/>
                    </wps:cNvSpPr>
                    <wps:spPr bwMode="auto">
                      <a:xfrm>
                        <a:off x="0" y="0"/>
                        <a:ext cx="278765" cy="250190"/>
                      </a:xfrm>
                      <a:prstGeom prst="rect">
                        <a:avLst/>
                      </a:prstGeom>
                      <a:noFill/>
                      <a:ln>
                        <a:noFill/>
                      </a:ln>
                    </wps:spPr>
                    <wps:txbx>
                      <w:txbxContent>
                        <w:p>
                          <w:pPr>
                            <w:pStyle w:val="15"/>
                            <w:rPr>
                              <w:rFonts w:hint="eastAsia" w:ascii="宋体" w:hAnsi="宋体" w:eastAsia="宋体" w:cs="宋体"/>
                              <w:kern w:val="2"/>
                              <w:sz w:val="26"/>
                              <w:szCs w:val="26"/>
                              <w:lang w:val="en-US" w:eastAsia="zh-CN" w:bidi="ar-SA"/>
                            </w:rPr>
                          </w:pPr>
                          <w:r>
                            <w:rPr>
                              <w:rFonts w:hint="eastAsia" w:ascii="宋体" w:hAnsi="宋体" w:cs="宋体"/>
                              <w:kern w:val="2"/>
                              <w:sz w:val="26"/>
                              <w:szCs w:val="26"/>
                              <w:lang w:val="en-US" w:eastAsia="zh-CN" w:bidi="ar-SA"/>
                            </w:rPr>
                            <w:fldChar w:fldCharType="begin"/>
                          </w:r>
                          <w:r>
                            <w:rPr>
                              <w:rFonts w:hint="eastAsia" w:ascii="宋体" w:hAnsi="宋体" w:cs="宋体"/>
                              <w:kern w:val="2"/>
                              <w:sz w:val="26"/>
                              <w:szCs w:val="26"/>
                              <w:lang w:val="en-US" w:eastAsia="zh-CN" w:bidi="ar-SA"/>
                            </w:rPr>
                            <w:instrText xml:space="preserve"> PAGE  \* MERGEFORMAT </w:instrText>
                          </w:r>
                          <w:r>
                            <w:rPr>
                              <w:rFonts w:hint="eastAsia" w:ascii="宋体" w:hAnsi="宋体" w:cs="宋体"/>
                              <w:kern w:val="2"/>
                              <w:sz w:val="26"/>
                              <w:szCs w:val="26"/>
                              <w:lang w:val="en-US" w:eastAsia="zh-CN" w:bidi="ar-SA"/>
                            </w:rPr>
                            <w:fldChar w:fldCharType="separate"/>
                          </w:r>
                          <w:r>
                            <w:rPr>
                              <w:rFonts w:hint="eastAsia" w:ascii="宋体" w:hAnsi="宋体" w:cs="宋体"/>
                              <w:kern w:val="2"/>
                              <w:sz w:val="26"/>
                              <w:szCs w:val="26"/>
                              <w:lang w:val="en-US" w:eastAsia="zh-CN" w:bidi="ar-SA"/>
                            </w:rPr>
                            <w:t>1</w:t>
                          </w:r>
                          <w:r>
                            <w:rPr>
                              <w:rFonts w:hint="eastAsia" w:ascii="宋体" w:hAnsi="宋体" w:cs="宋体"/>
                              <w:kern w:val="2"/>
                              <w:sz w:val="26"/>
                              <w:szCs w:val="26"/>
                              <w:lang w:val="en-US" w:eastAsia="zh-CN" w:bidi="ar-SA"/>
                            </w:rPr>
                            <w:fldChar w:fldCharType="end"/>
                          </w:r>
                        </w:p>
                      </w:txbxContent>
                    </wps:txbx>
                    <wps:bodyPr rot="0" vert="horz" wrap="square" lIns="0" tIns="0" rIns="0" bIns="0" anchor="t" anchorCtr="false" upright="true">
                      <a:noAutofit/>
                    </wps:bodyPr>
                  </wps:wsp>
                </a:graphicData>
              </a:graphic>
            </wp:anchor>
          </w:drawing>
        </mc:Choice>
        <mc:Fallback>
          <w:pict>
            <v:shape id="文本框 3" o:spid="_x0000_s1026" o:spt="202" type="#_x0000_t202" style="position:absolute;left:0pt;margin-top:-7.5pt;height:19.7pt;width:21.95pt;mso-position-horizontal:inside;mso-position-horizontal-relative:margin;z-index:251659264;mso-width-relative:page;mso-height-relative:page;" filled="f" stroked="f" coordsize="21600,21600" o:gfxdata="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FgAAAGRycy9QSwECFAAUAAAACACHTuJAzgjWa9cAAAAGAQAADwAAAAAAAAABACAA&#10;AAA4AAAAZHJzL2Rvd25yZXYueG1sUEsBAhQAFAAAAAgAh07iQIaKcCz4AQAAwwMAAA4AAAAAAAAA&#10;AQAgAAAAPAEAAGRycy9lMm9Eb2MueG1sUEsFBgAAAAAGAAYAWQEAAKYFAAAAAA==&#10;">
              <v:fill on="f" focussize="0,0"/>
              <v:stroke on="f"/>
              <v:imagedata o:title=""/>
              <o:lock v:ext="edit" aspectratio="f"/>
              <v:textbox inset="0mm,0mm,0mm,0mm">
                <w:txbxContent>
                  <w:p>
                    <w:pPr>
                      <w:pStyle w:val="15"/>
                      <w:rPr>
                        <w:rFonts w:hint="eastAsia" w:ascii="宋体" w:hAnsi="宋体" w:eastAsia="宋体" w:cs="宋体"/>
                        <w:kern w:val="2"/>
                        <w:sz w:val="26"/>
                        <w:szCs w:val="26"/>
                        <w:lang w:val="en-US" w:eastAsia="zh-CN" w:bidi="ar-SA"/>
                      </w:rPr>
                    </w:pPr>
                    <w:r>
                      <w:rPr>
                        <w:rFonts w:hint="eastAsia" w:ascii="宋体" w:hAnsi="宋体" w:cs="宋体"/>
                        <w:kern w:val="2"/>
                        <w:sz w:val="26"/>
                        <w:szCs w:val="26"/>
                        <w:lang w:val="en-US" w:eastAsia="zh-CN" w:bidi="ar-SA"/>
                      </w:rPr>
                      <w:fldChar w:fldCharType="begin"/>
                    </w:r>
                    <w:r>
                      <w:rPr>
                        <w:rFonts w:hint="eastAsia" w:ascii="宋体" w:hAnsi="宋体" w:cs="宋体"/>
                        <w:kern w:val="2"/>
                        <w:sz w:val="26"/>
                        <w:szCs w:val="26"/>
                        <w:lang w:val="en-US" w:eastAsia="zh-CN" w:bidi="ar-SA"/>
                      </w:rPr>
                      <w:instrText xml:space="preserve"> PAGE  \* MERGEFORMAT </w:instrText>
                    </w:r>
                    <w:r>
                      <w:rPr>
                        <w:rFonts w:hint="eastAsia" w:ascii="宋体" w:hAnsi="宋体" w:cs="宋体"/>
                        <w:kern w:val="2"/>
                        <w:sz w:val="26"/>
                        <w:szCs w:val="26"/>
                        <w:lang w:val="en-US" w:eastAsia="zh-CN" w:bidi="ar-SA"/>
                      </w:rPr>
                      <w:fldChar w:fldCharType="separate"/>
                    </w:r>
                    <w:r>
                      <w:rPr>
                        <w:rFonts w:hint="eastAsia" w:ascii="宋体" w:hAnsi="宋体" w:cs="宋体"/>
                        <w:kern w:val="2"/>
                        <w:sz w:val="26"/>
                        <w:szCs w:val="26"/>
                        <w:lang w:val="en-US" w:eastAsia="zh-CN" w:bidi="ar-SA"/>
                      </w:rPr>
                      <w:t>1</w:t>
                    </w:r>
                    <w:r>
                      <w:rPr>
                        <w:rFonts w:hint="eastAsia" w:ascii="宋体" w:hAnsi="宋体" w:cs="宋体"/>
                        <w:kern w:val="2"/>
                        <w:sz w:val="26"/>
                        <w:szCs w:val="26"/>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sz w:val="28"/>
                              <w:szCs w:val="28"/>
                              <w:lang w:eastAsia="zh-CN"/>
                            </w:rPr>
                            <w:t>—</w:t>
                          </w:r>
                          <w:r>
                            <w:rPr>
                              <w:rFonts w:hint="eastAsia" w:ascii="方正书宋简体" w:hAnsi="方正书宋简体" w:eastAsia="方正书宋简体" w:cs="方正书宋简体"/>
                              <w:sz w:val="28"/>
                              <w:szCs w:val="28"/>
                              <w:lang w:val="en-US" w:eastAsia="zh-CN"/>
                            </w:rPr>
                            <w:t xml:space="preserve"> </w:t>
                          </w:r>
                          <w:r>
                            <w:rPr>
                              <w:rFonts w:hint="eastAsia" w:ascii="方正书宋简体" w:hAnsi="方正书宋简体" w:eastAsia="方正书宋简体" w:cs="方正书宋简体"/>
                              <w:sz w:val="28"/>
                              <w:szCs w:val="28"/>
                            </w:rPr>
                            <w:fldChar w:fldCharType="begin"/>
                          </w:r>
                          <w:r>
                            <w:rPr>
                              <w:rFonts w:hint="eastAsia" w:ascii="方正书宋简体" w:hAnsi="方正书宋简体" w:eastAsia="方正书宋简体" w:cs="方正书宋简体"/>
                              <w:sz w:val="28"/>
                              <w:szCs w:val="28"/>
                            </w:rPr>
                            <w:instrText xml:space="preserve"> PAGE  \* MERGEFORMAT </w:instrText>
                          </w:r>
                          <w:r>
                            <w:rPr>
                              <w:rFonts w:hint="eastAsia" w:ascii="方正书宋简体" w:hAnsi="方正书宋简体" w:eastAsia="方正书宋简体" w:cs="方正书宋简体"/>
                              <w:sz w:val="28"/>
                              <w:szCs w:val="28"/>
                            </w:rPr>
                            <w:fldChar w:fldCharType="separate"/>
                          </w:r>
                          <w:r>
                            <w:rPr>
                              <w:rFonts w:hint="eastAsia" w:ascii="方正书宋简体" w:hAnsi="方正书宋简体" w:eastAsia="方正书宋简体" w:cs="方正书宋简体"/>
                              <w:sz w:val="28"/>
                              <w:szCs w:val="28"/>
                            </w:rPr>
                            <w:t>1</w:t>
                          </w:r>
                          <w:r>
                            <w:rPr>
                              <w:rFonts w:hint="eastAsia" w:ascii="方正书宋简体" w:hAnsi="方正书宋简体" w:eastAsia="方正书宋简体" w:cs="方正书宋简体"/>
                              <w:sz w:val="28"/>
                              <w:szCs w:val="28"/>
                            </w:rPr>
                            <w:fldChar w:fldCharType="end"/>
                          </w:r>
                          <w:r>
                            <w:rPr>
                              <w:rFonts w:hint="eastAsia" w:ascii="方正书宋简体" w:hAnsi="方正书宋简体" w:eastAsia="方正书宋简体" w:cs="方正书宋简体"/>
                              <w:sz w:val="28"/>
                              <w:szCs w:val="28"/>
                              <w:lang w:val="en-US"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15"/>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sz w:val="28"/>
                        <w:szCs w:val="28"/>
                        <w:lang w:eastAsia="zh-CN"/>
                      </w:rPr>
                      <w:t>—</w:t>
                    </w:r>
                    <w:r>
                      <w:rPr>
                        <w:rFonts w:hint="eastAsia" w:ascii="方正书宋简体" w:hAnsi="方正书宋简体" w:eastAsia="方正书宋简体" w:cs="方正书宋简体"/>
                        <w:sz w:val="28"/>
                        <w:szCs w:val="28"/>
                        <w:lang w:val="en-US" w:eastAsia="zh-CN"/>
                      </w:rPr>
                      <w:t xml:space="preserve"> </w:t>
                    </w:r>
                    <w:r>
                      <w:rPr>
                        <w:rFonts w:hint="eastAsia" w:ascii="方正书宋简体" w:hAnsi="方正书宋简体" w:eastAsia="方正书宋简体" w:cs="方正书宋简体"/>
                        <w:sz w:val="28"/>
                        <w:szCs w:val="28"/>
                      </w:rPr>
                      <w:fldChar w:fldCharType="begin"/>
                    </w:r>
                    <w:r>
                      <w:rPr>
                        <w:rFonts w:hint="eastAsia" w:ascii="方正书宋简体" w:hAnsi="方正书宋简体" w:eastAsia="方正书宋简体" w:cs="方正书宋简体"/>
                        <w:sz w:val="28"/>
                        <w:szCs w:val="28"/>
                      </w:rPr>
                      <w:instrText xml:space="preserve"> PAGE  \* MERGEFORMAT </w:instrText>
                    </w:r>
                    <w:r>
                      <w:rPr>
                        <w:rFonts w:hint="eastAsia" w:ascii="方正书宋简体" w:hAnsi="方正书宋简体" w:eastAsia="方正书宋简体" w:cs="方正书宋简体"/>
                        <w:sz w:val="28"/>
                        <w:szCs w:val="28"/>
                      </w:rPr>
                      <w:fldChar w:fldCharType="separate"/>
                    </w:r>
                    <w:r>
                      <w:rPr>
                        <w:rFonts w:hint="eastAsia" w:ascii="方正书宋简体" w:hAnsi="方正书宋简体" w:eastAsia="方正书宋简体" w:cs="方正书宋简体"/>
                        <w:sz w:val="28"/>
                        <w:szCs w:val="28"/>
                      </w:rPr>
                      <w:t>1</w:t>
                    </w:r>
                    <w:r>
                      <w:rPr>
                        <w:rFonts w:hint="eastAsia" w:ascii="方正书宋简体" w:hAnsi="方正书宋简体" w:eastAsia="方正书宋简体" w:cs="方正书宋简体"/>
                        <w:sz w:val="28"/>
                        <w:szCs w:val="28"/>
                      </w:rPr>
                      <w:fldChar w:fldCharType="end"/>
                    </w:r>
                    <w:r>
                      <w:rPr>
                        <w:rFonts w:hint="eastAsia" w:ascii="方正书宋简体" w:hAnsi="方正书宋简体" w:eastAsia="方正书宋简体" w:cs="方正书宋简体"/>
                        <w:sz w:val="28"/>
                        <w:szCs w:val="28"/>
                        <w:lang w:val="en-US" w:eastAsia="zh-C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TrueTypeFonts/>
  <w:saveSubsetFonts/>
  <w:bordersDoNotSurroundHeader w:val="false"/>
  <w:bordersDoNotSurroundFooter w:val="false"/>
  <w:trackRevisions w:val="tru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EC2"/>
    <w:rsid w:val="00002012"/>
    <w:rsid w:val="0000496D"/>
    <w:rsid w:val="0001039E"/>
    <w:rsid w:val="000416BC"/>
    <w:rsid w:val="00044A70"/>
    <w:rsid w:val="00062DE1"/>
    <w:rsid w:val="0008500B"/>
    <w:rsid w:val="000B6281"/>
    <w:rsid w:val="000C4D69"/>
    <w:rsid w:val="000C51E6"/>
    <w:rsid w:val="000D31CA"/>
    <w:rsid w:val="000F1526"/>
    <w:rsid w:val="001351D0"/>
    <w:rsid w:val="00165E20"/>
    <w:rsid w:val="001E54CB"/>
    <w:rsid w:val="001F3057"/>
    <w:rsid w:val="002041BE"/>
    <w:rsid w:val="00227A64"/>
    <w:rsid w:val="002940B7"/>
    <w:rsid w:val="002E2337"/>
    <w:rsid w:val="002E404D"/>
    <w:rsid w:val="003035B5"/>
    <w:rsid w:val="003356CC"/>
    <w:rsid w:val="00340C25"/>
    <w:rsid w:val="00357A12"/>
    <w:rsid w:val="0039623B"/>
    <w:rsid w:val="003A19BE"/>
    <w:rsid w:val="003A428D"/>
    <w:rsid w:val="003A479E"/>
    <w:rsid w:val="003C3C52"/>
    <w:rsid w:val="003D1C2D"/>
    <w:rsid w:val="003E159B"/>
    <w:rsid w:val="003F016B"/>
    <w:rsid w:val="003F4A22"/>
    <w:rsid w:val="004506AF"/>
    <w:rsid w:val="004625F9"/>
    <w:rsid w:val="004777EF"/>
    <w:rsid w:val="00492908"/>
    <w:rsid w:val="004A5709"/>
    <w:rsid w:val="004B4235"/>
    <w:rsid w:val="004E2E92"/>
    <w:rsid w:val="00502F9B"/>
    <w:rsid w:val="00516993"/>
    <w:rsid w:val="00524DD9"/>
    <w:rsid w:val="00565EA1"/>
    <w:rsid w:val="005C5772"/>
    <w:rsid w:val="006079E2"/>
    <w:rsid w:val="00627BA2"/>
    <w:rsid w:val="0063380C"/>
    <w:rsid w:val="00640BB7"/>
    <w:rsid w:val="00644254"/>
    <w:rsid w:val="00657A99"/>
    <w:rsid w:val="0066628D"/>
    <w:rsid w:val="0069744D"/>
    <w:rsid w:val="006D42A4"/>
    <w:rsid w:val="006E6EC2"/>
    <w:rsid w:val="006F0DE8"/>
    <w:rsid w:val="00705168"/>
    <w:rsid w:val="00713EB3"/>
    <w:rsid w:val="00746757"/>
    <w:rsid w:val="00772D12"/>
    <w:rsid w:val="007B403D"/>
    <w:rsid w:val="007D5A21"/>
    <w:rsid w:val="0082327D"/>
    <w:rsid w:val="008660C5"/>
    <w:rsid w:val="008863F5"/>
    <w:rsid w:val="008E5A85"/>
    <w:rsid w:val="008F7E25"/>
    <w:rsid w:val="0090018E"/>
    <w:rsid w:val="00923937"/>
    <w:rsid w:val="00926B2A"/>
    <w:rsid w:val="00946D82"/>
    <w:rsid w:val="00946F59"/>
    <w:rsid w:val="00960B8D"/>
    <w:rsid w:val="00974F9E"/>
    <w:rsid w:val="00993504"/>
    <w:rsid w:val="009B63D3"/>
    <w:rsid w:val="009E40DA"/>
    <w:rsid w:val="00A3434E"/>
    <w:rsid w:val="00A459EE"/>
    <w:rsid w:val="00A82FC7"/>
    <w:rsid w:val="00A97E8A"/>
    <w:rsid w:val="00AB203F"/>
    <w:rsid w:val="00AC2D2B"/>
    <w:rsid w:val="00AC7BA6"/>
    <w:rsid w:val="00AE71C9"/>
    <w:rsid w:val="00B216B5"/>
    <w:rsid w:val="00B219F9"/>
    <w:rsid w:val="00B245D9"/>
    <w:rsid w:val="00B41BBE"/>
    <w:rsid w:val="00B41D0D"/>
    <w:rsid w:val="00B42419"/>
    <w:rsid w:val="00B51281"/>
    <w:rsid w:val="00B54751"/>
    <w:rsid w:val="00B63725"/>
    <w:rsid w:val="00B73597"/>
    <w:rsid w:val="00BE24F7"/>
    <w:rsid w:val="00C00C2A"/>
    <w:rsid w:val="00C0222D"/>
    <w:rsid w:val="00C27EE6"/>
    <w:rsid w:val="00C3690A"/>
    <w:rsid w:val="00C4262C"/>
    <w:rsid w:val="00C81066"/>
    <w:rsid w:val="00C8162A"/>
    <w:rsid w:val="00C92508"/>
    <w:rsid w:val="00CD1602"/>
    <w:rsid w:val="00CD29ED"/>
    <w:rsid w:val="00CF42C6"/>
    <w:rsid w:val="00D07EB6"/>
    <w:rsid w:val="00D13E90"/>
    <w:rsid w:val="00D14F49"/>
    <w:rsid w:val="00D33ED2"/>
    <w:rsid w:val="00D433AD"/>
    <w:rsid w:val="00D55BCF"/>
    <w:rsid w:val="00DB3FE3"/>
    <w:rsid w:val="00DC027E"/>
    <w:rsid w:val="00E0554A"/>
    <w:rsid w:val="00E130BB"/>
    <w:rsid w:val="00E252A8"/>
    <w:rsid w:val="00E4414E"/>
    <w:rsid w:val="00E45B55"/>
    <w:rsid w:val="00E75EA5"/>
    <w:rsid w:val="00EA51F7"/>
    <w:rsid w:val="00EB3836"/>
    <w:rsid w:val="00EC2925"/>
    <w:rsid w:val="00F5503E"/>
    <w:rsid w:val="00F6511B"/>
    <w:rsid w:val="00FF4BCC"/>
    <w:rsid w:val="013712F7"/>
    <w:rsid w:val="01A324E9"/>
    <w:rsid w:val="01AD5116"/>
    <w:rsid w:val="0204742C"/>
    <w:rsid w:val="020B6A0C"/>
    <w:rsid w:val="0213766F"/>
    <w:rsid w:val="021A09FD"/>
    <w:rsid w:val="02467A44"/>
    <w:rsid w:val="02F74D8B"/>
    <w:rsid w:val="02FC6355"/>
    <w:rsid w:val="03004097"/>
    <w:rsid w:val="032D650E"/>
    <w:rsid w:val="037800D1"/>
    <w:rsid w:val="037B2CCE"/>
    <w:rsid w:val="039B3DC0"/>
    <w:rsid w:val="03A26EFC"/>
    <w:rsid w:val="03B60BF9"/>
    <w:rsid w:val="03DE5A5A"/>
    <w:rsid w:val="041D47D5"/>
    <w:rsid w:val="044C330C"/>
    <w:rsid w:val="0458580D"/>
    <w:rsid w:val="04651CD8"/>
    <w:rsid w:val="04781A0B"/>
    <w:rsid w:val="049F51EA"/>
    <w:rsid w:val="04A46CA4"/>
    <w:rsid w:val="04C44C50"/>
    <w:rsid w:val="04DFDF91"/>
    <w:rsid w:val="04E470A0"/>
    <w:rsid w:val="052F2A11"/>
    <w:rsid w:val="057F5A78"/>
    <w:rsid w:val="058E7D29"/>
    <w:rsid w:val="05CA273A"/>
    <w:rsid w:val="06163BD1"/>
    <w:rsid w:val="06314567"/>
    <w:rsid w:val="06344057"/>
    <w:rsid w:val="063D4CBA"/>
    <w:rsid w:val="063F6C84"/>
    <w:rsid w:val="06400C4E"/>
    <w:rsid w:val="06952589"/>
    <w:rsid w:val="069F3BC7"/>
    <w:rsid w:val="06EFE555"/>
    <w:rsid w:val="071874D5"/>
    <w:rsid w:val="07230354"/>
    <w:rsid w:val="0757BD55"/>
    <w:rsid w:val="075F40D5"/>
    <w:rsid w:val="075F5156"/>
    <w:rsid w:val="07972AF0"/>
    <w:rsid w:val="07DD7285"/>
    <w:rsid w:val="07E5385B"/>
    <w:rsid w:val="07E7C3AF"/>
    <w:rsid w:val="07F12200"/>
    <w:rsid w:val="07F623F9"/>
    <w:rsid w:val="07F75964"/>
    <w:rsid w:val="08000695"/>
    <w:rsid w:val="082D6FB0"/>
    <w:rsid w:val="083572E7"/>
    <w:rsid w:val="08A13C26"/>
    <w:rsid w:val="08FCA728"/>
    <w:rsid w:val="090D12BC"/>
    <w:rsid w:val="091A12E3"/>
    <w:rsid w:val="096D2D05"/>
    <w:rsid w:val="096E162E"/>
    <w:rsid w:val="097E3F67"/>
    <w:rsid w:val="09BC683E"/>
    <w:rsid w:val="09CFCB7A"/>
    <w:rsid w:val="09D41DD9"/>
    <w:rsid w:val="09EA5CD0"/>
    <w:rsid w:val="09FB55B8"/>
    <w:rsid w:val="0A652A31"/>
    <w:rsid w:val="0A7D7D7B"/>
    <w:rsid w:val="0A9E4B15"/>
    <w:rsid w:val="0AA23C86"/>
    <w:rsid w:val="0AB7D4B0"/>
    <w:rsid w:val="0ABD461B"/>
    <w:rsid w:val="0ACA0AE6"/>
    <w:rsid w:val="0AE53B72"/>
    <w:rsid w:val="0AFFC54E"/>
    <w:rsid w:val="0B0B182B"/>
    <w:rsid w:val="0B3FB7F0"/>
    <w:rsid w:val="0B584344"/>
    <w:rsid w:val="0B5D7BAD"/>
    <w:rsid w:val="0B5F1B77"/>
    <w:rsid w:val="0BBD856F"/>
    <w:rsid w:val="0BBE4AEF"/>
    <w:rsid w:val="0BD92CAB"/>
    <w:rsid w:val="0BDEDD5A"/>
    <w:rsid w:val="0BE6C622"/>
    <w:rsid w:val="0BF7A57C"/>
    <w:rsid w:val="0BFBA130"/>
    <w:rsid w:val="0C321039"/>
    <w:rsid w:val="0C3BE0DA"/>
    <w:rsid w:val="0C7D22B4"/>
    <w:rsid w:val="0C85560D"/>
    <w:rsid w:val="0C8C699B"/>
    <w:rsid w:val="0CC7352F"/>
    <w:rsid w:val="0CEE6D0E"/>
    <w:rsid w:val="0D523741"/>
    <w:rsid w:val="0D5F9CE2"/>
    <w:rsid w:val="0D6F13D5"/>
    <w:rsid w:val="0D951880"/>
    <w:rsid w:val="0D97A186"/>
    <w:rsid w:val="0DBD5EEE"/>
    <w:rsid w:val="0DD56120"/>
    <w:rsid w:val="0DDF1A07"/>
    <w:rsid w:val="0DEFE4F7"/>
    <w:rsid w:val="0DF4D44C"/>
    <w:rsid w:val="0DF5231E"/>
    <w:rsid w:val="0DFFA652"/>
    <w:rsid w:val="0DFFDACA"/>
    <w:rsid w:val="0E370B89"/>
    <w:rsid w:val="0E8E5690"/>
    <w:rsid w:val="0E9D4E90"/>
    <w:rsid w:val="0EAF4BC3"/>
    <w:rsid w:val="0EB700F8"/>
    <w:rsid w:val="0EE816CF"/>
    <w:rsid w:val="0EEB7A27"/>
    <w:rsid w:val="0EF6447C"/>
    <w:rsid w:val="0EFE5203"/>
    <w:rsid w:val="0EFFE523"/>
    <w:rsid w:val="0F0071CD"/>
    <w:rsid w:val="0F4D4492"/>
    <w:rsid w:val="0F4E7F38"/>
    <w:rsid w:val="0F5117D6"/>
    <w:rsid w:val="0F515C7A"/>
    <w:rsid w:val="0F5DF8E2"/>
    <w:rsid w:val="0F67AC5E"/>
    <w:rsid w:val="0F7200CA"/>
    <w:rsid w:val="0F7B492A"/>
    <w:rsid w:val="0F7EB238"/>
    <w:rsid w:val="0F8EC842"/>
    <w:rsid w:val="0FAD592A"/>
    <w:rsid w:val="0FAF59CA"/>
    <w:rsid w:val="0FBD6D82"/>
    <w:rsid w:val="0FBEDAA7"/>
    <w:rsid w:val="0FBF589E"/>
    <w:rsid w:val="0FCB1A83"/>
    <w:rsid w:val="0FCD2E0C"/>
    <w:rsid w:val="0FD22917"/>
    <w:rsid w:val="0FD3C3D6"/>
    <w:rsid w:val="0FEFFECD"/>
    <w:rsid w:val="0FF4502F"/>
    <w:rsid w:val="0FF52AA9"/>
    <w:rsid w:val="0FF7C235"/>
    <w:rsid w:val="0FF9B17D"/>
    <w:rsid w:val="0FFF1DF1"/>
    <w:rsid w:val="0FFFE61E"/>
    <w:rsid w:val="100B7BD7"/>
    <w:rsid w:val="10376C1E"/>
    <w:rsid w:val="104D4694"/>
    <w:rsid w:val="10907F18"/>
    <w:rsid w:val="10CEEEAF"/>
    <w:rsid w:val="10FF13C1"/>
    <w:rsid w:val="112E0021"/>
    <w:rsid w:val="113D2012"/>
    <w:rsid w:val="114710E3"/>
    <w:rsid w:val="115A764D"/>
    <w:rsid w:val="118B7221"/>
    <w:rsid w:val="119E1A6B"/>
    <w:rsid w:val="11D81D3B"/>
    <w:rsid w:val="11EC3A38"/>
    <w:rsid w:val="11F31C7E"/>
    <w:rsid w:val="121B783C"/>
    <w:rsid w:val="12372F05"/>
    <w:rsid w:val="125515DD"/>
    <w:rsid w:val="12B814D9"/>
    <w:rsid w:val="12EA61CA"/>
    <w:rsid w:val="130628D8"/>
    <w:rsid w:val="130C4392"/>
    <w:rsid w:val="13144FF5"/>
    <w:rsid w:val="132FE9DF"/>
    <w:rsid w:val="134F427F"/>
    <w:rsid w:val="136A2E67"/>
    <w:rsid w:val="1377A1BE"/>
    <w:rsid w:val="13854144"/>
    <w:rsid w:val="138F08C6"/>
    <w:rsid w:val="13A9FAB1"/>
    <w:rsid w:val="13B16CE7"/>
    <w:rsid w:val="13CB9879"/>
    <w:rsid w:val="13CCFBDE"/>
    <w:rsid w:val="13E1581F"/>
    <w:rsid w:val="13E26EA1"/>
    <w:rsid w:val="143040B0"/>
    <w:rsid w:val="14321BD6"/>
    <w:rsid w:val="148F527B"/>
    <w:rsid w:val="14E135FC"/>
    <w:rsid w:val="14FF2212"/>
    <w:rsid w:val="151A266A"/>
    <w:rsid w:val="155344FA"/>
    <w:rsid w:val="15547B7D"/>
    <w:rsid w:val="15671D54"/>
    <w:rsid w:val="156BA962"/>
    <w:rsid w:val="156C736A"/>
    <w:rsid w:val="156F8A78"/>
    <w:rsid w:val="157BB9AA"/>
    <w:rsid w:val="15932B49"/>
    <w:rsid w:val="15BB209F"/>
    <w:rsid w:val="15DB6A32"/>
    <w:rsid w:val="15DFDA29"/>
    <w:rsid w:val="15F55C92"/>
    <w:rsid w:val="15FD0E6A"/>
    <w:rsid w:val="15FED03D"/>
    <w:rsid w:val="15FF8B31"/>
    <w:rsid w:val="16104199"/>
    <w:rsid w:val="1618304E"/>
    <w:rsid w:val="16585B40"/>
    <w:rsid w:val="16612C47"/>
    <w:rsid w:val="166906BF"/>
    <w:rsid w:val="166A5048"/>
    <w:rsid w:val="167BD575"/>
    <w:rsid w:val="167D355E"/>
    <w:rsid w:val="167E1A72"/>
    <w:rsid w:val="167F06F5"/>
    <w:rsid w:val="168F68E0"/>
    <w:rsid w:val="169DA809"/>
    <w:rsid w:val="169DC6E5"/>
    <w:rsid w:val="16CB606F"/>
    <w:rsid w:val="16D399D8"/>
    <w:rsid w:val="16D7FE2D"/>
    <w:rsid w:val="16E573D4"/>
    <w:rsid w:val="16EDD6BD"/>
    <w:rsid w:val="16F05D79"/>
    <w:rsid w:val="16F31B23"/>
    <w:rsid w:val="16FF274E"/>
    <w:rsid w:val="17035549"/>
    <w:rsid w:val="1706559C"/>
    <w:rsid w:val="170830C2"/>
    <w:rsid w:val="17169F70"/>
    <w:rsid w:val="1719707D"/>
    <w:rsid w:val="171FA894"/>
    <w:rsid w:val="172779EC"/>
    <w:rsid w:val="173619DD"/>
    <w:rsid w:val="17447557"/>
    <w:rsid w:val="174BF7DB"/>
    <w:rsid w:val="17516817"/>
    <w:rsid w:val="176C8F3F"/>
    <w:rsid w:val="176DEE16"/>
    <w:rsid w:val="17753575"/>
    <w:rsid w:val="17754F96"/>
    <w:rsid w:val="177BE373"/>
    <w:rsid w:val="177D3042"/>
    <w:rsid w:val="177F188C"/>
    <w:rsid w:val="177F89A6"/>
    <w:rsid w:val="17850103"/>
    <w:rsid w:val="17AC7EF2"/>
    <w:rsid w:val="17AF4544"/>
    <w:rsid w:val="17B7EC4E"/>
    <w:rsid w:val="17BF14F2"/>
    <w:rsid w:val="17BF54DE"/>
    <w:rsid w:val="17D905BB"/>
    <w:rsid w:val="17DF9B9A"/>
    <w:rsid w:val="17DFEB51"/>
    <w:rsid w:val="17F1A281"/>
    <w:rsid w:val="17F1C62F"/>
    <w:rsid w:val="17F3AFE4"/>
    <w:rsid w:val="17F5C8C4"/>
    <w:rsid w:val="17F67102"/>
    <w:rsid w:val="17F70D72"/>
    <w:rsid w:val="17FC48EA"/>
    <w:rsid w:val="17FEC8D6"/>
    <w:rsid w:val="18090EA0"/>
    <w:rsid w:val="182A0E16"/>
    <w:rsid w:val="18491BE4"/>
    <w:rsid w:val="1867206B"/>
    <w:rsid w:val="188F7A9E"/>
    <w:rsid w:val="189F26D6"/>
    <w:rsid w:val="18DD40DB"/>
    <w:rsid w:val="18E92A80"/>
    <w:rsid w:val="18FD35B1"/>
    <w:rsid w:val="19153875"/>
    <w:rsid w:val="195405C6"/>
    <w:rsid w:val="197F1BE1"/>
    <w:rsid w:val="197F6782"/>
    <w:rsid w:val="19BD239B"/>
    <w:rsid w:val="19BF1AB2"/>
    <w:rsid w:val="19E73693"/>
    <w:rsid w:val="19EF1013"/>
    <w:rsid w:val="19F3DEEA"/>
    <w:rsid w:val="19FB6BA4"/>
    <w:rsid w:val="19FF666D"/>
    <w:rsid w:val="1A0C4C78"/>
    <w:rsid w:val="1A240213"/>
    <w:rsid w:val="1A6C3968"/>
    <w:rsid w:val="1A7867B1"/>
    <w:rsid w:val="1A7B1DFD"/>
    <w:rsid w:val="1A8C5DB8"/>
    <w:rsid w:val="1A952EBF"/>
    <w:rsid w:val="1A9F5AEC"/>
    <w:rsid w:val="1AE9B706"/>
    <w:rsid w:val="1AF3A071"/>
    <w:rsid w:val="1AF5395E"/>
    <w:rsid w:val="1AF8DA4C"/>
    <w:rsid w:val="1AFFCB9B"/>
    <w:rsid w:val="1B2F709E"/>
    <w:rsid w:val="1B30131E"/>
    <w:rsid w:val="1B5320CF"/>
    <w:rsid w:val="1B5E3226"/>
    <w:rsid w:val="1B5E59A7"/>
    <w:rsid w:val="1B6D1746"/>
    <w:rsid w:val="1B6FEE4E"/>
    <w:rsid w:val="1B73957A"/>
    <w:rsid w:val="1B77254B"/>
    <w:rsid w:val="1B7F4F6E"/>
    <w:rsid w:val="1B7FA59B"/>
    <w:rsid w:val="1B8D1DE8"/>
    <w:rsid w:val="1BA86C22"/>
    <w:rsid w:val="1BAF86B9"/>
    <w:rsid w:val="1BAFED69"/>
    <w:rsid w:val="1BBE4697"/>
    <w:rsid w:val="1BD3B9BF"/>
    <w:rsid w:val="1BD47A17"/>
    <w:rsid w:val="1BDBB58B"/>
    <w:rsid w:val="1BE21428"/>
    <w:rsid w:val="1BEBB17A"/>
    <w:rsid w:val="1BEC74FE"/>
    <w:rsid w:val="1BF260EF"/>
    <w:rsid w:val="1BF59DF3"/>
    <w:rsid w:val="1BF7602B"/>
    <w:rsid w:val="1BF7E0BF"/>
    <w:rsid w:val="1BF99150"/>
    <w:rsid w:val="1BFC8BEF"/>
    <w:rsid w:val="1BFD27B3"/>
    <w:rsid w:val="1BFE8430"/>
    <w:rsid w:val="1BFEC38D"/>
    <w:rsid w:val="1BFF6A9F"/>
    <w:rsid w:val="1BFF7464"/>
    <w:rsid w:val="1C071B9A"/>
    <w:rsid w:val="1C1F5136"/>
    <w:rsid w:val="1C3B5CE8"/>
    <w:rsid w:val="1C3E30E2"/>
    <w:rsid w:val="1C44694B"/>
    <w:rsid w:val="1C4F52EF"/>
    <w:rsid w:val="1C640D9B"/>
    <w:rsid w:val="1CB7AF3A"/>
    <w:rsid w:val="1CBA09BB"/>
    <w:rsid w:val="1CF85987"/>
    <w:rsid w:val="1CFA525B"/>
    <w:rsid w:val="1CFCB975"/>
    <w:rsid w:val="1CFF98FB"/>
    <w:rsid w:val="1D2C81C0"/>
    <w:rsid w:val="1D303373"/>
    <w:rsid w:val="1D37200B"/>
    <w:rsid w:val="1D666D95"/>
    <w:rsid w:val="1D7F2063"/>
    <w:rsid w:val="1D9EA401"/>
    <w:rsid w:val="1DB3762A"/>
    <w:rsid w:val="1DC67833"/>
    <w:rsid w:val="1DCD387D"/>
    <w:rsid w:val="1DD753C2"/>
    <w:rsid w:val="1DDBD4EE"/>
    <w:rsid w:val="1DDCD569"/>
    <w:rsid w:val="1DDF0BE1"/>
    <w:rsid w:val="1DE859FC"/>
    <w:rsid w:val="1DEA3522"/>
    <w:rsid w:val="1DF443A0"/>
    <w:rsid w:val="1DF6268B"/>
    <w:rsid w:val="1DF83E91"/>
    <w:rsid w:val="1DFB3F06"/>
    <w:rsid w:val="1DFE18F8"/>
    <w:rsid w:val="1DFF0FD8"/>
    <w:rsid w:val="1DFF116F"/>
    <w:rsid w:val="1E124827"/>
    <w:rsid w:val="1E2B00E1"/>
    <w:rsid w:val="1E3D6C7A"/>
    <w:rsid w:val="1E51534F"/>
    <w:rsid w:val="1E6757C2"/>
    <w:rsid w:val="1E7F3658"/>
    <w:rsid w:val="1E8474D2"/>
    <w:rsid w:val="1E894AE9"/>
    <w:rsid w:val="1E8F1154"/>
    <w:rsid w:val="1E9F969C"/>
    <w:rsid w:val="1EA23DFC"/>
    <w:rsid w:val="1EB48A02"/>
    <w:rsid w:val="1EBDCD37"/>
    <w:rsid w:val="1EBF0DAE"/>
    <w:rsid w:val="1EBF1F9E"/>
    <w:rsid w:val="1EBF6480"/>
    <w:rsid w:val="1ECE074D"/>
    <w:rsid w:val="1ED02718"/>
    <w:rsid w:val="1ED3277B"/>
    <w:rsid w:val="1ED63AA6"/>
    <w:rsid w:val="1ED71240"/>
    <w:rsid w:val="1EDA8265"/>
    <w:rsid w:val="1EDD1C55"/>
    <w:rsid w:val="1EDF89E7"/>
    <w:rsid w:val="1EF3BCF4"/>
    <w:rsid w:val="1EFA65B7"/>
    <w:rsid w:val="1EFE2711"/>
    <w:rsid w:val="1EFF6707"/>
    <w:rsid w:val="1EFF6ACB"/>
    <w:rsid w:val="1F1340AD"/>
    <w:rsid w:val="1F134CFA"/>
    <w:rsid w:val="1F2F498E"/>
    <w:rsid w:val="1F2FC1D1"/>
    <w:rsid w:val="1F3E0930"/>
    <w:rsid w:val="1F3FBD45"/>
    <w:rsid w:val="1F4E5B47"/>
    <w:rsid w:val="1F54A463"/>
    <w:rsid w:val="1F5790ED"/>
    <w:rsid w:val="1F6621C3"/>
    <w:rsid w:val="1F6F29CE"/>
    <w:rsid w:val="1F6FC9FA"/>
    <w:rsid w:val="1F731760"/>
    <w:rsid w:val="1F746CB3"/>
    <w:rsid w:val="1F770FD1"/>
    <w:rsid w:val="1F7719CF"/>
    <w:rsid w:val="1F77A59B"/>
    <w:rsid w:val="1F7A2683"/>
    <w:rsid w:val="1F7B570F"/>
    <w:rsid w:val="1F7D3F22"/>
    <w:rsid w:val="1F7E6B02"/>
    <w:rsid w:val="1F7EBBDC"/>
    <w:rsid w:val="1F7F6437"/>
    <w:rsid w:val="1F9BC3CE"/>
    <w:rsid w:val="1FA3607E"/>
    <w:rsid w:val="1FA77D21"/>
    <w:rsid w:val="1FAFF97C"/>
    <w:rsid w:val="1FB2745D"/>
    <w:rsid w:val="1FB3727D"/>
    <w:rsid w:val="1FBE0B3C"/>
    <w:rsid w:val="1FBE137D"/>
    <w:rsid w:val="1FBEA72A"/>
    <w:rsid w:val="1FBF278C"/>
    <w:rsid w:val="1FBF34C9"/>
    <w:rsid w:val="1FBFC10B"/>
    <w:rsid w:val="1FBFF485"/>
    <w:rsid w:val="1FC658C9"/>
    <w:rsid w:val="1FD5F14E"/>
    <w:rsid w:val="1FDBAEBF"/>
    <w:rsid w:val="1FDBE39D"/>
    <w:rsid w:val="1FDE91C2"/>
    <w:rsid w:val="1FDF6E5F"/>
    <w:rsid w:val="1FDFCE96"/>
    <w:rsid w:val="1FEE7817"/>
    <w:rsid w:val="1FEE8086"/>
    <w:rsid w:val="1FEE8F07"/>
    <w:rsid w:val="1FEECE81"/>
    <w:rsid w:val="1FEF432A"/>
    <w:rsid w:val="1FEF79B5"/>
    <w:rsid w:val="1FEF87D5"/>
    <w:rsid w:val="1FF23D39"/>
    <w:rsid w:val="1FF62134"/>
    <w:rsid w:val="1FF70025"/>
    <w:rsid w:val="1FF71FDF"/>
    <w:rsid w:val="1FF7A192"/>
    <w:rsid w:val="1FF7E995"/>
    <w:rsid w:val="1FFAA02B"/>
    <w:rsid w:val="1FFD980D"/>
    <w:rsid w:val="1FFE45D1"/>
    <w:rsid w:val="1FFEA85F"/>
    <w:rsid w:val="1FFF32AE"/>
    <w:rsid w:val="1FFF7F22"/>
    <w:rsid w:val="1FFFA43D"/>
    <w:rsid w:val="1FFFAF70"/>
    <w:rsid w:val="20390790"/>
    <w:rsid w:val="204809D3"/>
    <w:rsid w:val="204F58BE"/>
    <w:rsid w:val="20517888"/>
    <w:rsid w:val="20713A86"/>
    <w:rsid w:val="208E4638"/>
    <w:rsid w:val="20987265"/>
    <w:rsid w:val="20A7394C"/>
    <w:rsid w:val="20B61DE1"/>
    <w:rsid w:val="20DF77BB"/>
    <w:rsid w:val="20E701EC"/>
    <w:rsid w:val="20FF5536"/>
    <w:rsid w:val="211014F1"/>
    <w:rsid w:val="211508B6"/>
    <w:rsid w:val="212C3E51"/>
    <w:rsid w:val="21771570"/>
    <w:rsid w:val="21983295"/>
    <w:rsid w:val="21D6E444"/>
    <w:rsid w:val="21DDA035"/>
    <w:rsid w:val="21EFFCDC"/>
    <w:rsid w:val="22364F87"/>
    <w:rsid w:val="22482F0D"/>
    <w:rsid w:val="226A32CF"/>
    <w:rsid w:val="227B0BEC"/>
    <w:rsid w:val="229D6AC4"/>
    <w:rsid w:val="229DB2BC"/>
    <w:rsid w:val="22C205C9"/>
    <w:rsid w:val="22D622C7"/>
    <w:rsid w:val="22DB395B"/>
    <w:rsid w:val="22E9C0A0"/>
    <w:rsid w:val="22F764D8"/>
    <w:rsid w:val="22F7DB02"/>
    <w:rsid w:val="22FCB5F1"/>
    <w:rsid w:val="23871813"/>
    <w:rsid w:val="23890B1F"/>
    <w:rsid w:val="23952182"/>
    <w:rsid w:val="239F60FF"/>
    <w:rsid w:val="24107A5A"/>
    <w:rsid w:val="2412732E"/>
    <w:rsid w:val="24523BCF"/>
    <w:rsid w:val="24D1B938"/>
    <w:rsid w:val="24FCF63B"/>
    <w:rsid w:val="2503311B"/>
    <w:rsid w:val="251FBD51"/>
    <w:rsid w:val="25257535"/>
    <w:rsid w:val="254E083A"/>
    <w:rsid w:val="2551032A"/>
    <w:rsid w:val="255F47F5"/>
    <w:rsid w:val="257A0F9C"/>
    <w:rsid w:val="25853B30"/>
    <w:rsid w:val="25B763DF"/>
    <w:rsid w:val="25B8447B"/>
    <w:rsid w:val="25BBB511"/>
    <w:rsid w:val="25C32FD6"/>
    <w:rsid w:val="25C66622"/>
    <w:rsid w:val="25C7239A"/>
    <w:rsid w:val="25D52D09"/>
    <w:rsid w:val="25E76CAD"/>
    <w:rsid w:val="260FA17D"/>
    <w:rsid w:val="263A2B6C"/>
    <w:rsid w:val="265E685B"/>
    <w:rsid w:val="2673F8AE"/>
    <w:rsid w:val="26A34BB6"/>
    <w:rsid w:val="26D196EE"/>
    <w:rsid w:val="26DF3F85"/>
    <w:rsid w:val="26F3723C"/>
    <w:rsid w:val="26F48848"/>
    <w:rsid w:val="26F6EB69"/>
    <w:rsid w:val="26FE1348"/>
    <w:rsid w:val="26FF29BD"/>
    <w:rsid w:val="26FFAF24"/>
    <w:rsid w:val="27007912"/>
    <w:rsid w:val="2737F24A"/>
    <w:rsid w:val="273F8CFE"/>
    <w:rsid w:val="273FAE11"/>
    <w:rsid w:val="274912B9"/>
    <w:rsid w:val="275814FC"/>
    <w:rsid w:val="275A1718"/>
    <w:rsid w:val="275D2FB6"/>
    <w:rsid w:val="275D4D64"/>
    <w:rsid w:val="275E5CBD"/>
    <w:rsid w:val="276CC9F4"/>
    <w:rsid w:val="276F833F"/>
    <w:rsid w:val="277B7B66"/>
    <w:rsid w:val="277BB819"/>
    <w:rsid w:val="27B1F10F"/>
    <w:rsid w:val="27B74536"/>
    <w:rsid w:val="27BD0D43"/>
    <w:rsid w:val="27BF5A1F"/>
    <w:rsid w:val="27BF6501"/>
    <w:rsid w:val="27BFF68D"/>
    <w:rsid w:val="27CABDEB"/>
    <w:rsid w:val="27D7CC9F"/>
    <w:rsid w:val="27DD683B"/>
    <w:rsid w:val="27DF8AFD"/>
    <w:rsid w:val="27F1F73C"/>
    <w:rsid w:val="27F37477"/>
    <w:rsid w:val="27F7EE69"/>
    <w:rsid w:val="283006CB"/>
    <w:rsid w:val="283D9EF6"/>
    <w:rsid w:val="28447CD2"/>
    <w:rsid w:val="284F553B"/>
    <w:rsid w:val="2852419D"/>
    <w:rsid w:val="286839C1"/>
    <w:rsid w:val="289B436B"/>
    <w:rsid w:val="28B40580"/>
    <w:rsid w:val="28CD7CC8"/>
    <w:rsid w:val="28D01566"/>
    <w:rsid w:val="28DB6C99"/>
    <w:rsid w:val="2940049A"/>
    <w:rsid w:val="296A5517"/>
    <w:rsid w:val="297B8282"/>
    <w:rsid w:val="297D41B3"/>
    <w:rsid w:val="297DDCEF"/>
    <w:rsid w:val="297F80B7"/>
    <w:rsid w:val="29842A7C"/>
    <w:rsid w:val="298A3E0B"/>
    <w:rsid w:val="298A5BB9"/>
    <w:rsid w:val="29B1C8AF"/>
    <w:rsid w:val="29DB53C5"/>
    <w:rsid w:val="29DF0082"/>
    <w:rsid w:val="29E74DB9"/>
    <w:rsid w:val="29EA414F"/>
    <w:rsid w:val="29EAC736"/>
    <w:rsid w:val="29EE439A"/>
    <w:rsid w:val="29F2446D"/>
    <w:rsid w:val="29F72396"/>
    <w:rsid w:val="2A1B67AD"/>
    <w:rsid w:val="2A306760"/>
    <w:rsid w:val="2A5E151F"/>
    <w:rsid w:val="2A5F7045"/>
    <w:rsid w:val="2A73489F"/>
    <w:rsid w:val="2A7DEA6E"/>
    <w:rsid w:val="2ABD583F"/>
    <w:rsid w:val="2AC9350D"/>
    <w:rsid w:val="2ACEC53E"/>
    <w:rsid w:val="2ADD2560"/>
    <w:rsid w:val="2AFD7C91"/>
    <w:rsid w:val="2B0379D1"/>
    <w:rsid w:val="2B5273A8"/>
    <w:rsid w:val="2B5C5C31"/>
    <w:rsid w:val="2B699D15"/>
    <w:rsid w:val="2B6D7540"/>
    <w:rsid w:val="2B6F32B8"/>
    <w:rsid w:val="2B774CA9"/>
    <w:rsid w:val="2B786611"/>
    <w:rsid w:val="2B7D3C27"/>
    <w:rsid w:val="2B7F3A98"/>
    <w:rsid w:val="2B805BD5"/>
    <w:rsid w:val="2B88437A"/>
    <w:rsid w:val="2B91322F"/>
    <w:rsid w:val="2B9FACC0"/>
    <w:rsid w:val="2B9FAD09"/>
    <w:rsid w:val="2BA9FFE5"/>
    <w:rsid w:val="2BBAA912"/>
    <w:rsid w:val="2BBF0606"/>
    <w:rsid w:val="2BCD3F7A"/>
    <w:rsid w:val="2BCF0013"/>
    <w:rsid w:val="2BCF271F"/>
    <w:rsid w:val="2BDE5950"/>
    <w:rsid w:val="2BDF6C52"/>
    <w:rsid w:val="2BDFF1BD"/>
    <w:rsid w:val="2BE03317"/>
    <w:rsid w:val="2BEAD5AF"/>
    <w:rsid w:val="2BEDE409"/>
    <w:rsid w:val="2BEF0BDE"/>
    <w:rsid w:val="2BEF9762"/>
    <w:rsid w:val="2BF733F4"/>
    <w:rsid w:val="2BF750B6"/>
    <w:rsid w:val="2BFCFD21"/>
    <w:rsid w:val="2BFD6307"/>
    <w:rsid w:val="2BFE6B8D"/>
    <w:rsid w:val="2BFEA0C1"/>
    <w:rsid w:val="2BFFB422"/>
    <w:rsid w:val="2BFFEC54"/>
    <w:rsid w:val="2BFFFBBD"/>
    <w:rsid w:val="2C0AA805"/>
    <w:rsid w:val="2C106849"/>
    <w:rsid w:val="2C174BD4"/>
    <w:rsid w:val="2C3D33B6"/>
    <w:rsid w:val="2C3F0EDD"/>
    <w:rsid w:val="2C5129BE"/>
    <w:rsid w:val="2C59F876"/>
    <w:rsid w:val="2C769642"/>
    <w:rsid w:val="2C7F2F5C"/>
    <w:rsid w:val="2CC3566A"/>
    <w:rsid w:val="2CD535EF"/>
    <w:rsid w:val="2CF71881"/>
    <w:rsid w:val="2D067C4C"/>
    <w:rsid w:val="2D3DEEE9"/>
    <w:rsid w:val="2D4579F4"/>
    <w:rsid w:val="2D4B20B1"/>
    <w:rsid w:val="2D57E7EC"/>
    <w:rsid w:val="2D762A88"/>
    <w:rsid w:val="2D7B30A5"/>
    <w:rsid w:val="2D7F35D3"/>
    <w:rsid w:val="2D7F664C"/>
    <w:rsid w:val="2D7F7FD3"/>
    <w:rsid w:val="2D8D3ECA"/>
    <w:rsid w:val="2DB31B82"/>
    <w:rsid w:val="2DBA2521"/>
    <w:rsid w:val="2DC21DC5"/>
    <w:rsid w:val="2DDF1CC5"/>
    <w:rsid w:val="2DE007D6"/>
    <w:rsid w:val="2DE2DC23"/>
    <w:rsid w:val="2DEAA3B8"/>
    <w:rsid w:val="2DEE9270"/>
    <w:rsid w:val="2DEF7941"/>
    <w:rsid w:val="2DEFFF35"/>
    <w:rsid w:val="2DF06253"/>
    <w:rsid w:val="2DF72F71"/>
    <w:rsid w:val="2DF7D2C1"/>
    <w:rsid w:val="2DFC9778"/>
    <w:rsid w:val="2DFF508F"/>
    <w:rsid w:val="2E163EBF"/>
    <w:rsid w:val="2E19750B"/>
    <w:rsid w:val="2E271C28"/>
    <w:rsid w:val="2E277E7A"/>
    <w:rsid w:val="2E378E8C"/>
    <w:rsid w:val="2E3E706B"/>
    <w:rsid w:val="2E494294"/>
    <w:rsid w:val="2E4C5B33"/>
    <w:rsid w:val="2E5F1962"/>
    <w:rsid w:val="2E730420"/>
    <w:rsid w:val="2E8E1CA7"/>
    <w:rsid w:val="2E99E7EF"/>
    <w:rsid w:val="2E9D1EEA"/>
    <w:rsid w:val="2EBA48EE"/>
    <w:rsid w:val="2EBDCA54"/>
    <w:rsid w:val="2EBEA848"/>
    <w:rsid w:val="2EBFB45C"/>
    <w:rsid w:val="2EC639EA"/>
    <w:rsid w:val="2EC76F67"/>
    <w:rsid w:val="2ECB2EFB"/>
    <w:rsid w:val="2ED3749B"/>
    <w:rsid w:val="2EE87609"/>
    <w:rsid w:val="2EEFA07B"/>
    <w:rsid w:val="2EFD073B"/>
    <w:rsid w:val="2EFF1968"/>
    <w:rsid w:val="2EFF3D22"/>
    <w:rsid w:val="2EFFCFBF"/>
    <w:rsid w:val="2F2DE48C"/>
    <w:rsid w:val="2F2FBA6E"/>
    <w:rsid w:val="2F35893F"/>
    <w:rsid w:val="2F3779F2"/>
    <w:rsid w:val="2F37C0D4"/>
    <w:rsid w:val="2F3C1703"/>
    <w:rsid w:val="2F3D17F4"/>
    <w:rsid w:val="2F3F31AA"/>
    <w:rsid w:val="2F4795EF"/>
    <w:rsid w:val="2F4B3BEC"/>
    <w:rsid w:val="2F5646E7"/>
    <w:rsid w:val="2F5990C5"/>
    <w:rsid w:val="2F5CDE46"/>
    <w:rsid w:val="2F5D504F"/>
    <w:rsid w:val="2F5E5DFC"/>
    <w:rsid w:val="2F5F7F56"/>
    <w:rsid w:val="2F5FDBFE"/>
    <w:rsid w:val="2F7547CF"/>
    <w:rsid w:val="2F7D037B"/>
    <w:rsid w:val="2F7D63BD"/>
    <w:rsid w:val="2F8BD774"/>
    <w:rsid w:val="2FAD3C3C"/>
    <w:rsid w:val="2FADB68B"/>
    <w:rsid w:val="2FAEBB2A"/>
    <w:rsid w:val="2FB15C4D"/>
    <w:rsid w:val="2FB2B2C1"/>
    <w:rsid w:val="2FBB6773"/>
    <w:rsid w:val="2FBF1CF0"/>
    <w:rsid w:val="2FBF7293"/>
    <w:rsid w:val="2FCF0523"/>
    <w:rsid w:val="2FD162F0"/>
    <w:rsid w:val="2FD9BDEF"/>
    <w:rsid w:val="2FDBC95F"/>
    <w:rsid w:val="2FDC7220"/>
    <w:rsid w:val="2FDF5AE0"/>
    <w:rsid w:val="2FDFF105"/>
    <w:rsid w:val="2FE35117"/>
    <w:rsid w:val="2FE79510"/>
    <w:rsid w:val="2FE9188B"/>
    <w:rsid w:val="2FEB0A82"/>
    <w:rsid w:val="2FEF864A"/>
    <w:rsid w:val="2FF38027"/>
    <w:rsid w:val="2FF75DEF"/>
    <w:rsid w:val="2FF79B02"/>
    <w:rsid w:val="2FFB39D9"/>
    <w:rsid w:val="2FFBC84F"/>
    <w:rsid w:val="2FFBDF3A"/>
    <w:rsid w:val="2FFC0C15"/>
    <w:rsid w:val="2FFE645F"/>
    <w:rsid w:val="2FFEBEA2"/>
    <w:rsid w:val="2FFF2969"/>
    <w:rsid w:val="2FFF625C"/>
    <w:rsid w:val="2FFF67D8"/>
    <w:rsid w:val="2FFF7AFF"/>
    <w:rsid w:val="2FFF7E2B"/>
    <w:rsid w:val="307A24E3"/>
    <w:rsid w:val="308B0B94"/>
    <w:rsid w:val="3098505F"/>
    <w:rsid w:val="30B579BF"/>
    <w:rsid w:val="30EDF24F"/>
    <w:rsid w:val="30F57DBC"/>
    <w:rsid w:val="30F76017"/>
    <w:rsid w:val="30FC9F85"/>
    <w:rsid w:val="311E37B6"/>
    <w:rsid w:val="31230DCD"/>
    <w:rsid w:val="317AD103"/>
    <w:rsid w:val="317F7A9E"/>
    <w:rsid w:val="31857392"/>
    <w:rsid w:val="31A30E4F"/>
    <w:rsid w:val="31D72B22"/>
    <w:rsid w:val="31DE2F46"/>
    <w:rsid w:val="31FB106C"/>
    <w:rsid w:val="31FF142C"/>
    <w:rsid w:val="323F3376"/>
    <w:rsid w:val="327F0B94"/>
    <w:rsid w:val="328A545D"/>
    <w:rsid w:val="32B55A55"/>
    <w:rsid w:val="32BB6DE3"/>
    <w:rsid w:val="32BB79DC"/>
    <w:rsid w:val="32C263C3"/>
    <w:rsid w:val="32D22AAA"/>
    <w:rsid w:val="32D85BE7"/>
    <w:rsid w:val="32FB43C7"/>
    <w:rsid w:val="32FEDF03"/>
    <w:rsid w:val="331B82D6"/>
    <w:rsid w:val="3327321E"/>
    <w:rsid w:val="333E55C8"/>
    <w:rsid w:val="3357EE88"/>
    <w:rsid w:val="33773FF5"/>
    <w:rsid w:val="33839A27"/>
    <w:rsid w:val="338EF85E"/>
    <w:rsid w:val="339CD08E"/>
    <w:rsid w:val="33AB2DA5"/>
    <w:rsid w:val="33AFBF1F"/>
    <w:rsid w:val="33BEB829"/>
    <w:rsid w:val="33BF42A3"/>
    <w:rsid w:val="33BFEA6B"/>
    <w:rsid w:val="33C61EE3"/>
    <w:rsid w:val="33CF53EC"/>
    <w:rsid w:val="33D6526B"/>
    <w:rsid w:val="33D73B69"/>
    <w:rsid w:val="33E12879"/>
    <w:rsid w:val="33E7C4FF"/>
    <w:rsid w:val="33E7FC8A"/>
    <w:rsid w:val="33EA5BD2"/>
    <w:rsid w:val="33EB9E30"/>
    <w:rsid w:val="33EC7B36"/>
    <w:rsid w:val="33EDAA74"/>
    <w:rsid w:val="33EFF2DD"/>
    <w:rsid w:val="33FA5A2D"/>
    <w:rsid w:val="33FA6F1F"/>
    <w:rsid w:val="33FB1627"/>
    <w:rsid w:val="33FB40D4"/>
    <w:rsid w:val="33FBF53D"/>
    <w:rsid w:val="33FCEF00"/>
    <w:rsid w:val="33FE8E35"/>
    <w:rsid w:val="33FF3BC5"/>
    <w:rsid w:val="33FF763D"/>
    <w:rsid w:val="33FFD318"/>
    <w:rsid w:val="341449FD"/>
    <w:rsid w:val="341D5FA7"/>
    <w:rsid w:val="34452E08"/>
    <w:rsid w:val="34796F56"/>
    <w:rsid w:val="34B2E99F"/>
    <w:rsid w:val="34BC56E8"/>
    <w:rsid w:val="34BFA5F2"/>
    <w:rsid w:val="34C0D3F0"/>
    <w:rsid w:val="34C226AB"/>
    <w:rsid w:val="34D38FF2"/>
    <w:rsid w:val="34D77869"/>
    <w:rsid w:val="34F1D15D"/>
    <w:rsid w:val="34F3AC7C"/>
    <w:rsid w:val="34FB5E08"/>
    <w:rsid w:val="34FB952B"/>
    <w:rsid w:val="34FBEC2D"/>
    <w:rsid w:val="350C3926"/>
    <w:rsid w:val="350FCFF8"/>
    <w:rsid w:val="35123632"/>
    <w:rsid w:val="351C000D"/>
    <w:rsid w:val="35243365"/>
    <w:rsid w:val="35270760"/>
    <w:rsid w:val="352F6B1A"/>
    <w:rsid w:val="353F1F4D"/>
    <w:rsid w:val="355B89B1"/>
    <w:rsid w:val="355FC29F"/>
    <w:rsid w:val="3567C773"/>
    <w:rsid w:val="357FCAF7"/>
    <w:rsid w:val="358F9D21"/>
    <w:rsid w:val="3599C312"/>
    <w:rsid w:val="359E8597"/>
    <w:rsid w:val="35AB75E3"/>
    <w:rsid w:val="35AB82DA"/>
    <w:rsid w:val="35AD5109"/>
    <w:rsid w:val="35B77331"/>
    <w:rsid w:val="35BB6F90"/>
    <w:rsid w:val="35BF47F0"/>
    <w:rsid w:val="35BF6618"/>
    <w:rsid w:val="35BFA385"/>
    <w:rsid w:val="35C3492C"/>
    <w:rsid w:val="35C67E70"/>
    <w:rsid w:val="35E825E5"/>
    <w:rsid w:val="35EA2086"/>
    <w:rsid w:val="35EB56CB"/>
    <w:rsid w:val="35EFC420"/>
    <w:rsid w:val="35F2225B"/>
    <w:rsid w:val="35F3B9DB"/>
    <w:rsid w:val="35F40F8A"/>
    <w:rsid w:val="35F5616F"/>
    <w:rsid w:val="35F72828"/>
    <w:rsid w:val="35F767BF"/>
    <w:rsid w:val="35F7E306"/>
    <w:rsid w:val="35F7F987"/>
    <w:rsid w:val="35FA263A"/>
    <w:rsid w:val="35FD6950"/>
    <w:rsid w:val="35FDE517"/>
    <w:rsid w:val="35FF5879"/>
    <w:rsid w:val="35FF95C6"/>
    <w:rsid w:val="35FFEE71"/>
    <w:rsid w:val="360C62D3"/>
    <w:rsid w:val="361A9B9E"/>
    <w:rsid w:val="36201D7F"/>
    <w:rsid w:val="3647730B"/>
    <w:rsid w:val="366F2C29"/>
    <w:rsid w:val="36774E73"/>
    <w:rsid w:val="367D2D2D"/>
    <w:rsid w:val="367ECB35"/>
    <w:rsid w:val="36A007CA"/>
    <w:rsid w:val="36AD44EE"/>
    <w:rsid w:val="36B67FED"/>
    <w:rsid w:val="36BE9DDB"/>
    <w:rsid w:val="36C94A2A"/>
    <w:rsid w:val="36C9D008"/>
    <w:rsid w:val="36CD5D8E"/>
    <w:rsid w:val="36DBB921"/>
    <w:rsid w:val="36DC4D46"/>
    <w:rsid w:val="36DD233D"/>
    <w:rsid w:val="36DF4122"/>
    <w:rsid w:val="36E7EDD8"/>
    <w:rsid w:val="36EB45B7"/>
    <w:rsid w:val="36EFFEA7"/>
    <w:rsid w:val="36F70B44"/>
    <w:rsid w:val="36FA140F"/>
    <w:rsid w:val="36FC9F96"/>
    <w:rsid w:val="36FF10CB"/>
    <w:rsid w:val="36FF4C1D"/>
    <w:rsid w:val="36FF8909"/>
    <w:rsid w:val="36FFA348"/>
    <w:rsid w:val="370B4C6F"/>
    <w:rsid w:val="370F460E"/>
    <w:rsid w:val="3717F3BB"/>
    <w:rsid w:val="37191C21"/>
    <w:rsid w:val="37296A11"/>
    <w:rsid w:val="373ACBC7"/>
    <w:rsid w:val="3744384B"/>
    <w:rsid w:val="374B6987"/>
    <w:rsid w:val="3759BDD1"/>
    <w:rsid w:val="3776F317"/>
    <w:rsid w:val="3777D1A8"/>
    <w:rsid w:val="377A7467"/>
    <w:rsid w:val="377B77EF"/>
    <w:rsid w:val="377D3084"/>
    <w:rsid w:val="377F1378"/>
    <w:rsid w:val="377F6A4D"/>
    <w:rsid w:val="377F9D01"/>
    <w:rsid w:val="37873738"/>
    <w:rsid w:val="378C0D4E"/>
    <w:rsid w:val="379D631A"/>
    <w:rsid w:val="37A92DDE"/>
    <w:rsid w:val="37ADD44B"/>
    <w:rsid w:val="37ADD8D5"/>
    <w:rsid w:val="37AE86A9"/>
    <w:rsid w:val="37AFF490"/>
    <w:rsid w:val="37B348EE"/>
    <w:rsid w:val="37B409D1"/>
    <w:rsid w:val="37B564F7"/>
    <w:rsid w:val="37B7D931"/>
    <w:rsid w:val="37B9420D"/>
    <w:rsid w:val="37BDF474"/>
    <w:rsid w:val="37BE32FB"/>
    <w:rsid w:val="37BF8ABB"/>
    <w:rsid w:val="37BF99DC"/>
    <w:rsid w:val="37BFD66D"/>
    <w:rsid w:val="37BFE4F0"/>
    <w:rsid w:val="37CE75B8"/>
    <w:rsid w:val="37CF5416"/>
    <w:rsid w:val="37CFC859"/>
    <w:rsid w:val="37D0DFEB"/>
    <w:rsid w:val="37D3C33B"/>
    <w:rsid w:val="37D5424E"/>
    <w:rsid w:val="37D78639"/>
    <w:rsid w:val="37D798AB"/>
    <w:rsid w:val="37DC694A"/>
    <w:rsid w:val="37DC7F1F"/>
    <w:rsid w:val="37DD93E3"/>
    <w:rsid w:val="37DEB270"/>
    <w:rsid w:val="37DEF172"/>
    <w:rsid w:val="37DF4A91"/>
    <w:rsid w:val="37E7422C"/>
    <w:rsid w:val="37EDA654"/>
    <w:rsid w:val="37EF1C1B"/>
    <w:rsid w:val="37EF2EB7"/>
    <w:rsid w:val="37EFA152"/>
    <w:rsid w:val="37EFC57D"/>
    <w:rsid w:val="37F12874"/>
    <w:rsid w:val="37F352F3"/>
    <w:rsid w:val="37F39B59"/>
    <w:rsid w:val="37F53EA6"/>
    <w:rsid w:val="37F62007"/>
    <w:rsid w:val="37F6B3D0"/>
    <w:rsid w:val="37F70EC7"/>
    <w:rsid w:val="37F7522E"/>
    <w:rsid w:val="37FAF089"/>
    <w:rsid w:val="37FB9B8A"/>
    <w:rsid w:val="37FBFD10"/>
    <w:rsid w:val="37FBFDC5"/>
    <w:rsid w:val="37FD3F0A"/>
    <w:rsid w:val="37FD976A"/>
    <w:rsid w:val="37FEFEE3"/>
    <w:rsid w:val="37FF4F24"/>
    <w:rsid w:val="37FF5623"/>
    <w:rsid w:val="37FF84DD"/>
    <w:rsid w:val="37FF969C"/>
    <w:rsid w:val="37FFAA3D"/>
    <w:rsid w:val="37FFAD32"/>
    <w:rsid w:val="383D1754"/>
    <w:rsid w:val="383F5315"/>
    <w:rsid w:val="38471845"/>
    <w:rsid w:val="38995E18"/>
    <w:rsid w:val="38BD38B5"/>
    <w:rsid w:val="38BE1610"/>
    <w:rsid w:val="38F207EC"/>
    <w:rsid w:val="38F7C6C6"/>
    <w:rsid w:val="38FC03DC"/>
    <w:rsid w:val="38FD82DC"/>
    <w:rsid w:val="38FF40BF"/>
    <w:rsid w:val="38FF8F2E"/>
    <w:rsid w:val="392456E2"/>
    <w:rsid w:val="39396CB4"/>
    <w:rsid w:val="395D08FA"/>
    <w:rsid w:val="39736669"/>
    <w:rsid w:val="3975EE99"/>
    <w:rsid w:val="397F6DBC"/>
    <w:rsid w:val="39A77FF6"/>
    <w:rsid w:val="39AA31F9"/>
    <w:rsid w:val="39AA8899"/>
    <w:rsid w:val="39AFEF28"/>
    <w:rsid w:val="39B70683"/>
    <w:rsid w:val="39BC591B"/>
    <w:rsid w:val="39BCB0D2"/>
    <w:rsid w:val="39BE6C5A"/>
    <w:rsid w:val="39DF78DB"/>
    <w:rsid w:val="39DFBFC5"/>
    <w:rsid w:val="39EB928B"/>
    <w:rsid w:val="39F4E1B3"/>
    <w:rsid w:val="39F71049"/>
    <w:rsid w:val="39FA4695"/>
    <w:rsid w:val="39FB7886"/>
    <w:rsid w:val="39FCF68D"/>
    <w:rsid w:val="39FD2C46"/>
    <w:rsid w:val="39FD4439"/>
    <w:rsid w:val="39FD5C7B"/>
    <w:rsid w:val="39FDCDEE"/>
    <w:rsid w:val="39FDD054"/>
    <w:rsid w:val="39FF8C82"/>
    <w:rsid w:val="39FFC483"/>
    <w:rsid w:val="3A273C49"/>
    <w:rsid w:val="3A3731B2"/>
    <w:rsid w:val="3A3A0F35"/>
    <w:rsid w:val="3A52002D"/>
    <w:rsid w:val="3A5D04CB"/>
    <w:rsid w:val="3A683CF4"/>
    <w:rsid w:val="3A7AA821"/>
    <w:rsid w:val="3A7D09C8"/>
    <w:rsid w:val="3A7D40C3"/>
    <w:rsid w:val="3A7E52C6"/>
    <w:rsid w:val="3A7ED019"/>
    <w:rsid w:val="3A7F8BB7"/>
    <w:rsid w:val="3A914FF9"/>
    <w:rsid w:val="3A930FD2"/>
    <w:rsid w:val="3A9B5E78"/>
    <w:rsid w:val="3A9D06FE"/>
    <w:rsid w:val="3AAF33F1"/>
    <w:rsid w:val="3ABB3B0A"/>
    <w:rsid w:val="3ABF8CC0"/>
    <w:rsid w:val="3AC16F61"/>
    <w:rsid w:val="3AC3965A"/>
    <w:rsid w:val="3ACE9E02"/>
    <w:rsid w:val="3ACF7988"/>
    <w:rsid w:val="3ACF920B"/>
    <w:rsid w:val="3AD62A0C"/>
    <w:rsid w:val="3AE31FD5"/>
    <w:rsid w:val="3AE71833"/>
    <w:rsid w:val="3AED08EA"/>
    <w:rsid w:val="3AEFD431"/>
    <w:rsid w:val="3AF4A09E"/>
    <w:rsid w:val="3AF77AC8"/>
    <w:rsid w:val="3AF8876E"/>
    <w:rsid w:val="3AFAA005"/>
    <w:rsid w:val="3AFF15FB"/>
    <w:rsid w:val="3AFF9D9F"/>
    <w:rsid w:val="3B07411C"/>
    <w:rsid w:val="3B0F4170"/>
    <w:rsid w:val="3B1709C6"/>
    <w:rsid w:val="3B1D063B"/>
    <w:rsid w:val="3B2F73EB"/>
    <w:rsid w:val="3B39249E"/>
    <w:rsid w:val="3B39B7DA"/>
    <w:rsid w:val="3B3B6D13"/>
    <w:rsid w:val="3B3FF9A5"/>
    <w:rsid w:val="3B5BEA37"/>
    <w:rsid w:val="3B5F28F5"/>
    <w:rsid w:val="3B6B9776"/>
    <w:rsid w:val="3B755230"/>
    <w:rsid w:val="3B77AC19"/>
    <w:rsid w:val="3B7B35B3"/>
    <w:rsid w:val="3B7B517E"/>
    <w:rsid w:val="3B7BE9BC"/>
    <w:rsid w:val="3B7D732B"/>
    <w:rsid w:val="3B7F22E4"/>
    <w:rsid w:val="3B8C57C0"/>
    <w:rsid w:val="3B90705F"/>
    <w:rsid w:val="3B959967"/>
    <w:rsid w:val="3B9B7FE9"/>
    <w:rsid w:val="3BA9F048"/>
    <w:rsid w:val="3BAB90A3"/>
    <w:rsid w:val="3BAF1011"/>
    <w:rsid w:val="3BB12FBB"/>
    <w:rsid w:val="3BBA117E"/>
    <w:rsid w:val="3BBB5CDD"/>
    <w:rsid w:val="3BBE596D"/>
    <w:rsid w:val="3BBF59A5"/>
    <w:rsid w:val="3BCCE031"/>
    <w:rsid w:val="3BD76C12"/>
    <w:rsid w:val="3BDB32EB"/>
    <w:rsid w:val="3BDB6B0E"/>
    <w:rsid w:val="3BDC3B53"/>
    <w:rsid w:val="3BDDDBB2"/>
    <w:rsid w:val="3BDE7A56"/>
    <w:rsid w:val="3BDEC616"/>
    <w:rsid w:val="3BDF15ED"/>
    <w:rsid w:val="3BDF3307"/>
    <w:rsid w:val="3BDFA083"/>
    <w:rsid w:val="3BDFF9EA"/>
    <w:rsid w:val="3BE5435A"/>
    <w:rsid w:val="3BE70C49"/>
    <w:rsid w:val="3BE74D0A"/>
    <w:rsid w:val="3BE94CDB"/>
    <w:rsid w:val="3BE95AB0"/>
    <w:rsid w:val="3BEAAEA9"/>
    <w:rsid w:val="3BEB0341"/>
    <w:rsid w:val="3BEB1F3D"/>
    <w:rsid w:val="3BED47E0"/>
    <w:rsid w:val="3BEF03CA"/>
    <w:rsid w:val="3BEFF657"/>
    <w:rsid w:val="3BF7508A"/>
    <w:rsid w:val="3BF77FD7"/>
    <w:rsid w:val="3BFA1385"/>
    <w:rsid w:val="3BFAE6CB"/>
    <w:rsid w:val="3BFC5990"/>
    <w:rsid w:val="3BFD92A4"/>
    <w:rsid w:val="3BFE47EE"/>
    <w:rsid w:val="3BFEE3A1"/>
    <w:rsid w:val="3BFF087D"/>
    <w:rsid w:val="3BFF41E4"/>
    <w:rsid w:val="3BFF7298"/>
    <w:rsid w:val="3BFFE12A"/>
    <w:rsid w:val="3BFFE265"/>
    <w:rsid w:val="3C1DE4C0"/>
    <w:rsid w:val="3C2B6D87"/>
    <w:rsid w:val="3C2D0D52"/>
    <w:rsid w:val="3C3BFBDA"/>
    <w:rsid w:val="3C3F0A85"/>
    <w:rsid w:val="3C413397"/>
    <w:rsid w:val="3C5F03CD"/>
    <w:rsid w:val="3C5F530C"/>
    <w:rsid w:val="3C63D3CE"/>
    <w:rsid w:val="3C796172"/>
    <w:rsid w:val="3C7F269F"/>
    <w:rsid w:val="3C865710"/>
    <w:rsid w:val="3C9A19E8"/>
    <w:rsid w:val="3C9A3768"/>
    <w:rsid w:val="3CBFC84F"/>
    <w:rsid w:val="3CDB5685"/>
    <w:rsid w:val="3CDF0BB4"/>
    <w:rsid w:val="3CDF2468"/>
    <w:rsid w:val="3CDF8BE0"/>
    <w:rsid w:val="3CE3CA33"/>
    <w:rsid w:val="3CE61A96"/>
    <w:rsid w:val="3CEF1569"/>
    <w:rsid w:val="3CEF3D8B"/>
    <w:rsid w:val="3CEFABEB"/>
    <w:rsid w:val="3CF6B6D2"/>
    <w:rsid w:val="3CF76394"/>
    <w:rsid w:val="3CF76B32"/>
    <w:rsid w:val="3CF79243"/>
    <w:rsid w:val="3CF9B348"/>
    <w:rsid w:val="3CFA5415"/>
    <w:rsid w:val="3CFEACE7"/>
    <w:rsid w:val="3CFF05CD"/>
    <w:rsid w:val="3CFF222D"/>
    <w:rsid w:val="3CFF42D2"/>
    <w:rsid w:val="3D1E81B5"/>
    <w:rsid w:val="3D324146"/>
    <w:rsid w:val="3D3F55B3"/>
    <w:rsid w:val="3D465E1B"/>
    <w:rsid w:val="3D474095"/>
    <w:rsid w:val="3D4D3BA2"/>
    <w:rsid w:val="3D4F0744"/>
    <w:rsid w:val="3D5B369C"/>
    <w:rsid w:val="3D5DEFC6"/>
    <w:rsid w:val="3D5E2CE4"/>
    <w:rsid w:val="3D5EBBE2"/>
    <w:rsid w:val="3D6A79F0"/>
    <w:rsid w:val="3D6C930A"/>
    <w:rsid w:val="3D6D1D7C"/>
    <w:rsid w:val="3D72323C"/>
    <w:rsid w:val="3D752FE2"/>
    <w:rsid w:val="3D77C6AA"/>
    <w:rsid w:val="3D7D72B1"/>
    <w:rsid w:val="3D7D7E3D"/>
    <w:rsid w:val="3D7E6F77"/>
    <w:rsid w:val="3D7ED64E"/>
    <w:rsid w:val="3D7F37E6"/>
    <w:rsid w:val="3D7FA214"/>
    <w:rsid w:val="3D7FEE25"/>
    <w:rsid w:val="3D842BF3"/>
    <w:rsid w:val="3D8E51AA"/>
    <w:rsid w:val="3D9227EF"/>
    <w:rsid w:val="3D979BDA"/>
    <w:rsid w:val="3D9D0E8C"/>
    <w:rsid w:val="3D9FFD8F"/>
    <w:rsid w:val="3DA2B131"/>
    <w:rsid w:val="3DAD02C6"/>
    <w:rsid w:val="3DB15CF2"/>
    <w:rsid w:val="3DB30A6E"/>
    <w:rsid w:val="3DB6DFB2"/>
    <w:rsid w:val="3DB71619"/>
    <w:rsid w:val="3DBB34EE"/>
    <w:rsid w:val="3DBC4B02"/>
    <w:rsid w:val="3DBCE589"/>
    <w:rsid w:val="3DBD2E76"/>
    <w:rsid w:val="3DBDDAD7"/>
    <w:rsid w:val="3DBF8898"/>
    <w:rsid w:val="3DBFABAC"/>
    <w:rsid w:val="3DC60CB3"/>
    <w:rsid w:val="3DC7B2B6"/>
    <w:rsid w:val="3DCDFF3D"/>
    <w:rsid w:val="3DD7B51A"/>
    <w:rsid w:val="3DD9DD31"/>
    <w:rsid w:val="3DDC223E"/>
    <w:rsid w:val="3DDF4840"/>
    <w:rsid w:val="3DDF6726"/>
    <w:rsid w:val="3DDFA0B6"/>
    <w:rsid w:val="3DDFA2EE"/>
    <w:rsid w:val="3DE39C7A"/>
    <w:rsid w:val="3DE511B8"/>
    <w:rsid w:val="3DE7262E"/>
    <w:rsid w:val="3DEBFC45"/>
    <w:rsid w:val="3DED9160"/>
    <w:rsid w:val="3DEE56C9"/>
    <w:rsid w:val="3DEF04FC"/>
    <w:rsid w:val="3DF32373"/>
    <w:rsid w:val="3DF3529D"/>
    <w:rsid w:val="3DF509DF"/>
    <w:rsid w:val="3DF776C3"/>
    <w:rsid w:val="3DF7934F"/>
    <w:rsid w:val="3DF7C744"/>
    <w:rsid w:val="3DF7D4EE"/>
    <w:rsid w:val="3DF7E218"/>
    <w:rsid w:val="3DF7EF21"/>
    <w:rsid w:val="3DFAF36D"/>
    <w:rsid w:val="3DFB5FC6"/>
    <w:rsid w:val="3DFB843F"/>
    <w:rsid w:val="3DFBB320"/>
    <w:rsid w:val="3DFC84FC"/>
    <w:rsid w:val="3DFDFA04"/>
    <w:rsid w:val="3DFE57C5"/>
    <w:rsid w:val="3DFED3DB"/>
    <w:rsid w:val="3DFEDB61"/>
    <w:rsid w:val="3DFF2528"/>
    <w:rsid w:val="3DFF2B15"/>
    <w:rsid w:val="3DFF2C82"/>
    <w:rsid w:val="3DFF2D60"/>
    <w:rsid w:val="3DFF3625"/>
    <w:rsid w:val="3DFF6789"/>
    <w:rsid w:val="3DFFB5F9"/>
    <w:rsid w:val="3DFFDC8F"/>
    <w:rsid w:val="3DFFDE78"/>
    <w:rsid w:val="3DFFEEEC"/>
    <w:rsid w:val="3E3A1F1D"/>
    <w:rsid w:val="3E3B75E8"/>
    <w:rsid w:val="3E3FA0F4"/>
    <w:rsid w:val="3E66679D"/>
    <w:rsid w:val="3E7964D0"/>
    <w:rsid w:val="3E797114"/>
    <w:rsid w:val="3E7A2248"/>
    <w:rsid w:val="3E7FBF37"/>
    <w:rsid w:val="3E7FCA92"/>
    <w:rsid w:val="3E921340"/>
    <w:rsid w:val="3E97B307"/>
    <w:rsid w:val="3EAB0813"/>
    <w:rsid w:val="3EAC0001"/>
    <w:rsid w:val="3EAC5158"/>
    <w:rsid w:val="3EB2553E"/>
    <w:rsid w:val="3EB355FB"/>
    <w:rsid w:val="3EB45485"/>
    <w:rsid w:val="3EB4BA0A"/>
    <w:rsid w:val="3EBE82ED"/>
    <w:rsid w:val="3EBF3B67"/>
    <w:rsid w:val="3EBFE43D"/>
    <w:rsid w:val="3ECB178B"/>
    <w:rsid w:val="3ECBC310"/>
    <w:rsid w:val="3ECF0B09"/>
    <w:rsid w:val="3ECF6942"/>
    <w:rsid w:val="3ED69704"/>
    <w:rsid w:val="3ED75D7B"/>
    <w:rsid w:val="3ED90F18"/>
    <w:rsid w:val="3ED96CCA"/>
    <w:rsid w:val="3EDA23B0"/>
    <w:rsid w:val="3EDAF8E1"/>
    <w:rsid w:val="3EDF49C9"/>
    <w:rsid w:val="3EDF73B1"/>
    <w:rsid w:val="3EDFB39A"/>
    <w:rsid w:val="3EE3E7CD"/>
    <w:rsid w:val="3EE6EE28"/>
    <w:rsid w:val="3EE7A404"/>
    <w:rsid w:val="3EED31AE"/>
    <w:rsid w:val="3EED5155"/>
    <w:rsid w:val="3EEEF887"/>
    <w:rsid w:val="3EEF1991"/>
    <w:rsid w:val="3EEF5FAB"/>
    <w:rsid w:val="3EEFAEE9"/>
    <w:rsid w:val="3EF35D05"/>
    <w:rsid w:val="3EF36586"/>
    <w:rsid w:val="3EF38D34"/>
    <w:rsid w:val="3EF3CA26"/>
    <w:rsid w:val="3EF4A119"/>
    <w:rsid w:val="3EFBB0A9"/>
    <w:rsid w:val="3EFC046B"/>
    <w:rsid w:val="3EFE1DBD"/>
    <w:rsid w:val="3EFF1225"/>
    <w:rsid w:val="3EFF1478"/>
    <w:rsid w:val="3EFF39C1"/>
    <w:rsid w:val="3EFF4328"/>
    <w:rsid w:val="3EFF4A1C"/>
    <w:rsid w:val="3F179BD4"/>
    <w:rsid w:val="3F17FD57"/>
    <w:rsid w:val="3F1E3FC4"/>
    <w:rsid w:val="3F1F9750"/>
    <w:rsid w:val="3F1FE5F8"/>
    <w:rsid w:val="3F205941"/>
    <w:rsid w:val="3F23D2B3"/>
    <w:rsid w:val="3F2521B4"/>
    <w:rsid w:val="3F275F2C"/>
    <w:rsid w:val="3F2EA501"/>
    <w:rsid w:val="3F2FBC60"/>
    <w:rsid w:val="3F32547F"/>
    <w:rsid w:val="3F37AB6D"/>
    <w:rsid w:val="3F3E1DA0"/>
    <w:rsid w:val="3F3F402A"/>
    <w:rsid w:val="3F3FA40C"/>
    <w:rsid w:val="3F485EA2"/>
    <w:rsid w:val="3F4940F4"/>
    <w:rsid w:val="3F4B9FDC"/>
    <w:rsid w:val="3F4F7234"/>
    <w:rsid w:val="3F579878"/>
    <w:rsid w:val="3F596329"/>
    <w:rsid w:val="3F5BC6B9"/>
    <w:rsid w:val="3F5E7B73"/>
    <w:rsid w:val="3F5F2994"/>
    <w:rsid w:val="3F5F4C88"/>
    <w:rsid w:val="3F5FC7FA"/>
    <w:rsid w:val="3F66A7C1"/>
    <w:rsid w:val="3F670478"/>
    <w:rsid w:val="3F671BBB"/>
    <w:rsid w:val="3F67D7BB"/>
    <w:rsid w:val="3F6E269B"/>
    <w:rsid w:val="3F6F05AB"/>
    <w:rsid w:val="3F6F3891"/>
    <w:rsid w:val="3F6F8E09"/>
    <w:rsid w:val="3F6FA40E"/>
    <w:rsid w:val="3F6FCFC1"/>
    <w:rsid w:val="3F73A89F"/>
    <w:rsid w:val="3F779248"/>
    <w:rsid w:val="3F7B1131"/>
    <w:rsid w:val="3F7BB636"/>
    <w:rsid w:val="3F7CA2D4"/>
    <w:rsid w:val="3F7D086E"/>
    <w:rsid w:val="3F7D744B"/>
    <w:rsid w:val="3F7DB635"/>
    <w:rsid w:val="3F7E2066"/>
    <w:rsid w:val="3F7E38EC"/>
    <w:rsid w:val="3F7F16BA"/>
    <w:rsid w:val="3F7F686C"/>
    <w:rsid w:val="3F7F7224"/>
    <w:rsid w:val="3F7FF28D"/>
    <w:rsid w:val="3F7FFA52"/>
    <w:rsid w:val="3F7FFF20"/>
    <w:rsid w:val="3F8F6FD8"/>
    <w:rsid w:val="3F910AB2"/>
    <w:rsid w:val="3F97619D"/>
    <w:rsid w:val="3F982986"/>
    <w:rsid w:val="3F99E23D"/>
    <w:rsid w:val="3F9B3054"/>
    <w:rsid w:val="3F9BA0AF"/>
    <w:rsid w:val="3F9D1D4A"/>
    <w:rsid w:val="3F9D299C"/>
    <w:rsid w:val="3F9F4F03"/>
    <w:rsid w:val="3F9F5F85"/>
    <w:rsid w:val="3F9F6046"/>
    <w:rsid w:val="3F9FDE6D"/>
    <w:rsid w:val="3FA82A2A"/>
    <w:rsid w:val="3FAD4522"/>
    <w:rsid w:val="3FAF0AB1"/>
    <w:rsid w:val="3FAFBAC2"/>
    <w:rsid w:val="3FB367A6"/>
    <w:rsid w:val="3FB3ADDD"/>
    <w:rsid w:val="3FB4B31F"/>
    <w:rsid w:val="3FB59010"/>
    <w:rsid w:val="3FB5EFA6"/>
    <w:rsid w:val="3FB66CEA"/>
    <w:rsid w:val="3FB79F87"/>
    <w:rsid w:val="3FB7C47C"/>
    <w:rsid w:val="3FBBAC0E"/>
    <w:rsid w:val="3FBD2ADE"/>
    <w:rsid w:val="3FBE5D23"/>
    <w:rsid w:val="3FBE7CB7"/>
    <w:rsid w:val="3FBF8EB1"/>
    <w:rsid w:val="3FBFA8FF"/>
    <w:rsid w:val="3FBFD220"/>
    <w:rsid w:val="3FBFD296"/>
    <w:rsid w:val="3FC7F59E"/>
    <w:rsid w:val="3FC87DDC"/>
    <w:rsid w:val="3FCBBB7F"/>
    <w:rsid w:val="3FCC262F"/>
    <w:rsid w:val="3FCF422F"/>
    <w:rsid w:val="3FCFB9A1"/>
    <w:rsid w:val="3FCFFB6E"/>
    <w:rsid w:val="3FD633BF"/>
    <w:rsid w:val="3FD72FFB"/>
    <w:rsid w:val="3FD739C8"/>
    <w:rsid w:val="3FD74E6D"/>
    <w:rsid w:val="3FD762B2"/>
    <w:rsid w:val="3FD7AD58"/>
    <w:rsid w:val="3FD7AE04"/>
    <w:rsid w:val="3FD7E847"/>
    <w:rsid w:val="3FD7EE7A"/>
    <w:rsid w:val="3FDB70A0"/>
    <w:rsid w:val="3FDE0C79"/>
    <w:rsid w:val="3FDE425E"/>
    <w:rsid w:val="3FDF4B7A"/>
    <w:rsid w:val="3FDF615F"/>
    <w:rsid w:val="3FDF6AC8"/>
    <w:rsid w:val="3FDFE1DD"/>
    <w:rsid w:val="3FDFE2C4"/>
    <w:rsid w:val="3FE339EC"/>
    <w:rsid w:val="3FE55711"/>
    <w:rsid w:val="3FE72321"/>
    <w:rsid w:val="3FE77751"/>
    <w:rsid w:val="3FE797DA"/>
    <w:rsid w:val="3FEBE888"/>
    <w:rsid w:val="3FEC430E"/>
    <w:rsid w:val="3FED6A62"/>
    <w:rsid w:val="3FED84F8"/>
    <w:rsid w:val="3FEDA374"/>
    <w:rsid w:val="3FEE0713"/>
    <w:rsid w:val="3FEF2165"/>
    <w:rsid w:val="3FEF5796"/>
    <w:rsid w:val="3FEF967A"/>
    <w:rsid w:val="3FEFA273"/>
    <w:rsid w:val="3FEFAA70"/>
    <w:rsid w:val="3FEFB582"/>
    <w:rsid w:val="3FEFB75C"/>
    <w:rsid w:val="3FEFC288"/>
    <w:rsid w:val="3FEFDEF0"/>
    <w:rsid w:val="3FF15D04"/>
    <w:rsid w:val="3FF346F4"/>
    <w:rsid w:val="3FF35094"/>
    <w:rsid w:val="3FF3724A"/>
    <w:rsid w:val="3FF5A366"/>
    <w:rsid w:val="3FF5AFB6"/>
    <w:rsid w:val="3FF5B355"/>
    <w:rsid w:val="3FF6AF31"/>
    <w:rsid w:val="3FF713AD"/>
    <w:rsid w:val="3FF74A37"/>
    <w:rsid w:val="3FF7A688"/>
    <w:rsid w:val="3FF7B6C3"/>
    <w:rsid w:val="3FF7D143"/>
    <w:rsid w:val="3FF7E3FE"/>
    <w:rsid w:val="3FF7EBEC"/>
    <w:rsid w:val="3FF8760D"/>
    <w:rsid w:val="3FF8C56C"/>
    <w:rsid w:val="3FF8D258"/>
    <w:rsid w:val="3FF8FA5E"/>
    <w:rsid w:val="3FF9DE99"/>
    <w:rsid w:val="3FFA527C"/>
    <w:rsid w:val="3FFA980E"/>
    <w:rsid w:val="3FFA9E69"/>
    <w:rsid w:val="3FFAAD8F"/>
    <w:rsid w:val="3FFADE6E"/>
    <w:rsid w:val="3FFAEDD0"/>
    <w:rsid w:val="3FFB0BCB"/>
    <w:rsid w:val="3FFB2F2A"/>
    <w:rsid w:val="3FFB3B73"/>
    <w:rsid w:val="3FFB3FBA"/>
    <w:rsid w:val="3FFB4DBD"/>
    <w:rsid w:val="3FFB711C"/>
    <w:rsid w:val="3FFB8DB5"/>
    <w:rsid w:val="3FFBC857"/>
    <w:rsid w:val="3FFC4024"/>
    <w:rsid w:val="3FFC57CB"/>
    <w:rsid w:val="3FFCC74D"/>
    <w:rsid w:val="3FFD0CA8"/>
    <w:rsid w:val="3FFD16B6"/>
    <w:rsid w:val="3FFD307E"/>
    <w:rsid w:val="3FFDBC24"/>
    <w:rsid w:val="3FFDF3DE"/>
    <w:rsid w:val="3FFDF910"/>
    <w:rsid w:val="3FFE1154"/>
    <w:rsid w:val="3FFE11BE"/>
    <w:rsid w:val="3FFE7CA6"/>
    <w:rsid w:val="3FFEBBA6"/>
    <w:rsid w:val="3FFF0790"/>
    <w:rsid w:val="3FFF11D7"/>
    <w:rsid w:val="3FFF11EF"/>
    <w:rsid w:val="3FFF1446"/>
    <w:rsid w:val="3FFF19BA"/>
    <w:rsid w:val="3FFF259D"/>
    <w:rsid w:val="3FFF322A"/>
    <w:rsid w:val="3FFF3BBC"/>
    <w:rsid w:val="3FFF417A"/>
    <w:rsid w:val="3FFF501D"/>
    <w:rsid w:val="3FFF54BF"/>
    <w:rsid w:val="3FFF5C1D"/>
    <w:rsid w:val="3FFF5DE3"/>
    <w:rsid w:val="3FFF6024"/>
    <w:rsid w:val="3FFF6DE7"/>
    <w:rsid w:val="3FFF76DC"/>
    <w:rsid w:val="3FFF7776"/>
    <w:rsid w:val="3FFF813D"/>
    <w:rsid w:val="3FFF97B4"/>
    <w:rsid w:val="3FFF997D"/>
    <w:rsid w:val="3FFFB070"/>
    <w:rsid w:val="3FFFB753"/>
    <w:rsid w:val="3FFFCF4D"/>
    <w:rsid w:val="3FFFD422"/>
    <w:rsid w:val="3FFFD8FA"/>
    <w:rsid w:val="3FFFF723"/>
    <w:rsid w:val="3FFFFA91"/>
    <w:rsid w:val="401E2E70"/>
    <w:rsid w:val="40273D0A"/>
    <w:rsid w:val="404E74E8"/>
    <w:rsid w:val="406B009A"/>
    <w:rsid w:val="410905BE"/>
    <w:rsid w:val="41410DFB"/>
    <w:rsid w:val="416B03AF"/>
    <w:rsid w:val="416F51C1"/>
    <w:rsid w:val="417116E0"/>
    <w:rsid w:val="41A575DC"/>
    <w:rsid w:val="41BD8300"/>
    <w:rsid w:val="41C37A62"/>
    <w:rsid w:val="41C757A4"/>
    <w:rsid w:val="41D91034"/>
    <w:rsid w:val="41DAF99D"/>
    <w:rsid w:val="421A1D78"/>
    <w:rsid w:val="424961B9"/>
    <w:rsid w:val="427FEEE5"/>
    <w:rsid w:val="42D57A4D"/>
    <w:rsid w:val="42DFED21"/>
    <w:rsid w:val="42E163F2"/>
    <w:rsid w:val="42E83C24"/>
    <w:rsid w:val="436D237B"/>
    <w:rsid w:val="436D4129"/>
    <w:rsid w:val="43790D20"/>
    <w:rsid w:val="437B7663"/>
    <w:rsid w:val="437FBFDA"/>
    <w:rsid w:val="43803E5D"/>
    <w:rsid w:val="438D657A"/>
    <w:rsid w:val="43A51B15"/>
    <w:rsid w:val="43AAA93F"/>
    <w:rsid w:val="43B4A3B0"/>
    <w:rsid w:val="43B6E527"/>
    <w:rsid w:val="43BC12B2"/>
    <w:rsid w:val="43BF46BE"/>
    <w:rsid w:val="43BFDA24"/>
    <w:rsid w:val="43DFDBEA"/>
    <w:rsid w:val="43EF0FE2"/>
    <w:rsid w:val="43EF4233"/>
    <w:rsid w:val="43FB2DFA"/>
    <w:rsid w:val="43FF65DD"/>
    <w:rsid w:val="442962A2"/>
    <w:rsid w:val="44307631"/>
    <w:rsid w:val="4447497A"/>
    <w:rsid w:val="44894F93"/>
    <w:rsid w:val="448B2AB9"/>
    <w:rsid w:val="448C5AFF"/>
    <w:rsid w:val="44F05012"/>
    <w:rsid w:val="44F56185"/>
    <w:rsid w:val="44F7AC68"/>
    <w:rsid w:val="45012D7B"/>
    <w:rsid w:val="45085EB8"/>
    <w:rsid w:val="450A60D4"/>
    <w:rsid w:val="45105EDB"/>
    <w:rsid w:val="45156827"/>
    <w:rsid w:val="4543F47E"/>
    <w:rsid w:val="455E658E"/>
    <w:rsid w:val="456C9A0F"/>
    <w:rsid w:val="45796DB6"/>
    <w:rsid w:val="457E9EB1"/>
    <w:rsid w:val="458B6AE9"/>
    <w:rsid w:val="45AA3413"/>
    <w:rsid w:val="45BB0D23"/>
    <w:rsid w:val="45DF0D94"/>
    <w:rsid w:val="45E32481"/>
    <w:rsid w:val="45EC03C2"/>
    <w:rsid w:val="45EC37E5"/>
    <w:rsid w:val="45F568D8"/>
    <w:rsid w:val="45F62187"/>
    <w:rsid w:val="45F7DDD4"/>
    <w:rsid w:val="45FDD80B"/>
    <w:rsid w:val="45FF3DC2"/>
    <w:rsid w:val="46236D21"/>
    <w:rsid w:val="465670F7"/>
    <w:rsid w:val="465F5FAB"/>
    <w:rsid w:val="46B362F7"/>
    <w:rsid w:val="46BCA3D9"/>
    <w:rsid w:val="46BD8AC1"/>
    <w:rsid w:val="46C73B51"/>
    <w:rsid w:val="46D6A53A"/>
    <w:rsid w:val="46D6BC0E"/>
    <w:rsid w:val="46D726FF"/>
    <w:rsid w:val="46DDB698"/>
    <w:rsid w:val="46EB2704"/>
    <w:rsid w:val="46FB034C"/>
    <w:rsid w:val="46FB81AF"/>
    <w:rsid w:val="46FD9E27"/>
    <w:rsid w:val="46FDB5CB"/>
    <w:rsid w:val="471D556B"/>
    <w:rsid w:val="472F4F6D"/>
    <w:rsid w:val="47451645"/>
    <w:rsid w:val="475D3F76"/>
    <w:rsid w:val="476B31AE"/>
    <w:rsid w:val="476D08DB"/>
    <w:rsid w:val="476E221E"/>
    <w:rsid w:val="476F03D5"/>
    <w:rsid w:val="477D1661"/>
    <w:rsid w:val="477F3CC6"/>
    <w:rsid w:val="4783216D"/>
    <w:rsid w:val="479336DE"/>
    <w:rsid w:val="4793C57E"/>
    <w:rsid w:val="479B1265"/>
    <w:rsid w:val="479DE4A7"/>
    <w:rsid w:val="47B290D4"/>
    <w:rsid w:val="47BE2A98"/>
    <w:rsid w:val="47BEE2D8"/>
    <w:rsid w:val="47CB4DB8"/>
    <w:rsid w:val="47CC4526"/>
    <w:rsid w:val="47CF3494"/>
    <w:rsid w:val="47D78B4D"/>
    <w:rsid w:val="47DBC006"/>
    <w:rsid w:val="47DC187E"/>
    <w:rsid w:val="47DD7AD0"/>
    <w:rsid w:val="47DE148A"/>
    <w:rsid w:val="47E349BA"/>
    <w:rsid w:val="47E7254A"/>
    <w:rsid w:val="47E726FC"/>
    <w:rsid w:val="47E9BAB7"/>
    <w:rsid w:val="47EF3A8E"/>
    <w:rsid w:val="47F03FCD"/>
    <w:rsid w:val="47F7A538"/>
    <w:rsid w:val="47FB169A"/>
    <w:rsid w:val="47FB631B"/>
    <w:rsid w:val="47FBCAEE"/>
    <w:rsid w:val="47FC3264"/>
    <w:rsid w:val="47FCF79B"/>
    <w:rsid w:val="47FE660C"/>
    <w:rsid w:val="47FE859A"/>
    <w:rsid w:val="47FFABC6"/>
    <w:rsid w:val="47FFD959"/>
    <w:rsid w:val="481C9930"/>
    <w:rsid w:val="48284AC3"/>
    <w:rsid w:val="486E697A"/>
    <w:rsid w:val="48A71E8C"/>
    <w:rsid w:val="48B71199"/>
    <w:rsid w:val="48E00EFA"/>
    <w:rsid w:val="48E629B4"/>
    <w:rsid w:val="48F91D3D"/>
    <w:rsid w:val="48FDBFB0"/>
    <w:rsid w:val="49107A31"/>
    <w:rsid w:val="49296D45"/>
    <w:rsid w:val="494A4BBD"/>
    <w:rsid w:val="4970227E"/>
    <w:rsid w:val="497E618E"/>
    <w:rsid w:val="497F291A"/>
    <w:rsid w:val="499FAC67"/>
    <w:rsid w:val="49B22896"/>
    <w:rsid w:val="49B341B6"/>
    <w:rsid w:val="49BA174B"/>
    <w:rsid w:val="49BB2D16"/>
    <w:rsid w:val="49BC196E"/>
    <w:rsid w:val="49BE814B"/>
    <w:rsid w:val="49C33683"/>
    <w:rsid w:val="49CA4084"/>
    <w:rsid w:val="49CF6D92"/>
    <w:rsid w:val="49E7029A"/>
    <w:rsid w:val="49FE1B98"/>
    <w:rsid w:val="4A007AA5"/>
    <w:rsid w:val="4A421E6C"/>
    <w:rsid w:val="4A54394D"/>
    <w:rsid w:val="4A5B2F2E"/>
    <w:rsid w:val="4A5D4EF8"/>
    <w:rsid w:val="4A62250E"/>
    <w:rsid w:val="4A965D14"/>
    <w:rsid w:val="4ADB406F"/>
    <w:rsid w:val="4ADB5A1E"/>
    <w:rsid w:val="4AE4E0B7"/>
    <w:rsid w:val="4AFF4398"/>
    <w:rsid w:val="4AFFA468"/>
    <w:rsid w:val="4B054C48"/>
    <w:rsid w:val="4B166E55"/>
    <w:rsid w:val="4B1D01E3"/>
    <w:rsid w:val="4B2477C4"/>
    <w:rsid w:val="4B3D0885"/>
    <w:rsid w:val="4B62209A"/>
    <w:rsid w:val="4B7DA3E7"/>
    <w:rsid w:val="4B7F2C24"/>
    <w:rsid w:val="4B7F6B14"/>
    <w:rsid w:val="4B7F9AC3"/>
    <w:rsid w:val="4B7FA5E7"/>
    <w:rsid w:val="4B9D519E"/>
    <w:rsid w:val="4BB720E3"/>
    <w:rsid w:val="4BBEEDAC"/>
    <w:rsid w:val="4BBF1824"/>
    <w:rsid w:val="4BBF669C"/>
    <w:rsid w:val="4BC52D55"/>
    <w:rsid w:val="4BC845F3"/>
    <w:rsid w:val="4BD7792B"/>
    <w:rsid w:val="4BDC433B"/>
    <w:rsid w:val="4BEADF2B"/>
    <w:rsid w:val="4BF6F6AE"/>
    <w:rsid w:val="4BF75808"/>
    <w:rsid w:val="4BF9FFC0"/>
    <w:rsid w:val="4BFC6A42"/>
    <w:rsid w:val="4BFD79D1"/>
    <w:rsid w:val="4BFEA9C4"/>
    <w:rsid w:val="4BFF43F2"/>
    <w:rsid w:val="4BFFDBB9"/>
    <w:rsid w:val="4C172E84"/>
    <w:rsid w:val="4C1B0BC7"/>
    <w:rsid w:val="4C5351BB"/>
    <w:rsid w:val="4C7A0A97"/>
    <w:rsid w:val="4C806C7C"/>
    <w:rsid w:val="4C8C2F4B"/>
    <w:rsid w:val="4C97B067"/>
    <w:rsid w:val="4C9F9406"/>
    <w:rsid w:val="4CB608EF"/>
    <w:rsid w:val="4CDB65A8"/>
    <w:rsid w:val="4CF2636A"/>
    <w:rsid w:val="4CFB28BC"/>
    <w:rsid w:val="4CFBD569"/>
    <w:rsid w:val="4CFDACE9"/>
    <w:rsid w:val="4CFE82E3"/>
    <w:rsid w:val="4CFF1432"/>
    <w:rsid w:val="4CFFD932"/>
    <w:rsid w:val="4D1B3ED6"/>
    <w:rsid w:val="4D1F46E6"/>
    <w:rsid w:val="4D3D497A"/>
    <w:rsid w:val="4D3F08E5"/>
    <w:rsid w:val="4D4D1254"/>
    <w:rsid w:val="4D5B4A28"/>
    <w:rsid w:val="4D5D3E43"/>
    <w:rsid w:val="4D6F491D"/>
    <w:rsid w:val="4D769B31"/>
    <w:rsid w:val="4D7F65B4"/>
    <w:rsid w:val="4D8FD623"/>
    <w:rsid w:val="4D9E87FF"/>
    <w:rsid w:val="4DBE3EFF"/>
    <w:rsid w:val="4DBF1A26"/>
    <w:rsid w:val="4DCB7393"/>
    <w:rsid w:val="4DD05957"/>
    <w:rsid w:val="4DDF1104"/>
    <w:rsid w:val="4DDF5A2C"/>
    <w:rsid w:val="4DEEBFBB"/>
    <w:rsid w:val="4DEFF98C"/>
    <w:rsid w:val="4DF6A18D"/>
    <w:rsid w:val="4E192EE4"/>
    <w:rsid w:val="4E2D4BE1"/>
    <w:rsid w:val="4E3BC0EC"/>
    <w:rsid w:val="4E404914"/>
    <w:rsid w:val="4E49E204"/>
    <w:rsid w:val="4E6C395B"/>
    <w:rsid w:val="4E6F51FA"/>
    <w:rsid w:val="4E71CF44"/>
    <w:rsid w:val="4E7ABA9E"/>
    <w:rsid w:val="4E7E6D1E"/>
    <w:rsid w:val="4E7F06BC"/>
    <w:rsid w:val="4E824F2D"/>
    <w:rsid w:val="4E9A803D"/>
    <w:rsid w:val="4E9FD417"/>
    <w:rsid w:val="4EAFE1D0"/>
    <w:rsid w:val="4EC372F3"/>
    <w:rsid w:val="4EEC42C6"/>
    <w:rsid w:val="4EEE014E"/>
    <w:rsid w:val="4EEFB74F"/>
    <w:rsid w:val="4EF1E170"/>
    <w:rsid w:val="4EF6EAAB"/>
    <w:rsid w:val="4EFF1256"/>
    <w:rsid w:val="4EFF5DDA"/>
    <w:rsid w:val="4EFF93B4"/>
    <w:rsid w:val="4F0EC01C"/>
    <w:rsid w:val="4F2204BE"/>
    <w:rsid w:val="4F2A7373"/>
    <w:rsid w:val="4F416B96"/>
    <w:rsid w:val="4F5F169F"/>
    <w:rsid w:val="4F5FD62D"/>
    <w:rsid w:val="4F63E223"/>
    <w:rsid w:val="4F7521C9"/>
    <w:rsid w:val="4F77F5EB"/>
    <w:rsid w:val="4F7887D8"/>
    <w:rsid w:val="4F7A6F4A"/>
    <w:rsid w:val="4F7AF048"/>
    <w:rsid w:val="4F7BD969"/>
    <w:rsid w:val="4F7C8443"/>
    <w:rsid w:val="4F7D62C7"/>
    <w:rsid w:val="4F7D6973"/>
    <w:rsid w:val="4F7EA64E"/>
    <w:rsid w:val="4F9B06D3"/>
    <w:rsid w:val="4F9C1DAC"/>
    <w:rsid w:val="4FAB400F"/>
    <w:rsid w:val="4FAF9D46"/>
    <w:rsid w:val="4FAFF1CB"/>
    <w:rsid w:val="4FB4DD4F"/>
    <w:rsid w:val="4FB52BF8"/>
    <w:rsid w:val="4FB5DA39"/>
    <w:rsid w:val="4FB7B05A"/>
    <w:rsid w:val="4FBB1D8D"/>
    <w:rsid w:val="4FBBA443"/>
    <w:rsid w:val="4FBBE326"/>
    <w:rsid w:val="4FBD07CC"/>
    <w:rsid w:val="4FBD58B6"/>
    <w:rsid w:val="4FBDFFFB"/>
    <w:rsid w:val="4FBE5CF3"/>
    <w:rsid w:val="4FBE6B36"/>
    <w:rsid w:val="4FBF77AB"/>
    <w:rsid w:val="4FBF8A5F"/>
    <w:rsid w:val="4FCBE10E"/>
    <w:rsid w:val="4FD60EFA"/>
    <w:rsid w:val="4FD7284C"/>
    <w:rsid w:val="4FD7C88D"/>
    <w:rsid w:val="4FDC2D2E"/>
    <w:rsid w:val="4FDCDBF2"/>
    <w:rsid w:val="4FDD9D13"/>
    <w:rsid w:val="4FDE5245"/>
    <w:rsid w:val="4FDEF630"/>
    <w:rsid w:val="4FDF4011"/>
    <w:rsid w:val="4FDF4EA8"/>
    <w:rsid w:val="4FDF661E"/>
    <w:rsid w:val="4FE5D1FA"/>
    <w:rsid w:val="4FE75952"/>
    <w:rsid w:val="4FE9F987"/>
    <w:rsid w:val="4FEBA08E"/>
    <w:rsid w:val="4FEBE5A9"/>
    <w:rsid w:val="4FEECE69"/>
    <w:rsid w:val="4FEF2020"/>
    <w:rsid w:val="4FEF2062"/>
    <w:rsid w:val="4FEF223F"/>
    <w:rsid w:val="4FEF2D2C"/>
    <w:rsid w:val="4FEFA63D"/>
    <w:rsid w:val="4FEFBF2B"/>
    <w:rsid w:val="4FF1F678"/>
    <w:rsid w:val="4FF43C08"/>
    <w:rsid w:val="4FF6BE8E"/>
    <w:rsid w:val="4FF75678"/>
    <w:rsid w:val="4FF93338"/>
    <w:rsid w:val="4FFAE4ED"/>
    <w:rsid w:val="4FFB0225"/>
    <w:rsid w:val="4FFBA71F"/>
    <w:rsid w:val="4FFC8FF8"/>
    <w:rsid w:val="4FFD44E6"/>
    <w:rsid w:val="4FFDA784"/>
    <w:rsid w:val="4FFE72F2"/>
    <w:rsid w:val="4FFE9415"/>
    <w:rsid w:val="4FFED0A0"/>
    <w:rsid w:val="4FFEF014"/>
    <w:rsid w:val="4FFF2462"/>
    <w:rsid w:val="4FFF4255"/>
    <w:rsid w:val="4FFF6C64"/>
    <w:rsid w:val="4FFFAE18"/>
    <w:rsid w:val="4FFFD86D"/>
    <w:rsid w:val="502D0EC8"/>
    <w:rsid w:val="50743A84"/>
    <w:rsid w:val="50942CF5"/>
    <w:rsid w:val="50A078EC"/>
    <w:rsid w:val="50D41344"/>
    <w:rsid w:val="50EA6DB9"/>
    <w:rsid w:val="50FFE7CB"/>
    <w:rsid w:val="510065DD"/>
    <w:rsid w:val="51114590"/>
    <w:rsid w:val="512C0951"/>
    <w:rsid w:val="513149E8"/>
    <w:rsid w:val="51453FF0"/>
    <w:rsid w:val="514828B6"/>
    <w:rsid w:val="516C5A20"/>
    <w:rsid w:val="517DB6A3"/>
    <w:rsid w:val="51962A9D"/>
    <w:rsid w:val="51C36F2F"/>
    <w:rsid w:val="51CEF537"/>
    <w:rsid w:val="51DA61D7"/>
    <w:rsid w:val="51E5E44B"/>
    <w:rsid w:val="51E90E1F"/>
    <w:rsid w:val="51EE8D44"/>
    <w:rsid w:val="51FD7843"/>
    <w:rsid w:val="51FED7AB"/>
    <w:rsid w:val="52120376"/>
    <w:rsid w:val="52B21B59"/>
    <w:rsid w:val="52C378C2"/>
    <w:rsid w:val="52C8137C"/>
    <w:rsid w:val="52D7F3BA"/>
    <w:rsid w:val="52DE64AA"/>
    <w:rsid w:val="52DF96BD"/>
    <w:rsid w:val="52EF3C39"/>
    <w:rsid w:val="52EF46AB"/>
    <w:rsid w:val="52F201A7"/>
    <w:rsid w:val="52FEA514"/>
    <w:rsid w:val="52FF306F"/>
    <w:rsid w:val="53234B7A"/>
    <w:rsid w:val="533D6C34"/>
    <w:rsid w:val="534A1D91"/>
    <w:rsid w:val="535D0B0A"/>
    <w:rsid w:val="53A20FF7"/>
    <w:rsid w:val="53AB353B"/>
    <w:rsid w:val="53AB508A"/>
    <w:rsid w:val="53AB6CD4"/>
    <w:rsid w:val="53AD14A4"/>
    <w:rsid w:val="53AF7B3E"/>
    <w:rsid w:val="53B1F53A"/>
    <w:rsid w:val="53BB2E38"/>
    <w:rsid w:val="53BB4F0E"/>
    <w:rsid w:val="53DE5810"/>
    <w:rsid w:val="53DF3124"/>
    <w:rsid w:val="53E9C6AC"/>
    <w:rsid w:val="53EF613F"/>
    <w:rsid w:val="53EF9B0D"/>
    <w:rsid w:val="53EFEBBC"/>
    <w:rsid w:val="53F9A173"/>
    <w:rsid w:val="53FBA0B3"/>
    <w:rsid w:val="53FDD0F1"/>
    <w:rsid w:val="53FF92B0"/>
    <w:rsid w:val="53FFA836"/>
    <w:rsid w:val="53FFC7AF"/>
    <w:rsid w:val="542807F2"/>
    <w:rsid w:val="545D4C92"/>
    <w:rsid w:val="54AB2D04"/>
    <w:rsid w:val="54C31DFB"/>
    <w:rsid w:val="54F93A6F"/>
    <w:rsid w:val="54FB3EBD"/>
    <w:rsid w:val="54FDCE61"/>
    <w:rsid w:val="54FF19D8"/>
    <w:rsid w:val="54FF984C"/>
    <w:rsid w:val="5511700B"/>
    <w:rsid w:val="551B5793"/>
    <w:rsid w:val="5541542B"/>
    <w:rsid w:val="5574208A"/>
    <w:rsid w:val="5577353E"/>
    <w:rsid w:val="557D7272"/>
    <w:rsid w:val="557E3F74"/>
    <w:rsid w:val="557E81B3"/>
    <w:rsid w:val="557F21C6"/>
    <w:rsid w:val="55AA58ED"/>
    <w:rsid w:val="55B33779"/>
    <w:rsid w:val="55BD9D81"/>
    <w:rsid w:val="55BF54B6"/>
    <w:rsid w:val="55CE1F75"/>
    <w:rsid w:val="55CE2806"/>
    <w:rsid w:val="55D301A7"/>
    <w:rsid w:val="55D35F6E"/>
    <w:rsid w:val="55D911AB"/>
    <w:rsid w:val="55DE3A3B"/>
    <w:rsid w:val="55DF3B0E"/>
    <w:rsid w:val="55E4027B"/>
    <w:rsid w:val="55E55DA1"/>
    <w:rsid w:val="55ED73A0"/>
    <w:rsid w:val="55EFC591"/>
    <w:rsid w:val="55F15DE7"/>
    <w:rsid w:val="55F2AB9A"/>
    <w:rsid w:val="55F54236"/>
    <w:rsid w:val="55F6A77A"/>
    <w:rsid w:val="55F81F79"/>
    <w:rsid w:val="55FA2500"/>
    <w:rsid w:val="55FF71C2"/>
    <w:rsid w:val="55FFFDD0"/>
    <w:rsid w:val="565E2B72"/>
    <w:rsid w:val="567710EF"/>
    <w:rsid w:val="567B88EF"/>
    <w:rsid w:val="567E1710"/>
    <w:rsid w:val="567E4E1C"/>
    <w:rsid w:val="567F5C41"/>
    <w:rsid w:val="56A30136"/>
    <w:rsid w:val="56A3EA92"/>
    <w:rsid w:val="56AD68BF"/>
    <w:rsid w:val="56BDD004"/>
    <w:rsid w:val="56BE5D60"/>
    <w:rsid w:val="56BEE2DC"/>
    <w:rsid w:val="56BFC33F"/>
    <w:rsid w:val="56C77D52"/>
    <w:rsid w:val="56CCA719"/>
    <w:rsid w:val="56CD51B3"/>
    <w:rsid w:val="56D72694"/>
    <w:rsid w:val="56E743EC"/>
    <w:rsid w:val="56E91B34"/>
    <w:rsid w:val="56EDD5C5"/>
    <w:rsid w:val="56F54EFA"/>
    <w:rsid w:val="56F7357A"/>
    <w:rsid w:val="56F76124"/>
    <w:rsid w:val="56FA7D56"/>
    <w:rsid w:val="56FBCC2C"/>
    <w:rsid w:val="56FE3019"/>
    <w:rsid w:val="56FE49C8"/>
    <w:rsid w:val="56FF0B79"/>
    <w:rsid w:val="56FF99D7"/>
    <w:rsid w:val="56FF9BB3"/>
    <w:rsid w:val="570010E5"/>
    <w:rsid w:val="571C3A45"/>
    <w:rsid w:val="571EC71C"/>
    <w:rsid w:val="571FC078"/>
    <w:rsid w:val="57273BCA"/>
    <w:rsid w:val="572E5B64"/>
    <w:rsid w:val="573E8010"/>
    <w:rsid w:val="574CC13C"/>
    <w:rsid w:val="576E79C2"/>
    <w:rsid w:val="5773BB0A"/>
    <w:rsid w:val="5773C43D"/>
    <w:rsid w:val="5775450A"/>
    <w:rsid w:val="57774F24"/>
    <w:rsid w:val="577B38BC"/>
    <w:rsid w:val="577B9188"/>
    <w:rsid w:val="577BE76E"/>
    <w:rsid w:val="577C033A"/>
    <w:rsid w:val="577DE96A"/>
    <w:rsid w:val="577E5BBA"/>
    <w:rsid w:val="577F8457"/>
    <w:rsid w:val="577F9D9A"/>
    <w:rsid w:val="578588A1"/>
    <w:rsid w:val="578BAAD2"/>
    <w:rsid w:val="578D531D"/>
    <w:rsid w:val="578EB51E"/>
    <w:rsid w:val="579730CB"/>
    <w:rsid w:val="579D2871"/>
    <w:rsid w:val="579FC57F"/>
    <w:rsid w:val="57A70B9D"/>
    <w:rsid w:val="57AF6667"/>
    <w:rsid w:val="57B890FC"/>
    <w:rsid w:val="57BB3B8E"/>
    <w:rsid w:val="57BDBBDA"/>
    <w:rsid w:val="57BDBC4D"/>
    <w:rsid w:val="57BE76C0"/>
    <w:rsid w:val="57BE8980"/>
    <w:rsid w:val="57BEBC50"/>
    <w:rsid w:val="57BF2A56"/>
    <w:rsid w:val="57BF54F5"/>
    <w:rsid w:val="57BFACA9"/>
    <w:rsid w:val="57C22B82"/>
    <w:rsid w:val="57C9DCD3"/>
    <w:rsid w:val="57D71E5C"/>
    <w:rsid w:val="57D76D87"/>
    <w:rsid w:val="57DA0BBF"/>
    <w:rsid w:val="57DB1002"/>
    <w:rsid w:val="57DB9DC8"/>
    <w:rsid w:val="57DDE605"/>
    <w:rsid w:val="57DEDA02"/>
    <w:rsid w:val="57DEEF5B"/>
    <w:rsid w:val="57DF13C7"/>
    <w:rsid w:val="57DFA69C"/>
    <w:rsid w:val="57DFAF1A"/>
    <w:rsid w:val="57DFB471"/>
    <w:rsid w:val="57DFC394"/>
    <w:rsid w:val="57E04A72"/>
    <w:rsid w:val="57E743CD"/>
    <w:rsid w:val="57E945E6"/>
    <w:rsid w:val="57E9693B"/>
    <w:rsid w:val="57EB6D49"/>
    <w:rsid w:val="57EBAB2F"/>
    <w:rsid w:val="57EBC518"/>
    <w:rsid w:val="57EC4D0D"/>
    <w:rsid w:val="57EDFCFC"/>
    <w:rsid w:val="57EE7568"/>
    <w:rsid w:val="57EEB497"/>
    <w:rsid w:val="57EF6E4F"/>
    <w:rsid w:val="57EFB7EB"/>
    <w:rsid w:val="57F17E23"/>
    <w:rsid w:val="57F5864D"/>
    <w:rsid w:val="57F60B38"/>
    <w:rsid w:val="57F6ED36"/>
    <w:rsid w:val="57F70EE1"/>
    <w:rsid w:val="57F79C08"/>
    <w:rsid w:val="57F9AD86"/>
    <w:rsid w:val="57FA3B1E"/>
    <w:rsid w:val="57FA879E"/>
    <w:rsid w:val="57FA9A82"/>
    <w:rsid w:val="57FA9DFE"/>
    <w:rsid w:val="57FAC0D8"/>
    <w:rsid w:val="57FB598D"/>
    <w:rsid w:val="57FBDC4A"/>
    <w:rsid w:val="57FE49CE"/>
    <w:rsid w:val="57FEBCD2"/>
    <w:rsid w:val="57FF13F9"/>
    <w:rsid w:val="57FF437B"/>
    <w:rsid w:val="57FF52DB"/>
    <w:rsid w:val="57FF5DEE"/>
    <w:rsid w:val="57FF793E"/>
    <w:rsid w:val="57FF899A"/>
    <w:rsid w:val="57FFB85C"/>
    <w:rsid w:val="57FFC4BE"/>
    <w:rsid w:val="57FFF60C"/>
    <w:rsid w:val="57FFFD53"/>
    <w:rsid w:val="58306672"/>
    <w:rsid w:val="58502ABA"/>
    <w:rsid w:val="5853C18E"/>
    <w:rsid w:val="58676F42"/>
    <w:rsid w:val="587F1193"/>
    <w:rsid w:val="587F3698"/>
    <w:rsid w:val="587FA859"/>
    <w:rsid w:val="58B59BCE"/>
    <w:rsid w:val="58BC54DF"/>
    <w:rsid w:val="58E4F7C5"/>
    <w:rsid w:val="58F72925"/>
    <w:rsid w:val="58F77D5C"/>
    <w:rsid w:val="58FD796A"/>
    <w:rsid w:val="59592D2E"/>
    <w:rsid w:val="596D0D39"/>
    <w:rsid w:val="596F4300"/>
    <w:rsid w:val="597AA38E"/>
    <w:rsid w:val="59B7FE35"/>
    <w:rsid w:val="59BF1BC0"/>
    <w:rsid w:val="59BF39C0"/>
    <w:rsid w:val="59BF3BA7"/>
    <w:rsid w:val="59CC10D9"/>
    <w:rsid w:val="59D72E3F"/>
    <w:rsid w:val="59D979CB"/>
    <w:rsid w:val="59E758BF"/>
    <w:rsid w:val="59EA1BD8"/>
    <w:rsid w:val="59F34F31"/>
    <w:rsid w:val="59F3D21A"/>
    <w:rsid w:val="59F74A3F"/>
    <w:rsid w:val="59FB2189"/>
    <w:rsid w:val="59FECABE"/>
    <w:rsid w:val="59FF16D9"/>
    <w:rsid w:val="59FF5A30"/>
    <w:rsid w:val="5A4BCFA4"/>
    <w:rsid w:val="5A680816"/>
    <w:rsid w:val="5A6D4CC7"/>
    <w:rsid w:val="5A7E03E0"/>
    <w:rsid w:val="5A7F4A3C"/>
    <w:rsid w:val="5A7F6DAC"/>
    <w:rsid w:val="5A968276"/>
    <w:rsid w:val="5AB6510A"/>
    <w:rsid w:val="5AB74E1E"/>
    <w:rsid w:val="5ABF0C92"/>
    <w:rsid w:val="5ABF12B7"/>
    <w:rsid w:val="5ABF52BC"/>
    <w:rsid w:val="5AC94301"/>
    <w:rsid w:val="5ADE4AD0"/>
    <w:rsid w:val="5ADE4F26"/>
    <w:rsid w:val="5AE73437"/>
    <w:rsid w:val="5AE78390"/>
    <w:rsid w:val="5AEF8B19"/>
    <w:rsid w:val="5AEFA9F2"/>
    <w:rsid w:val="5AF01470"/>
    <w:rsid w:val="5AF2343A"/>
    <w:rsid w:val="5AF7A662"/>
    <w:rsid w:val="5AFC3C75"/>
    <w:rsid w:val="5AFD8B88"/>
    <w:rsid w:val="5AFE0737"/>
    <w:rsid w:val="5AFF7EC4"/>
    <w:rsid w:val="5AFFCBF0"/>
    <w:rsid w:val="5AFFD9D8"/>
    <w:rsid w:val="5B0867BA"/>
    <w:rsid w:val="5B231846"/>
    <w:rsid w:val="5B28431B"/>
    <w:rsid w:val="5B2BBBC6"/>
    <w:rsid w:val="5B3FA2A2"/>
    <w:rsid w:val="5B477A8B"/>
    <w:rsid w:val="5B4C16B7"/>
    <w:rsid w:val="5B5D55D0"/>
    <w:rsid w:val="5B5D9CE2"/>
    <w:rsid w:val="5B5F1CD4"/>
    <w:rsid w:val="5B6BC8C4"/>
    <w:rsid w:val="5B715D0C"/>
    <w:rsid w:val="5B77184E"/>
    <w:rsid w:val="5B89B94D"/>
    <w:rsid w:val="5B8F1A8C"/>
    <w:rsid w:val="5B90331D"/>
    <w:rsid w:val="5B976E15"/>
    <w:rsid w:val="5BB39BFA"/>
    <w:rsid w:val="5BB945BE"/>
    <w:rsid w:val="5BB9A47C"/>
    <w:rsid w:val="5BBB7CD0"/>
    <w:rsid w:val="5BBBC364"/>
    <w:rsid w:val="5BBE91A8"/>
    <w:rsid w:val="5BBEB41D"/>
    <w:rsid w:val="5BBF7815"/>
    <w:rsid w:val="5BBF9C3C"/>
    <w:rsid w:val="5BBFB354"/>
    <w:rsid w:val="5BBFCC3D"/>
    <w:rsid w:val="5BC326E1"/>
    <w:rsid w:val="5BC4C90C"/>
    <w:rsid w:val="5BC741CD"/>
    <w:rsid w:val="5BCB7699"/>
    <w:rsid w:val="5BCFB508"/>
    <w:rsid w:val="5BD326E2"/>
    <w:rsid w:val="5BD42379"/>
    <w:rsid w:val="5BD462C2"/>
    <w:rsid w:val="5BD49A11"/>
    <w:rsid w:val="5BD7134B"/>
    <w:rsid w:val="5BDB39C2"/>
    <w:rsid w:val="5BDF0A8F"/>
    <w:rsid w:val="5BDF3D3E"/>
    <w:rsid w:val="5BDF89D5"/>
    <w:rsid w:val="5BE53F76"/>
    <w:rsid w:val="5BF442E6"/>
    <w:rsid w:val="5BF5D1D3"/>
    <w:rsid w:val="5BF75D59"/>
    <w:rsid w:val="5BF77289"/>
    <w:rsid w:val="5BFAEA22"/>
    <w:rsid w:val="5BFBB624"/>
    <w:rsid w:val="5BFBB944"/>
    <w:rsid w:val="5BFD1590"/>
    <w:rsid w:val="5BFD7AEF"/>
    <w:rsid w:val="5BFD8208"/>
    <w:rsid w:val="5BFE0B59"/>
    <w:rsid w:val="5BFE3945"/>
    <w:rsid w:val="5BFE462B"/>
    <w:rsid w:val="5BFE9F77"/>
    <w:rsid w:val="5BFF24F6"/>
    <w:rsid w:val="5BFF2789"/>
    <w:rsid w:val="5BFF3149"/>
    <w:rsid w:val="5BFF5427"/>
    <w:rsid w:val="5BFF99A5"/>
    <w:rsid w:val="5BFFC82E"/>
    <w:rsid w:val="5BFFD378"/>
    <w:rsid w:val="5C1C5E87"/>
    <w:rsid w:val="5C375B3A"/>
    <w:rsid w:val="5C3D06E5"/>
    <w:rsid w:val="5C4EEF0A"/>
    <w:rsid w:val="5C5F5826"/>
    <w:rsid w:val="5C62639E"/>
    <w:rsid w:val="5C6D25F5"/>
    <w:rsid w:val="5C7FFF20"/>
    <w:rsid w:val="5CA78B9A"/>
    <w:rsid w:val="5CB52971"/>
    <w:rsid w:val="5CBF7848"/>
    <w:rsid w:val="5CD356E8"/>
    <w:rsid w:val="5CDADC2B"/>
    <w:rsid w:val="5CDD672A"/>
    <w:rsid w:val="5CDDAB8B"/>
    <w:rsid w:val="5CDF1BBD"/>
    <w:rsid w:val="5CDF8635"/>
    <w:rsid w:val="5CDFA2D4"/>
    <w:rsid w:val="5CDFB9F0"/>
    <w:rsid w:val="5CE46DB3"/>
    <w:rsid w:val="5CECF364"/>
    <w:rsid w:val="5CEEC7E8"/>
    <w:rsid w:val="5CF17B65"/>
    <w:rsid w:val="5CF75E66"/>
    <w:rsid w:val="5CF865F1"/>
    <w:rsid w:val="5CFF1E3E"/>
    <w:rsid w:val="5CFF355E"/>
    <w:rsid w:val="5CFF3898"/>
    <w:rsid w:val="5CFFD0F6"/>
    <w:rsid w:val="5CFFDF8E"/>
    <w:rsid w:val="5D172CE4"/>
    <w:rsid w:val="5D355860"/>
    <w:rsid w:val="5D3C099D"/>
    <w:rsid w:val="5D3D374F"/>
    <w:rsid w:val="5D3ECD76"/>
    <w:rsid w:val="5D4D01B9"/>
    <w:rsid w:val="5D4E12B6"/>
    <w:rsid w:val="5D51D9BB"/>
    <w:rsid w:val="5D588117"/>
    <w:rsid w:val="5D5977A1"/>
    <w:rsid w:val="5D670916"/>
    <w:rsid w:val="5D6B3E00"/>
    <w:rsid w:val="5D6B9DA0"/>
    <w:rsid w:val="5D6C5D33"/>
    <w:rsid w:val="5D6D83C7"/>
    <w:rsid w:val="5D7632E6"/>
    <w:rsid w:val="5D7975DE"/>
    <w:rsid w:val="5D7C3D19"/>
    <w:rsid w:val="5D7D46FB"/>
    <w:rsid w:val="5D7EA438"/>
    <w:rsid w:val="5D7F01B0"/>
    <w:rsid w:val="5D7F4183"/>
    <w:rsid w:val="5D7F7872"/>
    <w:rsid w:val="5D7F81AD"/>
    <w:rsid w:val="5D8A5468"/>
    <w:rsid w:val="5D971ECB"/>
    <w:rsid w:val="5D973E25"/>
    <w:rsid w:val="5D97E1E3"/>
    <w:rsid w:val="5D9B7149"/>
    <w:rsid w:val="5D9D173A"/>
    <w:rsid w:val="5D9FC8BA"/>
    <w:rsid w:val="5D9FCEA7"/>
    <w:rsid w:val="5DAAE93A"/>
    <w:rsid w:val="5DB4E662"/>
    <w:rsid w:val="5DB7ECDC"/>
    <w:rsid w:val="5DB8F5DA"/>
    <w:rsid w:val="5DB9B1AA"/>
    <w:rsid w:val="5DBA344C"/>
    <w:rsid w:val="5DBE0EE1"/>
    <w:rsid w:val="5DBE2375"/>
    <w:rsid w:val="5DCF2723"/>
    <w:rsid w:val="5DDA074D"/>
    <w:rsid w:val="5DDA2590"/>
    <w:rsid w:val="5DDF2CED"/>
    <w:rsid w:val="5DDFDBEC"/>
    <w:rsid w:val="5DE32095"/>
    <w:rsid w:val="5DE7626D"/>
    <w:rsid w:val="5DED3FC7"/>
    <w:rsid w:val="5DEEF0DA"/>
    <w:rsid w:val="5DEF5A0F"/>
    <w:rsid w:val="5DEF7C27"/>
    <w:rsid w:val="5DEFBE30"/>
    <w:rsid w:val="5DF2DF30"/>
    <w:rsid w:val="5DF36AB2"/>
    <w:rsid w:val="5DF3EEF9"/>
    <w:rsid w:val="5DFA7444"/>
    <w:rsid w:val="5DFB49B4"/>
    <w:rsid w:val="5DFB796C"/>
    <w:rsid w:val="5DFBABAF"/>
    <w:rsid w:val="5DFCB459"/>
    <w:rsid w:val="5DFD28E5"/>
    <w:rsid w:val="5DFD5B96"/>
    <w:rsid w:val="5DFDDC38"/>
    <w:rsid w:val="5DFE2B65"/>
    <w:rsid w:val="5DFF0BDC"/>
    <w:rsid w:val="5DFF3C33"/>
    <w:rsid w:val="5DFF4EA4"/>
    <w:rsid w:val="5DFF5B78"/>
    <w:rsid w:val="5DFFABCB"/>
    <w:rsid w:val="5DFFC41F"/>
    <w:rsid w:val="5DFFEBE8"/>
    <w:rsid w:val="5E1DD63C"/>
    <w:rsid w:val="5E1F4488"/>
    <w:rsid w:val="5E2A1825"/>
    <w:rsid w:val="5E37B4FB"/>
    <w:rsid w:val="5E38E240"/>
    <w:rsid w:val="5E3D49CC"/>
    <w:rsid w:val="5E3D524A"/>
    <w:rsid w:val="5E4BAF7D"/>
    <w:rsid w:val="5E5B09C9"/>
    <w:rsid w:val="5E5FDA7C"/>
    <w:rsid w:val="5E63C838"/>
    <w:rsid w:val="5E6F8B2D"/>
    <w:rsid w:val="5E6FFCDE"/>
    <w:rsid w:val="5E761D2F"/>
    <w:rsid w:val="5E770C25"/>
    <w:rsid w:val="5E7A1808"/>
    <w:rsid w:val="5E7F0207"/>
    <w:rsid w:val="5E7F4E8F"/>
    <w:rsid w:val="5E7F5489"/>
    <w:rsid w:val="5E7FB9C8"/>
    <w:rsid w:val="5E854FBB"/>
    <w:rsid w:val="5E87A072"/>
    <w:rsid w:val="5EA9D4F0"/>
    <w:rsid w:val="5EB724BC"/>
    <w:rsid w:val="5EB78C6E"/>
    <w:rsid w:val="5EBD3D5F"/>
    <w:rsid w:val="5EBD6738"/>
    <w:rsid w:val="5EBE0C53"/>
    <w:rsid w:val="5EBE1A6F"/>
    <w:rsid w:val="5EBE33E0"/>
    <w:rsid w:val="5EBE8DDF"/>
    <w:rsid w:val="5EBEF155"/>
    <w:rsid w:val="5EC7073A"/>
    <w:rsid w:val="5ECB022A"/>
    <w:rsid w:val="5ECE0008"/>
    <w:rsid w:val="5ECE5290"/>
    <w:rsid w:val="5ECF5E30"/>
    <w:rsid w:val="5ED5DF06"/>
    <w:rsid w:val="5EDC6719"/>
    <w:rsid w:val="5EDD84FF"/>
    <w:rsid w:val="5EDE4D1E"/>
    <w:rsid w:val="5EDF63EA"/>
    <w:rsid w:val="5EE11AA8"/>
    <w:rsid w:val="5EE44E48"/>
    <w:rsid w:val="5EE77E19"/>
    <w:rsid w:val="5EE94B54"/>
    <w:rsid w:val="5EECAED5"/>
    <w:rsid w:val="5EEE34DE"/>
    <w:rsid w:val="5EEF0A5B"/>
    <w:rsid w:val="5EEF62E8"/>
    <w:rsid w:val="5EEF8532"/>
    <w:rsid w:val="5EF171EB"/>
    <w:rsid w:val="5EF5B519"/>
    <w:rsid w:val="5EF651D0"/>
    <w:rsid w:val="5EFA7CCD"/>
    <w:rsid w:val="5EFBE326"/>
    <w:rsid w:val="5EFC21A8"/>
    <w:rsid w:val="5EFC6504"/>
    <w:rsid w:val="5EFD0016"/>
    <w:rsid w:val="5EFD9938"/>
    <w:rsid w:val="5EFDC130"/>
    <w:rsid w:val="5EFDF7D2"/>
    <w:rsid w:val="5EFE0164"/>
    <w:rsid w:val="5EFE2788"/>
    <w:rsid w:val="5EFE7A58"/>
    <w:rsid w:val="5EFE91CF"/>
    <w:rsid w:val="5EFEC2CA"/>
    <w:rsid w:val="5EFEC870"/>
    <w:rsid w:val="5EFEE1EA"/>
    <w:rsid w:val="5EFEEC81"/>
    <w:rsid w:val="5EFF1DDD"/>
    <w:rsid w:val="5EFF3F7B"/>
    <w:rsid w:val="5EFF4764"/>
    <w:rsid w:val="5EFF76AD"/>
    <w:rsid w:val="5EFF7A99"/>
    <w:rsid w:val="5EFF7D66"/>
    <w:rsid w:val="5F077213"/>
    <w:rsid w:val="5F0D55DC"/>
    <w:rsid w:val="5F0DDFA8"/>
    <w:rsid w:val="5F196D9D"/>
    <w:rsid w:val="5F1B6FA7"/>
    <w:rsid w:val="5F1FA5B4"/>
    <w:rsid w:val="5F212D20"/>
    <w:rsid w:val="5F27C0D4"/>
    <w:rsid w:val="5F2BCB12"/>
    <w:rsid w:val="5F2BCC32"/>
    <w:rsid w:val="5F2E2685"/>
    <w:rsid w:val="5F3B5877"/>
    <w:rsid w:val="5F3BF8DB"/>
    <w:rsid w:val="5F3DC0B7"/>
    <w:rsid w:val="5F516088"/>
    <w:rsid w:val="5F55520E"/>
    <w:rsid w:val="5F573D7A"/>
    <w:rsid w:val="5F5B11F2"/>
    <w:rsid w:val="5F5D2301"/>
    <w:rsid w:val="5F5D2CA6"/>
    <w:rsid w:val="5F5DB539"/>
    <w:rsid w:val="5F5DD1E1"/>
    <w:rsid w:val="5F5E7F42"/>
    <w:rsid w:val="5F5F66F3"/>
    <w:rsid w:val="5F6366B5"/>
    <w:rsid w:val="5F66B816"/>
    <w:rsid w:val="5F685999"/>
    <w:rsid w:val="5F6942C7"/>
    <w:rsid w:val="5F6EF89C"/>
    <w:rsid w:val="5F73AD99"/>
    <w:rsid w:val="5F756AAD"/>
    <w:rsid w:val="5F75A39E"/>
    <w:rsid w:val="5F774033"/>
    <w:rsid w:val="5F778DBD"/>
    <w:rsid w:val="5F779F1D"/>
    <w:rsid w:val="5F7BC1BB"/>
    <w:rsid w:val="5F7BCE59"/>
    <w:rsid w:val="5F7C1254"/>
    <w:rsid w:val="5F7D34E5"/>
    <w:rsid w:val="5F7DA5CA"/>
    <w:rsid w:val="5F7E8071"/>
    <w:rsid w:val="5F7F01AB"/>
    <w:rsid w:val="5F7F48D6"/>
    <w:rsid w:val="5F7F4D98"/>
    <w:rsid w:val="5F7F5945"/>
    <w:rsid w:val="5F7F5B7E"/>
    <w:rsid w:val="5F7F9475"/>
    <w:rsid w:val="5F7F9832"/>
    <w:rsid w:val="5F7FBDD1"/>
    <w:rsid w:val="5F7FBFBC"/>
    <w:rsid w:val="5F7FC1AF"/>
    <w:rsid w:val="5F8B9941"/>
    <w:rsid w:val="5F8DC4EC"/>
    <w:rsid w:val="5F8EAF44"/>
    <w:rsid w:val="5F95E4E7"/>
    <w:rsid w:val="5F961577"/>
    <w:rsid w:val="5F9A6643"/>
    <w:rsid w:val="5F9E40DF"/>
    <w:rsid w:val="5F9E5A0E"/>
    <w:rsid w:val="5F9F86F3"/>
    <w:rsid w:val="5FA7A6DA"/>
    <w:rsid w:val="5FA7D878"/>
    <w:rsid w:val="5FAAC1AF"/>
    <w:rsid w:val="5FADEC95"/>
    <w:rsid w:val="5FAF66BE"/>
    <w:rsid w:val="5FB328B9"/>
    <w:rsid w:val="5FB502D9"/>
    <w:rsid w:val="5FB654A5"/>
    <w:rsid w:val="5FB66B7C"/>
    <w:rsid w:val="5FB69353"/>
    <w:rsid w:val="5FB7CF62"/>
    <w:rsid w:val="5FB978B0"/>
    <w:rsid w:val="5FBAE03A"/>
    <w:rsid w:val="5FBB1FBD"/>
    <w:rsid w:val="5FBB663D"/>
    <w:rsid w:val="5FBB89D5"/>
    <w:rsid w:val="5FBBB67C"/>
    <w:rsid w:val="5FBC0662"/>
    <w:rsid w:val="5FBD0E87"/>
    <w:rsid w:val="5FBF133A"/>
    <w:rsid w:val="5FBF30C8"/>
    <w:rsid w:val="5FBF6F40"/>
    <w:rsid w:val="5FBF7509"/>
    <w:rsid w:val="5FBF8012"/>
    <w:rsid w:val="5FBF8E5E"/>
    <w:rsid w:val="5FCA6734"/>
    <w:rsid w:val="5FCA7C69"/>
    <w:rsid w:val="5FCD231A"/>
    <w:rsid w:val="5FCD726A"/>
    <w:rsid w:val="5FCD7AD8"/>
    <w:rsid w:val="5FCF0012"/>
    <w:rsid w:val="5FCF6A19"/>
    <w:rsid w:val="5FD186FE"/>
    <w:rsid w:val="5FD23925"/>
    <w:rsid w:val="5FD3E08D"/>
    <w:rsid w:val="5FD600F6"/>
    <w:rsid w:val="5FD61E29"/>
    <w:rsid w:val="5FD66B48"/>
    <w:rsid w:val="5FD66CE7"/>
    <w:rsid w:val="5FD70CEE"/>
    <w:rsid w:val="5FD7BBED"/>
    <w:rsid w:val="5FD7D70C"/>
    <w:rsid w:val="5FD7F4FD"/>
    <w:rsid w:val="5FD8121C"/>
    <w:rsid w:val="5FDA6F87"/>
    <w:rsid w:val="5FDA7D7A"/>
    <w:rsid w:val="5FDB54E7"/>
    <w:rsid w:val="5FDBD7A5"/>
    <w:rsid w:val="5FDC9305"/>
    <w:rsid w:val="5FDD1371"/>
    <w:rsid w:val="5FDEAEBE"/>
    <w:rsid w:val="5FDEFDA8"/>
    <w:rsid w:val="5FDF1D10"/>
    <w:rsid w:val="5FDF30A1"/>
    <w:rsid w:val="5FDF37F0"/>
    <w:rsid w:val="5FDF5A2E"/>
    <w:rsid w:val="5FDF6DE3"/>
    <w:rsid w:val="5FDF9346"/>
    <w:rsid w:val="5FDF9EA8"/>
    <w:rsid w:val="5FDFA0CC"/>
    <w:rsid w:val="5FDFBFBD"/>
    <w:rsid w:val="5FDFE7C5"/>
    <w:rsid w:val="5FDFEE9D"/>
    <w:rsid w:val="5FE53C9E"/>
    <w:rsid w:val="5FE55E1B"/>
    <w:rsid w:val="5FE7193A"/>
    <w:rsid w:val="5FE7727A"/>
    <w:rsid w:val="5FE9AFAC"/>
    <w:rsid w:val="5FE9E445"/>
    <w:rsid w:val="5FEA2841"/>
    <w:rsid w:val="5FEB6531"/>
    <w:rsid w:val="5FEB95A6"/>
    <w:rsid w:val="5FEBB311"/>
    <w:rsid w:val="5FEBC114"/>
    <w:rsid w:val="5FED0ACC"/>
    <w:rsid w:val="5FED84B2"/>
    <w:rsid w:val="5FED8DF5"/>
    <w:rsid w:val="5FEE6189"/>
    <w:rsid w:val="5FEEAC18"/>
    <w:rsid w:val="5FEF0634"/>
    <w:rsid w:val="5FEF2AFB"/>
    <w:rsid w:val="5FEF3376"/>
    <w:rsid w:val="5FEF4FA5"/>
    <w:rsid w:val="5FEF6063"/>
    <w:rsid w:val="5FEF6EBA"/>
    <w:rsid w:val="5FEF9219"/>
    <w:rsid w:val="5FF1F015"/>
    <w:rsid w:val="5FF2B892"/>
    <w:rsid w:val="5FF30FD0"/>
    <w:rsid w:val="5FF332A8"/>
    <w:rsid w:val="5FF34104"/>
    <w:rsid w:val="5FF506A3"/>
    <w:rsid w:val="5FF59FFC"/>
    <w:rsid w:val="5FF5CA23"/>
    <w:rsid w:val="5FF69D04"/>
    <w:rsid w:val="5FF740FA"/>
    <w:rsid w:val="5FF76B04"/>
    <w:rsid w:val="5FF7A08C"/>
    <w:rsid w:val="5FF7A9EF"/>
    <w:rsid w:val="5FF7B539"/>
    <w:rsid w:val="5FFAAB81"/>
    <w:rsid w:val="5FFB169B"/>
    <w:rsid w:val="5FFB41C7"/>
    <w:rsid w:val="5FFB8FD5"/>
    <w:rsid w:val="5FFBF946"/>
    <w:rsid w:val="5FFBFAB9"/>
    <w:rsid w:val="5FFC61A0"/>
    <w:rsid w:val="5FFC72FF"/>
    <w:rsid w:val="5FFCFA9A"/>
    <w:rsid w:val="5FFD323E"/>
    <w:rsid w:val="5FFD3521"/>
    <w:rsid w:val="5FFD8057"/>
    <w:rsid w:val="5FFD8C41"/>
    <w:rsid w:val="5FFE018B"/>
    <w:rsid w:val="5FFE534E"/>
    <w:rsid w:val="5FFE5DED"/>
    <w:rsid w:val="5FFE900F"/>
    <w:rsid w:val="5FFE9C90"/>
    <w:rsid w:val="5FFECDF6"/>
    <w:rsid w:val="5FFED76E"/>
    <w:rsid w:val="5FFEDDF5"/>
    <w:rsid w:val="5FFF10BB"/>
    <w:rsid w:val="5FFF256C"/>
    <w:rsid w:val="5FFF2757"/>
    <w:rsid w:val="5FFF2BC0"/>
    <w:rsid w:val="5FFF3546"/>
    <w:rsid w:val="5FFF3BC9"/>
    <w:rsid w:val="5FFF4106"/>
    <w:rsid w:val="5FFF4B71"/>
    <w:rsid w:val="5FFF5577"/>
    <w:rsid w:val="5FFF5939"/>
    <w:rsid w:val="5FFF60F7"/>
    <w:rsid w:val="5FFF6898"/>
    <w:rsid w:val="5FFF6DDF"/>
    <w:rsid w:val="5FFF71E6"/>
    <w:rsid w:val="5FFF78A8"/>
    <w:rsid w:val="5FFF7F14"/>
    <w:rsid w:val="5FFF80B2"/>
    <w:rsid w:val="5FFF88FD"/>
    <w:rsid w:val="5FFF8E72"/>
    <w:rsid w:val="5FFF8F74"/>
    <w:rsid w:val="5FFFB0C9"/>
    <w:rsid w:val="5FFFB0F2"/>
    <w:rsid w:val="5FFFC271"/>
    <w:rsid w:val="5FFFC9DE"/>
    <w:rsid w:val="5FFFCD7B"/>
    <w:rsid w:val="5FFFCF37"/>
    <w:rsid w:val="5FFFD8D0"/>
    <w:rsid w:val="5FFFDF5D"/>
    <w:rsid w:val="5FFFECBA"/>
    <w:rsid w:val="5FFFF8B7"/>
    <w:rsid w:val="60107EBF"/>
    <w:rsid w:val="60A30D33"/>
    <w:rsid w:val="60A9459B"/>
    <w:rsid w:val="60BD26E5"/>
    <w:rsid w:val="60C2565D"/>
    <w:rsid w:val="60FB0B6F"/>
    <w:rsid w:val="60FB86E3"/>
    <w:rsid w:val="60FDFA9B"/>
    <w:rsid w:val="60FF4D92"/>
    <w:rsid w:val="610712C2"/>
    <w:rsid w:val="61077514"/>
    <w:rsid w:val="612C0D28"/>
    <w:rsid w:val="61355E2F"/>
    <w:rsid w:val="613C6465"/>
    <w:rsid w:val="616109D2"/>
    <w:rsid w:val="61750921"/>
    <w:rsid w:val="617E4838"/>
    <w:rsid w:val="619A2136"/>
    <w:rsid w:val="61C827FF"/>
    <w:rsid w:val="61C83EDE"/>
    <w:rsid w:val="61D3FAAF"/>
    <w:rsid w:val="61D45648"/>
    <w:rsid w:val="61DC62AA"/>
    <w:rsid w:val="61E17D65"/>
    <w:rsid w:val="61E7EF69"/>
    <w:rsid w:val="61EF3858"/>
    <w:rsid w:val="61EFB2C3"/>
    <w:rsid w:val="61F9F234"/>
    <w:rsid w:val="62287742"/>
    <w:rsid w:val="623954AB"/>
    <w:rsid w:val="62A36DC8"/>
    <w:rsid w:val="62B50C95"/>
    <w:rsid w:val="62B5AF9B"/>
    <w:rsid w:val="62B62F9F"/>
    <w:rsid w:val="62BA6E0E"/>
    <w:rsid w:val="62BCBA49"/>
    <w:rsid w:val="62BF0DA2"/>
    <w:rsid w:val="62D90A3C"/>
    <w:rsid w:val="62EA6E82"/>
    <w:rsid w:val="62EE830F"/>
    <w:rsid w:val="62FFCE2E"/>
    <w:rsid w:val="63133F4E"/>
    <w:rsid w:val="6320666B"/>
    <w:rsid w:val="632C3261"/>
    <w:rsid w:val="635399A2"/>
    <w:rsid w:val="635B4397"/>
    <w:rsid w:val="635F4631"/>
    <w:rsid w:val="636F4AD3"/>
    <w:rsid w:val="6375D026"/>
    <w:rsid w:val="63770981"/>
    <w:rsid w:val="637A3FCD"/>
    <w:rsid w:val="637D6734"/>
    <w:rsid w:val="637F0D04"/>
    <w:rsid w:val="638FF873"/>
    <w:rsid w:val="639C5DDD"/>
    <w:rsid w:val="639F5CAC"/>
    <w:rsid w:val="63AF3B14"/>
    <w:rsid w:val="63B583F2"/>
    <w:rsid w:val="63B7B17D"/>
    <w:rsid w:val="63BD83D7"/>
    <w:rsid w:val="63BFD95A"/>
    <w:rsid w:val="63D3182A"/>
    <w:rsid w:val="63DB17BC"/>
    <w:rsid w:val="63DCAB67"/>
    <w:rsid w:val="63EE41C0"/>
    <w:rsid w:val="63F46989"/>
    <w:rsid w:val="63F6D33B"/>
    <w:rsid w:val="63FB8061"/>
    <w:rsid w:val="63FBFE46"/>
    <w:rsid w:val="63FDC518"/>
    <w:rsid w:val="63FF09AD"/>
    <w:rsid w:val="63FF4E69"/>
    <w:rsid w:val="63FF53F9"/>
    <w:rsid w:val="640146EE"/>
    <w:rsid w:val="64055F8C"/>
    <w:rsid w:val="640970FF"/>
    <w:rsid w:val="6436A879"/>
    <w:rsid w:val="644665A5"/>
    <w:rsid w:val="6477DE0D"/>
    <w:rsid w:val="64790728"/>
    <w:rsid w:val="647D5E70"/>
    <w:rsid w:val="647FD487"/>
    <w:rsid w:val="648FE66B"/>
    <w:rsid w:val="64942E6C"/>
    <w:rsid w:val="64A4493D"/>
    <w:rsid w:val="64AF5A7D"/>
    <w:rsid w:val="64DF2A10"/>
    <w:rsid w:val="64EF07CE"/>
    <w:rsid w:val="64F74F9A"/>
    <w:rsid w:val="64F959BA"/>
    <w:rsid w:val="64FCC648"/>
    <w:rsid w:val="64FF0119"/>
    <w:rsid w:val="64FFCC12"/>
    <w:rsid w:val="650FE92B"/>
    <w:rsid w:val="655B7E2E"/>
    <w:rsid w:val="655F83C1"/>
    <w:rsid w:val="656E368B"/>
    <w:rsid w:val="656E5DB3"/>
    <w:rsid w:val="656FFC62"/>
    <w:rsid w:val="657D1B52"/>
    <w:rsid w:val="65890FF7"/>
    <w:rsid w:val="6595ED12"/>
    <w:rsid w:val="65A3F8A1"/>
    <w:rsid w:val="65AAF64F"/>
    <w:rsid w:val="65AF4E6B"/>
    <w:rsid w:val="65B01F28"/>
    <w:rsid w:val="65B558D3"/>
    <w:rsid w:val="65B65064"/>
    <w:rsid w:val="65B71508"/>
    <w:rsid w:val="65B9C1EA"/>
    <w:rsid w:val="65BA1142"/>
    <w:rsid w:val="65BE0950"/>
    <w:rsid w:val="65CB561B"/>
    <w:rsid w:val="65CE3569"/>
    <w:rsid w:val="65CE8990"/>
    <w:rsid w:val="65D73DE8"/>
    <w:rsid w:val="65E46075"/>
    <w:rsid w:val="65E9EA5A"/>
    <w:rsid w:val="65EB038A"/>
    <w:rsid w:val="65EF80FF"/>
    <w:rsid w:val="65EFB911"/>
    <w:rsid w:val="65F30067"/>
    <w:rsid w:val="65F520A3"/>
    <w:rsid w:val="65F77A27"/>
    <w:rsid w:val="65F7BF4E"/>
    <w:rsid w:val="65F9AA49"/>
    <w:rsid w:val="65FE8F44"/>
    <w:rsid w:val="65FFD882"/>
    <w:rsid w:val="6637A24D"/>
    <w:rsid w:val="663F1067"/>
    <w:rsid w:val="66495ED8"/>
    <w:rsid w:val="66560D21"/>
    <w:rsid w:val="665C5C0C"/>
    <w:rsid w:val="666BB517"/>
    <w:rsid w:val="66771FB0"/>
    <w:rsid w:val="667C4500"/>
    <w:rsid w:val="667DB828"/>
    <w:rsid w:val="667DDA0C"/>
    <w:rsid w:val="667E8B28"/>
    <w:rsid w:val="667EC4E3"/>
    <w:rsid w:val="667FFE7A"/>
    <w:rsid w:val="66833198"/>
    <w:rsid w:val="6695111E"/>
    <w:rsid w:val="6695486F"/>
    <w:rsid w:val="669F5969"/>
    <w:rsid w:val="66A31A8D"/>
    <w:rsid w:val="66A9EF05"/>
    <w:rsid w:val="66AF6538"/>
    <w:rsid w:val="66B70F40"/>
    <w:rsid w:val="66BF230E"/>
    <w:rsid w:val="66CF92ED"/>
    <w:rsid w:val="66D03A5E"/>
    <w:rsid w:val="66D6A73C"/>
    <w:rsid w:val="66DA4846"/>
    <w:rsid w:val="66DF876B"/>
    <w:rsid w:val="66DFB194"/>
    <w:rsid w:val="66E7C86E"/>
    <w:rsid w:val="66EFB868"/>
    <w:rsid w:val="66F5657E"/>
    <w:rsid w:val="66F75798"/>
    <w:rsid w:val="66F7DAAA"/>
    <w:rsid w:val="66FE8FCA"/>
    <w:rsid w:val="66FF6C94"/>
    <w:rsid w:val="6723497B"/>
    <w:rsid w:val="673BD1CA"/>
    <w:rsid w:val="673FDA23"/>
    <w:rsid w:val="674548F2"/>
    <w:rsid w:val="674E4956"/>
    <w:rsid w:val="6757ACEE"/>
    <w:rsid w:val="676AC4DE"/>
    <w:rsid w:val="676F79EB"/>
    <w:rsid w:val="67768793"/>
    <w:rsid w:val="677F0A7C"/>
    <w:rsid w:val="677F4D2D"/>
    <w:rsid w:val="677F7B4F"/>
    <w:rsid w:val="677FC794"/>
    <w:rsid w:val="677FDAFD"/>
    <w:rsid w:val="677FE60B"/>
    <w:rsid w:val="6791F17C"/>
    <w:rsid w:val="679FA512"/>
    <w:rsid w:val="67A5918D"/>
    <w:rsid w:val="67A70655"/>
    <w:rsid w:val="67ABC3E1"/>
    <w:rsid w:val="67AF5130"/>
    <w:rsid w:val="67B722F8"/>
    <w:rsid w:val="67BA7B98"/>
    <w:rsid w:val="67BD6ACF"/>
    <w:rsid w:val="67BD8C08"/>
    <w:rsid w:val="67BDCA5D"/>
    <w:rsid w:val="67BE2A24"/>
    <w:rsid w:val="67BE9962"/>
    <w:rsid w:val="67BF119E"/>
    <w:rsid w:val="67BF5CE7"/>
    <w:rsid w:val="67BF9647"/>
    <w:rsid w:val="67BFF9EF"/>
    <w:rsid w:val="67C5EE79"/>
    <w:rsid w:val="67C7F554"/>
    <w:rsid w:val="67C95523"/>
    <w:rsid w:val="67CF5A90"/>
    <w:rsid w:val="67D79498"/>
    <w:rsid w:val="67D7D0FD"/>
    <w:rsid w:val="67DD4AB9"/>
    <w:rsid w:val="67DE9CE9"/>
    <w:rsid w:val="67DFA230"/>
    <w:rsid w:val="67DFEDF9"/>
    <w:rsid w:val="67E84176"/>
    <w:rsid w:val="67EDAA09"/>
    <w:rsid w:val="67EE00B8"/>
    <w:rsid w:val="67EEBFB4"/>
    <w:rsid w:val="67EF1276"/>
    <w:rsid w:val="67EFD81E"/>
    <w:rsid w:val="67F0485E"/>
    <w:rsid w:val="67F325A0"/>
    <w:rsid w:val="67F60759"/>
    <w:rsid w:val="67F609D7"/>
    <w:rsid w:val="67F7145D"/>
    <w:rsid w:val="67F77BA4"/>
    <w:rsid w:val="67F7D812"/>
    <w:rsid w:val="67F84B0F"/>
    <w:rsid w:val="67FAE2D6"/>
    <w:rsid w:val="67FB7392"/>
    <w:rsid w:val="67FC20B2"/>
    <w:rsid w:val="67FC742D"/>
    <w:rsid w:val="67FCBEA9"/>
    <w:rsid w:val="67FCF7D4"/>
    <w:rsid w:val="67FD533F"/>
    <w:rsid w:val="67FE6ECC"/>
    <w:rsid w:val="67FF6C42"/>
    <w:rsid w:val="67FF7A18"/>
    <w:rsid w:val="67FFC3FD"/>
    <w:rsid w:val="67FFC510"/>
    <w:rsid w:val="68574DD6"/>
    <w:rsid w:val="685F912A"/>
    <w:rsid w:val="686F1F02"/>
    <w:rsid w:val="689B1657"/>
    <w:rsid w:val="68AD6BF3"/>
    <w:rsid w:val="68BE2BAE"/>
    <w:rsid w:val="68BEF758"/>
    <w:rsid w:val="68C69CB0"/>
    <w:rsid w:val="68DDA3D8"/>
    <w:rsid w:val="68E048D2"/>
    <w:rsid w:val="68E343C2"/>
    <w:rsid w:val="68F45290"/>
    <w:rsid w:val="68FF8208"/>
    <w:rsid w:val="691E9593"/>
    <w:rsid w:val="694035C3"/>
    <w:rsid w:val="6942733B"/>
    <w:rsid w:val="6945507D"/>
    <w:rsid w:val="6967B6C3"/>
    <w:rsid w:val="696F5EF0"/>
    <w:rsid w:val="697414BE"/>
    <w:rsid w:val="697D4A44"/>
    <w:rsid w:val="697EB13D"/>
    <w:rsid w:val="697F83A1"/>
    <w:rsid w:val="69A6877A"/>
    <w:rsid w:val="69C43683"/>
    <w:rsid w:val="69DFA46B"/>
    <w:rsid w:val="69DFBF0F"/>
    <w:rsid w:val="69E50285"/>
    <w:rsid w:val="69E77EE2"/>
    <w:rsid w:val="69EE067B"/>
    <w:rsid w:val="69EF2DA1"/>
    <w:rsid w:val="69EF3545"/>
    <w:rsid w:val="69F7CCBF"/>
    <w:rsid w:val="69FC7C55"/>
    <w:rsid w:val="69FF38E5"/>
    <w:rsid w:val="6A0B1E23"/>
    <w:rsid w:val="6A1C4030"/>
    <w:rsid w:val="6A294057"/>
    <w:rsid w:val="6A67B33B"/>
    <w:rsid w:val="6A6F2809"/>
    <w:rsid w:val="6A7C0DC1"/>
    <w:rsid w:val="6A7F242C"/>
    <w:rsid w:val="6A7FAB83"/>
    <w:rsid w:val="6A9F2559"/>
    <w:rsid w:val="6AA839DA"/>
    <w:rsid w:val="6AB64D41"/>
    <w:rsid w:val="6AB7F275"/>
    <w:rsid w:val="6ABBB65D"/>
    <w:rsid w:val="6ABF7D89"/>
    <w:rsid w:val="6AC2D526"/>
    <w:rsid w:val="6ACB3360"/>
    <w:rsid w:val="6AD2A737"/>
    <w:rsid w:val="6AD7613A"/>
    <w:rsid w:val="6ADD823D"/>
    <w:rsid w:val="6AE306AA"/>
    <w:rsid w:val="6AEF46E8"/>
    <w:rsid w:val="6AF629B4"/>
    <w:rsid w:val="6AF6D280"/>
    <w:rsid w:val="6AFD3029"/>
    <w:rsid w:val="6AFDEBAD"/>
    <w:rsid w:val="6AFE375E"/>
    <w:rsid w:val="6B1116BB"/>
    <w:rsid w:val="6B1765A5"/>
    <w:rsid w:val="6B2036AC"/>
    <w:rsid w:val="6B2111D2"/>
    <w:rsid w:val="6B25ECB7"/>
    <w:rsid w:val="6B275234"/>
    <w:rsid w:val="6B27FD49"/>
    <w:rsid w:val="6B3697A7"/>
    <w:rsid w:val="6B371261"/>
    <w:rsid w:val="6B376FA0"/>
    <w:rsid w:val="6B3BF0B4"/>
    <w:rsid w:val="6B3EFDC5"/>
    <w:rsid w:val="6B3FF86F"/>
    <w:rsid w:val="6B5CCB1C"/>
    <w:rsid w:val="6B5D400C"/>
    <w:rsid w:val="6B5FDC57"/>
    <w:rsid w:val="6B7B8B53"/>
    <w:rsid w:val="6B7D02BE"/>
    <w:rsid w:val="6B7D9968"/>
    <w:rsid w:val="6B7E08FB"/>
    <w:rsid w:val="6B7E21BE"/>
    <w:rsid w:val="6B7ECF4E"/>
    <w:rsid w:val="6B8C6F93"/>
    <w:rsid w:val="6B9874A3"/>
    <w:rsid w:val="6B9AA93A"/>
    <w:rsid w:val="6B9D01FE"/>
    <w:rsid w:val="6BA65E47"/>
    <w:rsid w:val="6BAB8C33"/>
    <w:rsid w:val="6BAC3191"/>
    <w:rsid w:val="6BBE7BA6"/>
    <w:rsid w:val="6BBF1C9B"/>
    <w:rsid w:val="6BBF4893"/>
    <w:rsid w:val="6BBF51A0"/>
    <w:rsid w:val="6BBF53A8"/>
    <w:rsid w:val="6BBF6101"/>
    <w:rsid w:val="6BBF6F07"/>
    <w:rsid w:val="6BC009EB"/>
    <w:rsid w:val="6BC335D1"/>
    <w:rsid w:val="6BC73B27"/>
    <w:rsid w:val="6BC7F3AC"/>
    <w:rsid w:val="6BCDAB10"/>
    <w:rsid w:val="6BCDED99"/>
    <w:rsid w:val="6BD726D3"/>
    <w:rsid w:val="6BDA1012"/>
    <w:rsid w:val="6BDB9650"/>
    <w:rsid w:val="6BDC782D"/>
    <w:rsid w:val="6BDD0017"/>
    <w:rsid w:val="6BDD591A"/>
    <w:rsid w:val="6BDDA97F"/>
    <w:rsid w:val="6BDDACAD"/>
    <w:rsid w:val="6BDEB178"/>
    <w:rsid w:val="6BDF3D72"/>
    <w:rsid w:val="6BDF74E9"/>
    <w:rsid w:val="6BE5C65D"/>
    <w:rsid w:val="6BE975C7"/>
    <w:rsid w:val="6BEBE360"/>
    <w:rsid w:val="6BEBF642"/>
    <w:rsid w:val="6BECDC78"/>
    <w:rsid w:val="6BEF5DEB"/>
    <w:rsid w:val="6BEFAD07"/>
    <w:rsid w:val="6BEFC8F2"/>
    <w:rsid w:val="6BEFF6EC"/>
    <w:rsid w:val="6BF02DF2"/>
    <w:rsid w:val="6BF18EAD"/>
    <w:rsid w:val="6BF29E9C"/>
    <w:rsid w:val="6BF57EFF"/>
    <w:rsid w:val="6BF60827"/>
    <w:rsid w:val="6BF9190F"/>
    <w:rsid w:val="6BF9A269"/>
    <w:rsid w:val="6BFB3E8E"/>
    <w:rsid w:val="6BFBA910"/>
    <w:rsid w:val="6BFD80D8"/>
    <w:rsid w:val="6BFD8A4D"/>
    <w:rsid w:val="6BFDA9DC"/>
    <w:rsid w:val="6BFE241E"/>
    <w:rsid w:val="6BFE2AFD"/>
    <w:rsid w:val="6BFF0D08"/>
    <w:rsid w:val="6BFF271D"/>
    <w:rsid w:val="6BFF836D"/>
    <w:rsid w:val="6BFFA71E"/>
    <w:rsid w:val="6BFFB07B"/>
    <w:rsid w:val="6BFFC540"/>
    <w:rsid w:val="6BFFD0C1"/>
    <w:rsid w:val="6C044E9F"/>
    <w:rsid w:val="6C150D37"/>
    <w:rsid w:val="6C225202"/>
    <w:rsid w:val="6C2F075A"/>
    <w:rsid w:val="6C3FB017"/>
    <w:rsid w:val="6C5768F8"/>
    <w:rsid w:val="6C63A74C"/>
    <w:rsid w:val="6C6EC7AB"/>
    <w:rsid w:val="6C7779B5"/>
    <w:rsid w:val="6C7BAB58"/>
    <w:rsid w:val="6C7F45C2"/>
    <w:rsid w:val="6C7F85DA"/>
    <w:rsid w:val="6C9AF4A0"/>
    <w:rsid w:val="6CBB8678"/>
    <w:rsid w:val="6CBD8A81"/>
    <w:rsid w:val="6CBF1B0A"/>
    <w:rsid w:val="6CCA7D73"/>
    <w:rsid w:val="6CD01102"/>
    <w:rsid w:val="6CDA788A"/>
    <w:rsid w:val="6CDD7C90"/>
    <w:rsid w:val="6CDF4FEE"/>
    <w:rsid w:val="6CDFDEC5"/>
    <w:rsid w:val="6CE5B426"/>
    <w:rsid w:val="6CEF9D0A"/>
    <w:rsid w:val="6CF3A721"/>
    <w:rsid w:val="6CF720C4"/>
    <w:rsid w:val="6CFB3BE8"/>
    <w:rsid w:val="6CFCA235"/>
    <w:rsid w:val="6CFDA8C9"/>
    <w:rsid w:val="6CFE8A60"/>
    <w:rsid w:val="6CFF01BD"/>
    <w:rsid w:val="6CFF6481"/>
    <w:rsid w:val="6CFF9C14"/>
    <w:rsid w:val="6CFFAD53"/>
    <w:rsid w:val="6CFFADFE"/>
    <w:rsid w:val="6D0B213A"/>
    <w:rsid w:val="6D1572A6"/>
    <w:rsid w:val="6D1E9915"/>
    <w:rsid w:val="6D1EC237"/>
    <w:rsid w:val="6D2D62A5"/>
    <w:rsid w:val="6D2FD6BC"/>
    <w:rsid w:val="6D3F3B91"/>
    <w:rsid w:val="6D47B74C"/>
    <w:rsid w:val="6D4F831C"/>
    <w:rsid w:val="6D4FC279"/>
    <w:rsid w:val="6D5C4743"/>
    <w:rsid w:val="6D6150A8"/>
    <w:rsid w:val="6D67036D"/>
    <w:rsid w:val="6D6E375F"/>
    <w:rsid w:val="6D6FBF12"/>
    <w:rsid w:val="6D6FE816"/>
    <w:rsid w:val="6D7AAEF5"/>
    <w:rsid w:val="6D7E01F0"/>
    <w:rsid w:val="6D7EA7E1"/>
    <w:rsid w:val="6D7F97E6"/>
    <w:rsid w:val="6D7FDFC7"/>
    <w:rsid w:val="6D8B6DD7"/>
    <w:rsid w:val="6D8F088E"/>
    <w:rsid w:val="6D953A4A"/>
    <w:rsid w:val="6D96331D"/>
    <w:rsid w:val="6DA00AD4"/>
    <w:rsid w:val="6DA192B8"/>
    <w:rsid w:val="6DA935B6"/>
    <w:rsid w:val="6DAD687D"/>
    <w:rsid w:val="6DAE63D6"/>
    <w:rsid w:val="6DB5EC70"/>
    <w:rsid w:val="6DB7927C"/>
    <w:rsid w:val="6DBD256A"/>
    <w:rsid w:val="6DBD888F"/>
    <w:rsid w:val="6DBE3D14"/>
    <w:rsid w:val="6DBE9539"/>
    <w:rsid w:val="6DBF61B0"/>
    <w:rsid w:val="6DBFDD7A"/>
    <w:rsid w:val="6DC472DF"/>
    <w:rsid w:val="6DC72505"/>
    <w:rsid w:val="6DC7F759"/>
    <w:rsid w:val="6DCD0AE2"/>
    <w:rsid w:val="6DD16EDF"/>
    <w:rsid w:val="6DD64088"/>
    <w:rsid w:val="6DDE7063"/>
    <w:rsid w:val="6DDEE3CA"/>
    <w:rsid w:val="6DDF03DA"/>
    <w:rsid w:val="6DDF39E5"/>
    <w:rsid w:val="6DDF5D42"/>
    <w:rsid w:val="6DDFE088"/>
    <w:rsid w:val="6DE67042"/>
    <w:rsid w:val="6DE70DBF"/>
    <w:rsid w:val="6DE96B84"/>
    <w:rsid w:val="6DEFCA18"/>
    <w:rsid w:val="6DEFE272"/>
    <w:rsid w:val="6DEFFDC6"/>
    <w:rsid w:val="6DF4E97C"/>
    <w:rsid w:val="6DF6E6A5"/>
    <w:rsid w:val="6DF6EBCA"/>
    <w:rsid w:val="6DF75554"/>
    <w:rsid w:val="6DF90C41"/>
    <w:rsid w:val="6DF9BC40"/>
    <w:rsid w:val="6DFAAA9B"/>
    <w:rsid w:val="6DFB03E3"/>
    <w:rsid w:val="6DFB7009"/>
    <w:rsid w:val="6DFBB7A5"/>
    <w:rsid w:val="6DFBE7F9"/>
    <w:rsid w:val="6DFBF102"/>
    <w:rsid w:val="6DFCB1B2"/>
    <w:rsid w:val="6DFCE2AA"/>
    <w:rsid w:val="6DFD1318"/>
    <w:rsid w:val="6DFD2E8B"/>
    <w:rsid w:val="6DFDD01E"/>
    <w:rsid w:val="6DFF84A1"/>
    <w:rsid w:val="6DFF98E0"/>
    <w:rsid w:val="6DFFACAF"/>
    <w:rsid w:val="6DFFE506"/>
    <w:rsid w:val="6DFFF59E"/>
    <w:rsid w:val="6E1F7FA7"/>
    <w:rsid w:val="6E2D5A43"/>
    <w:rsid w:val="6E2F46BE"/>
    <w:rsid w:val="6E3940C9"/>
    <w:rsid w:val="6E3E812A"/>
    <w:rsid w:val="6E3FE72C"/>
    <w:rsid w:val="6E456A32"/>
    <w:rsid w:val="6E6A6042"/>
    <w:rsid w:val="6E6E3B6D"/>
    <w:rsid w:val="6E7563A8"/>
    <w:rsid w:val="6E7B62E7"/>
    <w:rsid w:val="6E7DEEB5"/>
    <w:rsid w:val="6E7EBAAB"/>
    <w:rsid w:val="6E7F95E5"/>
    <w:rsid w:val="6E8B1784"/>
    <w:rsid w:val="6E8F6D71"/>
    <w:rsid w:val="6E9F14A2"/>
    <w:rsid w:val="6EAE87DB"/>
    <w:rsid w:val="6EAFCD4C"/>
    <w:rsid w:val="6EAFD2BC"/>
    <w:rsid w:val="6EB34837"/>
    <w:rsid w:val="6EBA3542"/>
    <w:rsid w:val="6EBBFBB7"/>
    <w:rsid w:val="6EBE3A73"/>
    <w:rsid w:val="6EBF0ECC"/>
    <w:rsid w:val="6EBF2AC0"/>
    <w:rsid w:val="6EBF36A9"/>
    <w:rsid w:val="6EBF489E"/>
    <w:rsid w:val="6EBFD8B3"/>
    <w:rsid w:val="6EC54E59"/>
    <w:rsid w:val="6ED22F0F"/>
    <w:rsid w:val="6ED524BC"/>
    <w:rsid w:val="6ED67B1D"/>
    <w:rsid w:val="6ED68AB2"/>
    <w:rsid w:val="6ED818EC"/>
    <w:rsid w:val="6ED9F078"/>
    <w:rsid w:val="6EDDC3C3"/>
    <w:rsid w:val="6EE663C0"/>
    <w:rsid w:val="6EE7B3DB"/>
    <w:rsid w:val="6EE925D2"/>
    <w:rsid w:val="6EEA17EB"/>
    <w:rsid w:val="6EED7C58"/>
    <w:rsid w:val="6EEEDBAE"/>
    <w:rsid w:val="6EEF7430"/>
    <w:rsid w:val="6EEFB783"/>
    <w:rsid w:val="6EEFF4B7"/>
    <w:rsid w:val="6EF32A9B"/>
    <w:rsid w:val="6EF3A2C5"/>
    <w:rsid w:val="6EF521C3"/>
    <w:rsid w:val="6EF74499"/>
    <w:rsid w:val="6EF98611"/>
    <w:rsid w:val="6EFB2B4F"/>
    <w:rsid w:val="6EFBAFA6"/>
    <w:rsid w:val="6EFBBA24"/>
    <w:rsid w:val="6EFBEA90"/>
    <w:rsid w:val="6EFD009F"/>
    <w:rsid w:val="6EFD38BB"/>
    <w:rsid w:val="6EFD5608"/>
    <w:rsid w:val="6EFDEBC5"/>
    <w:rsid w:val="6EFE4493"/>
    <w:rsid w:val="6EFE5691"/>
    <w:rsid w:val="6EFF0B06"/>
    <w:rsid w:val="6EFF2AAA"/>
    <w:rsid w:val="6EFF3052"/>
    <w:rsid w:val="6EFF5882"/>
    <w:rsid w:val="6EFF7438"/>
    <w:rsid w:val="6EFF9D15"/>
    <w:rsid w:val="6EFFA5F5"/>
    <w:rsid w:val="6EFFD908"/>
    <w:rsid w:val="6F17A4A2"/>
    <w:rsid w:val="6F1D12EA"/>
    <w:rsid w:val="6F1E2418"/>
    <w:rsid w:val="6F29920E"/>
    <w:rsid w:val="6F2BCBCD"/>
    <w:rsid w:val="6F35866F"/>
    <w:rsid w:val="6F3B8A82"/>
    <w:rsid w:val="6F3BEB83"/>
    <w:rsid w:val="6F3DC345"/>
    <w:rsid w:val="6F3E47A2"/>
    <w:rsid w:val="6F3F9F76"/>
    <w:rsid w:val="6F3FE6FD"/>
    <w:rsid w:val="6F40431D"/>
    <w:rsid w:val="6F410095"/>
    <w:rsid w:val="6F4F5F4F"/>
    <w:rsid w:val="6F5725CE"/>
    <w:rsid w:val="6F57E244"/>
    <w:rsid w:val="6F5BE3EF"/>
    <w:rsid w:val="6F5E9AED"/>
    <w:rsid w:val="6F5F04E0"/>
    <w:rsid w:val="6F5F6C2D"/>
    <w:rsid w:val="6F67317B"/>
    <w:rsid w:val="6F6B7F8A"/>
    <w:rsid w:val="6F6BD6FA"/>
    <w:rsid w:val="6F6D0E8A"/>
    <w:rsid w:val="6F6D5221"/>
    <w:rsid w:val="6F6E3510"/>
    <w:rsid w:val="6F6F889D"/>
    <w:rsid w:val="6F6FAE0C"/>
    <w:rsid w:val="6F73919F"/>
    <w:rsid w:val="6F76F541"/>
    <w:rsid w:val="6F77D130"/>
    <w:rsid w:val="6F79A427"/>
    <w:rsid w:val="6F7A3C13"/>
    <w:rsid w:val="6F7BCEA2"/>
    <w:rsid w:val="6F7BE17C"/>
    <w:rsid w:val="6F7D175D"/>
    <w:rsid w:val="6F7EB998"/>
    <w:rsid w:val="6F7ECC37"/>
    <w:rsid w:val="6F7ED47E"/>
    <w:rsid w:val="6F7F0A9E"/>
    <w:rsid w:val="6F7F3E62"/>
    <w:rsid w:val="6F7F506B"/>
    <w:rsid w:val="6F7FE38E"/>
    <w:rsid w:val="6F7FE499"/>
    <w:rsid w:val="6F7FFD96"/>
    <w:rsid w:val="6F8D32DA"/>
    <w:rsid w:val="6F8F39F0"/>
    <w:rsid w:val="6F906926"/>
    <w:rsid w:val="6F973B16"/>
    <w:rsid w:val="6F997ED1"/>
    <w:rsid w:val="6F9B1D86"/>
    <w:rsid w:val="6F9BABA3"/>
    <w:rsid w:val="6F9DCDDB"/>
    <w:rsid w:val="6F9F6AF5"/>
    <w:rsid w:val="6FA786B1"/>
    <w:rsid w:val="6FAD620A"/>
    <w:rsid w:val="6FAF41B2"/>
    <w:rsid w:val="6FAF4607"/>
    <w:rsid w:val="6FB38710"/>
    <w:rsid w:val="6FB4D2E3"/>
    <w:rsid w:val="6FB74978"/>
    <w:rsid w:val="6FB7B84C"/>
    <w:rsid w:val="6FB8FA59"/>
    <w:rsid w:val="6FB92499"/>
    <w:rsid w:val="6FB96E3E"/>
    <w:rsid w:val="6FBB27F8"/>
    <w:rsid w:val="6FBBB1B2"/>
    <w:rsid w:val="6FBBCBAC"/>
    <w:rsid w:val="6FBC4FBE"/>
    <w:rsid w:val="6FBD0657"/>
    <w:rsid w:val="6FBD2CDE"/>
    <w:rsid w:val="6FBDADD5"/>
    <w:rsid w:val="6FBE7DBE"/>
    <w:rsid w:val="6FBEE21C"/>
    <w:rsid w:val="6FBEF715"/>
    <w:rsid w:val="6FBF2F0D"/>
    <w:rsid w:val="6FBF499D"/>
    <w:rsid w:val="6FBF798B"/>
    <w:rsid w:val="6FBF9FD2"/>
    <w:rsid w:val="6FBFA316"/>
    <w:rsid w:val="6FBFAE12"/>
    <w:rsid w:val="6FC60B32"/>
    <w:rsid w:val="6FC7059A"/>
    <w:rsid w:val="6FC7A38D"/>
    <w:rsid w:val="6FC7E406"/>
    <w:rsid w:val="6FC96F3C"/>
    <w:rsid w:val="6FCA12FE"/>
    <w:rsid w:val="6FCDBF86"/>
    <w:rsid w:val="6FCF6ECB"/>
    <w:rsid w:val="6FD46A31"/>
    <w:rsid w:val="6FD5A685"/>
    <w:rsid w:val="6FD75CA3"/>
    <w:rsid w:val="6FD7877A"/>
    <w:rsid w:val="6FD7A0CE"/>
    <w:rsid w:val="6FD7C03E"/>
    <w:rsid w:val="6FDB5E29"/>
    <w:rsid w:val="6FDB700B"/>
    <w:rsid w:val="6FDBDD78"/>
    <w:rsid w:val="6FDC3E4F"/>
    <w:rsid w:val="6FDD0188"/>
    <w:rsid w:val="6FDDB835"/>
    <w:rsid w:val="6FDDD4DA"/>
    <w:rsid w:val="6FDDDBF6"/>
    <w:rsid w:val="6FDDFEB2"/>
    <w:rsid w:val="6FDF2EBE"/>
    <w:rsid w:val="6FDFC410"/>
    <w:rsid w:val="6FDFDB60"/>
    <w:rsid w:val="6FDFE064"/>
    <w:rsid w:val="6FDFF28A"/>
    <w:rsid w:val="6FE0B4F8"/>
    <w:rsid w:val="6FE34462"/>
    <w:rsid w:val="6FE55630"/>
    <w:rsid w:val="6FE752B4"/>
    <w:rsid w:val="6FE75E83"/>
    <w:rsid w:val="6FE7A290"/>
    <w:rsid w:val="6FE7C7C8"/>
    <w:rsid w:val="6FEB4AA0"/>
    <w:rsid w:val="6FED88C9"/>
    <w:rsid w:val="6FEDBCC0"/>
    <w:rsid w:val="6FEDC4B4"/>
    <w:rsid w:val="6FEE9284"/>
    <w:rsid w:val="6FEF0BB5"/>
    <w:rsid w:val="6FEF1D3E"/>
    <w:rsid w:val="6FEF312C"/>
    <w:rsid w:val="6FEF8E73"/>
    <w:rsid w:val="6FEF9D0B"/>
    <w:rsid w:val="6FEFAD5E"/>
    <w:rsid w:val="6FEFB99E"/>
    <w:rsid w:val="6FEFC983"/>
    <w:rsid w:val="6FEFD88F"/>
    <w:rsid w:val="6FEFE233"/>
    <w:rsid w:val="6FF03AFE"/>
    <w:rsid w:val="6FF3455E"/>
    <w:rsid w:val="6FF3A7AF"/>
    <w:rsid w:val="6FF3CA3B"/>
    <w:rsid w:val="6FF5118F"/>
    <w:rsid w:val="6FF52673"/>
    <w:rsid w:val="6FF52E31"/>
    <w:rsid w:val="6FF5D7D2"/>
    <w:rsid w:val="6FF6324B"/>
    <w:rsid w:val="6FF6CBDF"/>
    <w:rsid w:val="6FF70945"/>
    <w:rsid w:val="6FF73043"/>
    <w:rsid w:val="6FF732F8"/>
    <w:rsid w:val="6FF73D49"/>
    <w:rsid w:val="6FF73E3A"/>
    <w:rsid w:val="6FF75A34"/>
    <w:rsid w:val="6FF7798A"/>
    <w:rsid w:val="6FF789CF"/>
    <w:rsid w:val="6FF7C28E"/>
    <w:rsid w:val="6FF805E5"/>
    <w:rsid w:val="6FF985B3"/>
    <w:rsid w:val="6FF9F502"/>
    <w:rsid w:val="6FFA69C3"/>
    <w:rsid w:val="6FFADB4C"/>
    <w:rsid w:val="6FFB3166"/>
    <w:rsid w:val="6FFBA3A9"/>
    <w:rsid w:val="6FFBB41F"/>
    <w:rsid w:val="6FFBC907"/>
    <w:rsid w:val="6FFC21E9"/>
    <w:rsid w:val="6FFCACF0"/>
    <w:rsid w:val="6FFD14E7"/>
    <w:rsid w:val="6FFD2202"/>
    <w:rsid w:val="6FFD2690"/>
    <w:rsid w:val="6FFD60CB"/>
    <w:rsid w:val="6FFD77C2"/>
    <w:rsid w:val="6FFDA548"/>
    <w:rsid w:val="6FFDD1C6"/>
    <w:rsid w:val="6FFE2304"/>
    <w:rsid w:val="6FFE398B"/>
    <w:rsid w:val="6FFE5F22"/>
    <w:rsid w:val="6FFE72D8"/>
    <w:rsid w:val="6FFE8AF6"/>
    <w:rsid w:val="6FFEBF2A"/>
    <w:rsid w:val="6FFED409"/>
    <w:rsid w:val="6FFF1A03"/>
    <w:rsid w:val="6FFF1E99"/>
    <w:rsid w:val="6FFF1FE7"/>
    <w:rsid w:val="6FFF2B33"/>
    <w:rsid w:val="6FFF2F32"/>
    <w:rsid w:val="6FFF2F9E"/>
    <w:rsid w:val="6FFF3595"/>
    <w:rsid w:val="6FFF3668"/>
    <w:rsid w:val="6FFF37BF"/>
    <w:rsid w:val="6FFF4096"/>
    <w:rsid w:val="6FFF438D"/>
    <w:rsid w:val="6FFF4B9F"/>
    <w:rsid w:val="6FFF584B"/>
    <w:rsid w:val="6FFF62C9"/>
    <w:rsid w:val="6FFF9375"/>
    <w:rsid w:val="6FFF9DF4"/>
    <w:rsid w:val="6FFFBBD8"/>
    <w:rsid w:val="6FFFDA46"/>
    <w:rsid w:val="6FFFDCD3"/>
    <w:rsid w:val="700F1F41"/>
    <w:rsid w:val="701337DF"/>
    <w:rsid w:val="704C0A9F"/>
    <w:rsid w:val="708661EB"/>
    <w:rsid w:val="7089584F"/>
    <w:rsid w:val="70934D89"/>
    <w:rsid w:val="70C60851"/>
    <w:rsid w:val="70C720BD"/>
    <w:rsid w:val="70CC398E"/>
    <w:rsid w:val="70D754EE"/>
    <w:rsid w:val="70DD32EA"/>
    <w:rsid w:val="70DF805E"/>
    <w:rsid w:val="714F0ED1"/>
    <w:rsid w:val="715C11B6"/>
    <w:rsid w:val="71779D21"/>
    <w:rsid w:val="717BD518"/>
    <w:rsid w:val="717FC651"/>
    <w:rsid w:val="719721EE"/>
    <w:rsid w:val="71BB196A"/>
    <w:rsid w:val="71BF3A64"/>
    <w:rsid w:val="71CD20B4"/>
    <w:rsid w:val="71D58D54"/>
    <w:rsid w:val="71DD737B"/>
    <w:rsid w:val="71E46D8E"/>
    <w:rsid w:val="71ED162E"/>
    <w:rsid w:val="71EF2C67"/>
    <w:rsid w:val="71EF8C3B"/>
    <w:rsid w:val="71F15DA2"/>
    <w:rsid w:val="71F5529D"/>
    <w:rsid w:val="71F7049B"/>
    <w:rsid w:val="71F72C8D"/>
    <w:rsid w:val="71FC5669"/>
    <w:rsid w:val="71FD1AD7"/>
    <w:rsid w:val="71FEF277"/>
    <w:rsid w:val="71FF4C1E"/>
    <w:rsid w:val="71FF718F"/>
    <w:rsid w:val="71FF9E92"/>
    <w:rsid w:val="71FFF7C9"/>
    <w:rsid w:val="71FFF9DA"/>
    <w:rsid w:val="722717C4"/>
    <w:rsid w:val="723E3D80"/>
    <w:rsid w:val="723E735B"/>
    <w:rsid w:val="724F0D1A"/>
    <w:rsid w:val="7251239D"/>
    <w:rsid w:val="725E4A56"/>
    <w:rsid w:val="725FC8EF"/>
    <w:rsid w:val="727147ED"/>
    <w:rsid w:val="727AE6DC"/>
    <w:rsid w:val="727B9954"/>
    <w:rsid w:val="727FA034"/>
    <w:rsid w:val="728E35F1"/>
    <w:rsid w:val="729055BB"/>
    <w:rsid w:val="72964253"/>
    <w:rsid w:val="729E66E9"/>
    <w:rsid w:val="72AD1C1D"/>
    <w:rsid w:val="72B62B48"/>
    <w:rsid w:val="72B7DB04"/>
    <w:rsid w:val="72BBEE0D"/>
    <w:rsid w:val="72BEAD80"/>
    <w:rsid w:val="72BF0C81"/>
    <w:rsid w:val="72D33190"/>
    <w:rsid w:val="72D3B61F"/>
    <w:rsid w:val="72DE0B17"/>
    <w:rsid w:val="72DF5D7A"/>
    <w:rsid w:val="72EDC4D3"/>
    <w:rsid w:val="72EE4E2A"/>
    <w:rsid w:val="72F01BB6"/>
    <w:rsid w:val="72F378F8"/>
    <w:rsid w:val="72F5B143"/>
    <w:rsid w:val="72FB511D"/>
    <w:rsid w:val="72FBEF7B"/>
    <w:rsid w:val="72FD4305"/>
    <w:rsid w:val="72FE49FE"/>
    <w:rsid w:val="72FED5A5"/>
    <w:rsid w:val="72FF413A"/>
    <w:rsid w:val="73027B3B"/>
    <w:rsid w:val="731E9485"/>
    <w:rsid w:val="73397A01"/>
    <w:rsid w:val="733DB82E"/>
    <w:rsid w:val="733DD587"/>
    <w:rsid w:val="7353DAEC"/>
    <w:rsid w:val="735E3C9F"/>
    <w:rsid w:val="735F2217"/>
    <w:rsid w:val="735F78B3"/>
    <w:rsid w:val="735FE2F2"/>
    <w:rsid w:val="73620908"/>
    <w:rsid w:val="736B748E"/>
    <w:rsid w:val="73758C30"/>
    <w:rsid w:val="737A617F"/>
    <w:rsid w:val="737C31A5"/>
    <w:rsid w:val="737D2317"/>
    <w:rsid w:val="737D60F5"/>
    <w:rsid w:val="737D9356"/>
    <w:rsid w:val="737F4DB6"/>
    <w:rsid w:val="737F67A0"/>
    <w:rsid w:val="737FE08C"/>
    <w:rsid w:val="738B99FF"/>
    <w:rsid w:val="73927111"/>
    <w:rsid w:val="73975E6D"/>
    <w:rsid w:val="739C23B8"/>
    <w:rsid w:val="739F3AC4"/>
    <w:rsid w:val="73AA9A06"/>
    <w:rsid w:val="73ABD6B7"/>
    <w:rsid w:val="73B6DD2A"/>
    <w:rsid w:val="73B70582"/>
    <w:rsid w:val="73B71A02"/>
    <w:rsid w:val="73B72970"/>
    <w:rsid w:val="73B821E2"/>
    <w:rsid w:val="73BF6B48"/>
    <w:rsid w:val="73BF7A7E"/>
    <w:rsid w:val="73BFA05A"/>
    <w:rsid w:val="73BFC392"/>
    <w:rsid w:val="73C13552"/>
    <w:rsid w:val="73C62AC1"/>
    <w:rsid w:val="73CD4D57"/>
    <w:rsid w:val="73D7B105"/>
    <w:rsid w:val="73DB0D4E"/>
    <w:rsid w:val="73DB5FB5"/>
    <w:rsid w:val="73DC9114"/>
    <w:rsid w:val="73DCF536"/>
    <w:rsid w:val="73DD53B1"/>
    <w:rsid w:val="73DDC370"/>
    <w:rsid w:val="73DF3F4A"/>
    <w:rsid w:val="73DF7828"/>
    <w:rsid w:val="73DFA55B"/>
    <w:rsid w:val="73DFCD50"/>
    <w:rsid w:val="73E7F4FC"/>
    <w:rsid w:val="73EA0CFB"/>
    <w:rsid w:val="73EBCA4B"/>
    <w:rsid w:val="73EE6057"/>
    <w:rsid w:val="73EEA1A6"/>
    <w:rsid w:val="73EEB5E2"/>
    <w:rsid w:val="73EF0AA5"/>
    <w:rsid w:val="73EF177F"/>
    <w:rsid w:val="73F2F25E"/>
    <w:rsid w:val="73F3BFA9"/>
    <w:rsid w:val="73F5FA1F"/>
    <w:rsid w:val="73F66309"/>
    <w:rsid w:val="73F7BC00"/>
    <w:rsid w:val="73F7BCD4"/>
    <w:rsid w:val="73FB092C"/>
    <w:rsid w:val="73FB51E5"/>
    <w:rsid w:val="73FBE638"/>
    <w:rsid w:val="73FBED79"/>
    <w:rsid w:val="73FBFD95"/>
    <w:rsid w:val="73FC327D"/>
    <w:rsid w:val="73FCDA45"/>
    <w:rsid w:val="73FD0572"/>
    <w:rsid w:val="73FD1447"/>
    <w:rsid w:val="73FE6636"/>
    <w:rsid w:val="73FE907B"/>
    <w:rsid w:val="73FEB756"/>
    <w:rsid w:val="73FEDC56"/>
    <w:rsid w:val="73FF3758"/>
    <w:rsid w:val="73FF3ACE"/>
    <w:rsid w:val="73FF4D0C"/>
    <w:rsid w:val="73FF58A2"/>
    <w:rsid w:val="73FF840F"/>
    <w:rsid w:val="73FF9579"/>
    <w:rsid w:val="73FFAD3E"/>
    <w:rsid w:val="73FFD612"/>
    <w:rsid w:val="740A4EF9"/>
    <w:rsid w:val="742835D1"/>
    <w:rsid w:val="74463A57"/>
    <w:rsid w:val="745E8CEF"/>
    <w:rsid w:val="746C6248"/>
    <w:rsid w:val="747D56CB"/>
    <w:rsid w:val="74B338DE"/>
    <w:rsid w:val="74BB8FC9"/>
    <w:rsid w:val="74BF4D7C"/>
    <w:rsid w:val="74CE5F27"/>
    <w:rsid w:val="74DD5FE3"/>
    <w:rsid w:val="74DFC44B"/>
    <w:rsid w:val="74E151B2"/>
    <w:rsid w:val="74E3DB9F"/>
    <w:rsid w:val="74E6D1D6"/>
    <w:rsid w:val="74EF249E"/>
    <w:rsid w:val="74EF9F0D"/>
    <w:rsid w:val="74F01425"/>
    <w:rsid w:val="74F1259C"/>
    <w:rsid w:val="74F49EB4"/>
    <w:rsid w:val="74F70554"/>
    <w:rsid w:val="74FBBB43"/>
    <w:rsid w:val="74FF13A4"/>
    <w:rsid w:val="74FF7336"/>
    <w:rsid w:val="751332DC"/>
    <w:rsid w:val="751993B6"/>
    <w:rsid w:val="751CF031"/>
    <w:rsid w:val="751E2B21"/>
    <w:rsid w:val="752F09AA"/>
    <w:rsid w:val="752F1700"/>
    <w:rsid w:val="7533260A"/>
    <w:rsid w:val="754FB59E"/>
    <w:rsid w:val="754FB5E2"/>
    <w:rsid w:val="755EB817"/>
    <w:rsid w:val="755F74C6"/>
    <w:rsid w:val="756B19C7"/>
    <w:rsid w:val="756F482E"/>
    <w:rsid w:val="75711A4B"/>
    <w:rsid w:val="75750A98"/>
    <w:rsid w:val="75787F40"/>
    <w:rsid w:val="757958C8"/>
    <w:rsid w:val="757CDB8B"/>
    <w:rsid w:val="757D685F"/>
    <w:rsid w:val="757D788C"/>
    <w:rsid w:val="757DE146"/>
    <w:rsid w:val="757F854E"/>
    <w:rsid w:val="75968C08"/>
    <w:rsid w:val="75975053"/>
    <w:rsid w:val="759B9A1B"/>
    <w:rsid w:val="759BE124"/>
    <w:rsid w:val="759C265E"/>
    <w:rsid w:val="75AF38E9"/>
    <w:rsid w:val="75B37B05"/>
    <w:rsid w:val="75B3DFDF"/>
    <w:rsid w:val="75B55338"/>
    <w:rsid w:val="75B705AC"/>
    <w:rsid w:val="75BA76E3"/>
    <w:rsid w:val="75BBE543"/>
    <w:rsid w:val="75BC5BE4"/>
    <w:rsid w:val="75BE8D14"/>
    <w:rsid w:val="75BEEBAE"/>
    <w:rsid w:val="75BFB5C2"/>
    <w:rsid w:val="75C75D1B"/>
    <w:rsid w:val="75C77A6C"/>
    <w:rsid w:val="75CF34D1"/>
    <w:rsid w:val="75CF3CE2"/>
    <w:rsid w:val="75CF7382"/>
    <w:rsid w:val="75D3BD70"/>
    <w:rsid w:val="75D60E39"/>
    <w:rsid w:val="75D7EA1C"/>
    <w:rsid w:val="75DB1EDC"/>
    <w:rsid w:val="75DBD6F5"/>
    <w:rsid w:val="75DCAC78"/>
    <w:rsid w:val="75DDA0B1"/>
    <w:rsid w:val="75DECF90"/>
    <w:rsid w:val="75DEEBB4"/>
    <w:rsid w:val="75DEEDDE"/>
    <w:rsid w:val="75DF0375"/>
    <w:rsid w:val="75DFD342"/>
    <w:rsid w:val="75DFF5D6"/>
    <w:rsid w:val="75E19CAC"/>
    <w:rsid w:val="75E933DB"/>
    <w:rsid w:val="75ED5D32"/>
    <w:rsid w:val="75EDB6E3"/>
    <w:rsid w:val="75EE3C9C"/>
    <w:rsid w:val="75EEBE9A"/>
    <w:rsid w:val="75EF70F1"/>
    <w:rsid w:val="75EF923F"/>
    <w:rsid w:val="75F4E8C6"/>
    <w:rsid w:val="75F584CA"/>
    <w:rsid w:val="75F61BD9"/>
    <w:rsid w:val="75F71329"/>
    <w:rsid w:val="75F77C9F"/>
    <w:rsid w:val="75F7C3E8"/>
    <w:rsid w:val="75F927B4"/>
    <w:rsid w:val="75FAAECE"/>
    <w:rsid w:val="75FB0546"/>
    <w:rsid w:val="75FBA055"/>
    <w:rsid w:val="75FBD639"/>
    <w:rsid w:val="75FD010B"/>
    <w:rsid w:val="75FD6983"/>
    <w:rsid w:val="75FDCB60"/>
    <w:rsid w:val="75FDEDA9"/>
    <w:rsid w:val="75FE6CDF"/>
    <w:rsid w:val="75FEAC56"/>
    <w:rsid w:val="75FF1BAC"/>
    <w:rsid w:val="75FF1FBD"/>
    <w:rsid w:val="75FF8A87"/>
    <w:rsid w:val="75FFFD51"/>
    <w:rsid w:val="762FB7AB"/>
    <w:rsid w:val="763E9031"/>
    <w:rsid w:val="765C4730"/>
    <w:rsid w:val="765E14E0"/>
    <w:rsid w:val="765F0238"/>
    <w:rsid w:val="766034F6"/>
    <w:rsid w:val="76619653"/>
    <w:rsid w:val="7668312F"/>
    <w:rsid w:val="766D51E3"/>
    <w:rsid w:val="76758E88"/>
    <w:rsid w:val="7676F936"/>
    <w:rsid w:val="76777C7D"/>
    <w:rsid w:val="76778FF5"/>
    <w:rsid w:val="76792526"/>
    <w:rsid w:val="76795E09"/>
    <w:rsid w:val="767C30E7"/>
    <w:rsid w:val="767CF234"/>
    <w:rsid w:val="767DD424"/>
    <w:rsid w:val="767E1CAD"/>
    <w:rsid w:val="767F86E9"/>
    <w:rsid w:val="767F9F16"/>
    <w:rsid w:val="767FA201"/>
    <w:rsid w:val="76872831"/>
    <w:rsid w:val="76876435"/>
    <w:rsid w:val="768B40CC"/>
    <w:rsid w:val="768E3B90"/>
    <w:rsid w:val="769E8203"/>
    <w:rsid w:val="769EDD97"/>
    <w:rsid w:val="769F7A0C"/>
    <w:rsid w:val="769F8776"/>
    <w:rsid w:val="76A7CD69"/>
    <w:rsid w:val="76AD14D5"/>
    <w:rsid w:val="76AFA848"/>
    <w:rsid w:val="76B22125"/>
    <w:rsid w:val="76B305B7"/>
    <w:rsid w:val="76BEAA84"/>
    <w:rsid w:val="76BF10D9"/>
    <w:rsid w:val="76BF3BCF"/>
    <w:rsid w:val="76BF7D9C"/>
    <w:rsid w:val="76BF93D5"/>
    <w:rsid w:val="76BFEE53"/>
    <w:rsid w:val="76CB88E8"/>
    <w:rsid w:val="76CD60C0"/>
    <w:rsid w:val="76CF51B5"/>
    <w:rsid w:val="76D71DF5"/>
    <w:rsid w:val="76DAA7CB"/>
    <w:rsid w:val="76DB18DE"/>
    <w:rsid w:val="76DBB685"/>
    <w:rsid w:val="76DD3612"/>
    <w:rsid w:val="76DD74D9"/>
    <w:rsid w:val="76DDD343"/>
    <w:rsid w:val="76DE899C"/>
    <w:rsid w:val="76DF2C57"/>
    <w:rsid w:val="76E649A1"/>
    <w:rsid w:val="76EEEE1B"/>
    <w:rsid w:val="76EF115C"/>
    <w:rsid w:val="76EF57D2"/>
    <w:rsid w:val="76EFFA4D"/>
    <w:rsid w:val="76F212E1"/>
    <w:rsid w:val="76F4BF6D"/>
    <w:rsid w:val="76F66947"/>
    <w:rsid w:val="76F6DA44"/>
    <w:rsid w:val="76F6EB4D"/>
    <w:rsid w:val="76F7C76E"/>
    <w:rsid w:val="76FA2C74"/>
    <w:rsid w:val="76FB01B0"/>
    <w:rsid w:val="76FB86F8"/>
    <w:rsid w:val="76FBA8F9"/>
    <w:rsid w:val="76FC95A9"/>
    <w:rsid w:val="76FD347D"/>
    <w:rsid w:val="76FDC995"/>
    <w:rsid w:val="76FDE94E"/>
    <w:rsid w:val="76FDEE77"/>
    <w:rsid w:val="76FDEED4"/>
    <w:rsid w:val="76FE0F09"/>
    <w:rsid w:val="76FE7F0E"/>
    <w:rsid w:val="76FEC65F"/>
    <w:rsid w:val="76FF4B2A"/>
    <w:rsid w:val="76FFCC05"/>
    <w:rsid w:val="76FFDB4D"/>
    <w:rsid w:val="771542E1"/>
    <w:rsid w:val="771D6704"/>
    <w:rsid w:val="7729680C"/>
    <w:rsid w:val="772B6550"/>
    <w:rsid w:val="772FA0C5"/>
    <w:rsid w:val="77304C77"/>
    <w:rsid w:val="773B8CF5"/>
    <w:rsid w:val="773FF706"/>
    <w:rsid w:val="774B75F6"/>
    <w:rsid w:val="774F97F9"/>
    <w:rsid w:val="77531381"/>
    <w:rsid w:val="77553F9B"/>
    <w:rsid w:val="775547B2"/>
    <w:rsid w:val="7756F3AC"/>
    <w:rsid w:val="775C369D"/>
    <w:rsid w:val="775C7175"/>
    <w:rsid w:val="775D68EF"/>
    <w:rsid w:val="775E5530"/>
    <w:rsid w:val="775E71CA"/>
    <w:rsid w:val="775F1061"/>
    <w:rsid w:val="775F3CBB"/>
    <w:rsid w:val="775F617B"/>
    <w:rsid w:val="775F7993"/>
    <w:rsid w:val="775FA5F5"/>
    <w:rsid w:val="775FACF2"/>
    <w:rsid w:val="77672E1E"/>
    <w:rsid w:val="7767CD9F"/>
    <w:rsid w:val="7767D006"/>
    <w:rsid w:val="776A6EB6"/>
    <w:rsid w:val="776B5CAF"/>
    <w:rsid w:val="776D3D3C"/>
    <w:rsid w:val="776F27A1"/>
    <w:rsid w:val="776F6B88"/>
    <w:rsid w:val="776F8DAE"/>
    <w:rsid w:val="77712B6A"/>
    <w:rsid w:val="7775BD14"/>
    <w:rsid w:val="7775E27F"/>
    <w:rsid w:val="7776C4D3"/>
    <w:rsid w:val="777A3A88"/>
    <w:rsid w:val="777BA7B2"/>
    <w:rsid w:val="777D134D"/>
    <w:rsid w:val="777DB69A"/>
    <w:rsid w:val="777F2B48"/>
    <w:rsid w:val="777FBBD4"/>
    <w:rsid w:val="777FC476"/>
    <w:rsid w:val="777FC711"/>
    <w:rsid w:val="777FD4ED"/>
    <w:rsid w:val="777FD985"/>
    <w:rsid w:val="777FE74E"/>
    <w:rsid w:val="777FFD30"/>
    <w:rsid w:val="77897283"/>
    <w:rsid w:val="7789BEF3"/>
    <w:rsid w:val="7792F7DA"/>
    <w:rsid w:val="7795ECCD"/>
    <w:rsid w:val="77990309"/>
    <w:rsid w:val="779BF2ED"/>
    <w:rsid w:val="779E48FC"/>
    <w:rsid w:val="779F86F1"/>
    <w:rsid w:val="779F925F"/>
    <w:rsid w:val="779FA06F"/>
    <w:rsid w:val="77A05125"/>
    <w:rsid w:val="77A411C1"/>
    <w:rsid w:val="77A69309"/>
    <w:rsid w:val="77AA86B5"/>
    <w:rsid w:val="77ABE101"/>
    <w:rsid w:val="77AD049E"/>
    <w:rsid w:val="77ADC243"/>
    <w:rsid w:val="77AE209A"/>
    <w:rsid w:val="77AE93D3"/>
    <w:rsid w:val="77AF0B69"/>
    <w:rsid w:val="77AF61BD"/>
    <w:rsid w:val="77AF9851"/>
    <w:rsid w:val="77AFF400"/>
    <w:rsid w:val="77B3F5E5"/>
    <w:rsid w:val="77B52783"/>
    <w:rsid w:val="77B70F0A"/>
    <w:rsid w:val="77B7B189"/>
    <w:rsid w:val="77B8E219"/>
    <w:rsid w:val="77B92D0A"/>
    <w:rsid w:val="77B9575E"/>
    <w:rsid w:val="77B9F9A7"/>
    <w:rsid w:val="77BAFB48"/>
    <w:rsid w:val="77BB596B"/>
    <w:rsid w:val="77BB8316"/>
    <w:rsid w:val="77BEEC9A"/>
    <w:rsid w:val="77BF0042"/>
    <w:rsid w:val="77BF10BE"/>
    <w:rsid w:val="77BF5907"/>
    <w:rsid w:val="77BF97F3"/>
    <w:rsid w:val="77BFA809"/>
    <w:rsid w:val="77BFE2B9"/>
    <w:rsid w:val="77C390E7"/>
    <w:rsid w:val="77C5A06B"/>
    <w:rsid w:val="77C74B30"/>
    <w:rsid w:val="77CAFAEC"/>
    <w:rsid w:val="77CBF922"/>
    <w:rsid w:val="77CDB37E"/>
    <w:rsid w:val="77CF0EFE"/>
    <w:rsid w:val="77CFC1C4"/>
    <w:rsid w:val="77D081F0"/>
    <w:rsid w:val="77D19BDA"/>
    <w:rsid w:val="77D437B8"/>
    <w:rsid w:val="77D4A807"/>
    <w:rsid w:val="77D53107"/>
    <w:rsid w:val="77D5513C"/>
    <w:rsid w:val="77D5AB76"/>
    <w:rsid w:val="77D721AB"/>
    <w:rsid w:val="77D7A06A"/>
    <w:rsid w:val="77D90122"/>
    <w:rsid w:val="77D95A90"/>
    <w:rsid w:val="77D9EFD1"/>
    <w:rsid w:val="77DBA9D7"/>
    <w:rsid w:val="77DC0E3A"/>
    <w:rsid w:val="77DC9702"/>
    <w:rsid w:val="77DD2010"/>
    <w:rsid w:val="77DE60CA"/>
    <w:rsid w:val="77DEA84D"/>
    <w:rsid w:val="77DEF677"/>
    <w:rsid w:val="77DEF8D7"/>
    <w:rsid w:val="77DEFD24"/>
    <w:rsid w:val="77DF0DD0"/>
    <w:rsid w:val="77DF387A"/>
    <w:rsid w:val="77DFF888"/>
    <w:rsid w:val="77DFFB97"/>
    <w:rsid w:val="77E17B1C"/>
    <w:rsid w:val="77E32AE3"/>
    <w:rsid w:val="77E3618D"/>
    <w:rsid w:val="77E3D3D2"/>
    <w:rsid w:val="77E5F6D0"/>
    <w:rsid w:val="77E69041"/>
    <w:rsid w:val="77E6B04B"/>
    <w:rsid w:val="77E73B92"/>
    <w:rsid w:val="77E7731F"/>
    <w:rsid w:val="77E8D3F9"/>
    <w:rsid w:val="77E9068A"/>
    <w:rsid w:val="77EA3F8B"/>
    <w:rsid w:val="77EB912F"/>
    <w:rsid w:val="77EBE2B8"/>
    <w:rsid w:val="77ED0396"/>
    <w:rsid w:val="77EDCE71"/>
    <w:rsid w:val="77EF60E3"/>
    <w:rsid w:val="77EF6601"/>
    <w:rsid w:val="77EF7746"/>
    <w:rsid w:val="77EF82CB"/>
    <w:rsid w:val="77EF9342"/>
    <w:rsid w:val="77EFCFD8"/>
    <w:rsid w:val="77EFD42D"/>
    <w:rsid w:val="77EFE2F1"/>
    <w:rsid w:val="77F13316"/>
    <w:rsid w:val="77F37A69"/>
    <w:rsid w:val="77F3BB22"/>
    <w:rsid w:val="77F5543F"/>
    <w:rsid w:val="77F57059"/>
    <w:rsid w:val="77F5AAC4"/>
    <w:rsid w:val="77F7226D"/>
    <w:rsid w:val="77F7292B"/>
    <w:rsid w:val="77F72D6E"/>
    <w:rsid w:val="77F7341E"/>
    <w:rsid w:val="77F74095"/>
    <w:rsid w:val="77F7559D"/>
    <w:rsid w:val="77F764FF"/>
    <w:rsid w:val="77F766B1"/>
    <w:rsid w:val="77F7ABFF"/>
    <w:rsid w:val="77F7C3E6"/>
    <w:rsid w:val="77F7C425"/>
    <w:rsid w:val="77F7E07B"/>
    <w:rsid w:val="77F7ED90"/>
    <w:rsid w:val="77F7F88B"/>
    <w:rsid w:val="77F7FF2B"/>
    <w:rsid w:val="77F8D895"/>
    <w:rsid w:val="77F92A90"/>
    <w:rsid w:val="77F94C1A"/>
    <w:rsid w:val="77F95B3E"/>
    <w:rsid w:val="77F9767C"/>
    <w:rsid w:val="77FA090B"/>
    <w:rsid w:val="77FACF36"/>
    <w:rsid w:val="77FB10EC"/>
    <w:rsid w:val="77FB5DA1"/>
    <w:rsid w:val="77FB9BC0"/>
    <w:rsid w:val="77FBC7BD"/>
    <w:rsid w:val="77FBDDC7"/>
    <w:rsid w:val="77FBEBAD"/>
    <w:rsid w:val="77FC4FA4"/>
    <w:rsid w:val="77FD2232"/>
    <w:rsid w:val="77FD605F"/>
    <w:rsid w:val="77FD7C53"/>
    <w:rsid w:val="77FD8081"/>
    <w:rsid w:val="77FD97C0"/>
    <w:rsid w:val="77FDDD8A"/>
    <w:rsid w:val="77FDEB9F"/>
    <w:rsid w:val="77FDF018"/>
    <w:rsid w:val="77FDF078"/>
    <w:rsid w:val="77FE07A0"/>
    <w:rsid w:val="77FE1FC6"/>
    <w:rsid w:val="77FE686D"/>
    <w:rsid w:val="77FE812D"/>
    <w:rsid w:val="77FE8FCC"/>
    <w:rsid w:val="77FE963D"/>
    <w:rsid w:val="77FEAB8E"/>
    <w:rsid w:val="77FEE0D2"/>
    <w:rsid w:val="77FEE57A"/>
    <w:rsid w:val="77FEF7D7"/>
    <w:rsid w:val="77FF09A8"/>
    <w:rsid w:val="77FF13B2"/>
    <w:rsid w:val="77FF3507"/>
    <w:rsid w:val="77FF49F9"/>
    <w:rsid w:val="77FF4F32"/>
    <w:rsid w:val="77FF5165"/>
    <w:rsid w:val="77FF5405"/>
    <w:rsid w:val="77FF553C"/>
    <w:rsid w:val="77FF5DA8"/>
    <w:rsid w:val="77FF632C"/>
    <w:rsid w:val="77FF6C8D"/>
    <w:rsid w:val="77FF7772"/>
    <w:rsid w:val="77FF8063"/>
    <w:rsid w:val="77FF8A8A"/>
    <w:rsid w:val="77FF8AF2"/>
    <w:rsid w:val="77FF9099"/>
    <w:rsid w:val="77FFA700"/>
    <w:rsid w:val="77FFD3B8"/>
    <w:rsid w:val="78191BAF"/>
    <w:rsid w:val="781E5417"/>
    <w:rsid w:val="7820118F"/>
    <w:rsid w:val="78511348"/>
    <w:rsid w:val="7856695F"/>
    <w:rsid w:val="785D3408"/>
    <w:rsid w:val="78679BCC"/>
    <w:rsid w:val="7875931C"/>
    <w:rsid w:val="7878D2FD"/>
    <w:rsid w:val="787FB68A"/>
    <w:rsid w:val="78A51694"/>
    <w:rsid w:val="78BF8CF8"/>
    <w:rsid w:val="78BF9954"/>
    <w:rsid w:val="78C85087"/>
    <w:rsid w:val="78C87131"/>
    <w:rsid w:val="78CE6E9F"/>
    <w:rsid w:val="78D6780D"/>
    <w:rsid w:val="78D6BDBF"/>
    <w:rsid w:val="78DF513C"/>
    <w:rsid w:val="78EBAA2B"/>
    <w:rsid w:val="78EECA79"/>
    <w:rsid w:val="78F485EC"/>
    <w:rsid w:val="78F4DED3"/>
    <w:rsid w:val="78F705BE"/>
    <w:rsid w:val="78F853F7"/>
    <w:rsid w:val="78F95814"/>
    <w:rsid w:val="78FA686E"/>
    <w:rsid w:val="78FE481A"/>
    <w:rsid w:val="78FF07BB"/>
    <w:rsid w:val="78FFB69D"/>
    <w:rsid w:val="78FFBEB3"/>
    <w:rsid w:val="79110AD8"/>
    <w:rsid w:val="793755CD"/>
    <w:rsid w:val="793A0D39"/>
    <w:rsid w:val="793B739B"/>
    <w:rsid w:val="793CADF7"/>
    <w:rsid w:val="79461FF0"/>
    <w:rsid w:val="79464C25"/>
    <w:rsid w:val="7946E67E"/>
    <w:rsid w:val="794F754B"/>
    <w:rsid w:val="795993E5"/>
    <w:rsid w:val="79627585"/>
    <w:rsid w:val="7967B764"/>
    <w:rsid w:val="79696C6B"/>
    <w:rsid w:val="796FDE28"/>
    <w:rsid w:val="7974E70D"/>
    <w:rsid w:val="7977429B"/>
    <w:rsid w:val="797B9F8C"/>
    <w:rsid w:val="797C23F5"/>
    <w:rsid w:val="797C41B7"/>
    <w:rsid w:val="797E18D3"/>
    <w:rsid w:val="797EFDFE"/>
    <w:rsid w:val="797F11E1"/>
    <w:rsid w:val="797FCCD8"/>
    <w:rsid w:val="797FEC52"/>
    <w:rsid w:val="797FF28B"/>
    <w:rsid w:val="79817A0B"/>
    <w:rsid w:val="79921C19"/>
    <w:rsid w:val="799C1793"/>
    <w:rsid w:val="799F164C"/>
    <w:rsid w:val="799FE6C9"/>
    <w:rsid w:val="79A0F7B3"/>
    <w:rsid w:val="79AD3BBF"/>
    <w:rsid w:val="79AF2165"/>
    <w:rsid w:val="79AF786D"/>
    <w:rsid w:val="79B778D1"/>
    <w:rsid w:val="79BCD49B"/>
    <w:rsid w:val="79BDA149"/>
    <w:rsid w:val="79BEB9DC"/>
    <w:rsid w:val="79BED313"/>
    <w:rsid w:val="79BF63AE"/>
    <w:rsid w:val="79BFDD5E"/>
    <w:rsid w:val="79CDE0B6"/>
    <w:rsid w:val="79CE4C1B"/>
    <w:rsid w:val="79D32989"/>
    <w:rsid w:val="79D62FA2"/>
    <w:rsid w:val="79DF13F1"/>
    <w:rsid w:val="79DF47D5"/>
    <w:rsid w:val="79DFB5B7"/>
    <w:rsid w:val="79DFCD1A"/>
    <w:rsid w:val="79DFD6A5"/>
    <w:rsid w:val="79E20ED1"/>
    <w:rsid w:val="79E47F9A"/>
    <w:rsid w:val="79ED822B"/>
    <w:rsid w:val="79ED9E14"/>
    <w:rsid w:val="79EF2BFB"/>
    <w:rsid w:val="79EF2FE9"/>
    <w:rsid w:val="79EF8DA4"/>
    <w:rsid w:val="79EFED8D"/>
    <w:rsid w:val="79F312CF"/>
    <w:rsid w:val="79F69472"/>
    <w:rsid w:val="79F727B4"/>
    <w:rsid w:val="79F7C34B"/>
    <w:rsid w:val="79F9216C"/>
    <w:rsid w:val="79F9801E"/>
    <w:rsid w:val="79F98A6A"/>
    <w:rsid w:val="79F9F5FB"/>
    <w:rsid w:val="79FB35EE"/>
    <w:rsid w:val="79FBAB5D"/>
    <w:rsid w:val="79FBC4C3"/>
    <w:rsid w:val="79FC1788"/>
    <w:rsid w:val="79FC3EF7"/>
    <w:rsid w:val="79FC4AAB"/>
    <w:rsid w:val="79FD068E"/>
    <w:rsid w:val="79FDB028"/>
    <w:rsid w:val="79FF0591"/>
    <w:rsid w:val="79FF1E7E"/>
    <w:rsid w:val="79FF3494"/>
    <w:rsid w:val="79FF49F5"/>
    <w:rsid w:val="79FF5306"/>
    <w:rsid w:val="79FF682B"/>
    <w:rsid w:val="79FF7BFF"/>
    <w:rsid w:val="79FFA975"/>
    <w:rsid w:val="79FFAB63"/>
    <w:rsid w:val="79FFC6C9"/>
    <w:rsid w:val="79FFF04A"/>
    <w:rsid w:val="7A354D5D"/>
    <w:rsid w:val="7A3603C1"/>
    <w:rsid w:val="7A396538"/>
    <w:rsid w:val="7A3E512E"/>
    <w:rsid w:val="7A490096"/>
    <w:rsid w:val="7A4D1FE3"/>
    <w:rsid w:val="7A4DB30D"/>
    <w:rsid w:val="7A5F32C2"/>
    <w:rsid w:val="7A5FA135"/>
    <w:rsid w:val="7A68202C"/>
    <w:rsid w:val="7A6DA0A3"/>
    <w:rsid w:val="7A6DD00F"/>
    <w:rsid w:val="7A6E2136"/>
    <w:rsid w:val="7A75A8F5"/>
    <w:rsid w:val="7A778842"/>
    <w:rsid w:val="7A7A47CE"/>
    <w:rsid w:val="7A7BC8D5"/>
    <w:rsid w:val="7A7DB0EE"/>
    <w:rsid w:val="7A7E0062"/>
    <w:rsid w:val="7A7E2550"/>
    <w:rsid w:val="7A7EDC1E"/>
    <w:rsid w:val="7A7F674E"/>
    <w:rsid w:val="7A80D9A1"/>
    <w:rsid w:val="7A827B69"/>
    <w:rsid w:val="7A8C5B1A"/>
    <w:rsid w:val="7A97CC27"/>
    <w:rsid w:val="7A9B0B4A"/>
    <w:rsid w:val="7A9B9A3A"/>
    <w:rsid w:val="7AA11A5D"/>
    <w:rsid w:val="7AAC6D0A"/>
    <w:rsid w:val="7AAFD861"/>
    <w:rsid w:val="7AAFE55E"/>
    <w:rsid w:val="7AB3E3FA"/>
    <w:rsid w:val="7AB78D82"/>
    <w:rsid w:val="7AB99237"/>
    <w:rsid w:val="7ABD55D3"/>
    <w:rsid w:val="7ABDBE31"/>
    <w:rsid w:val="7ABDC7DE"/>
    <w:rsid w:val="7ABDD3E8"/>
    <w:rsid w:val="7ABEFBBE"/>
    <w:rsid w:val="7ABFBF13"/>
    <w:rsid w:val="7AC881CD"/>
    <w:rsid w:val="7ACE0576"/>
    <w:rsid w:val="7ACF21C0"/>
    <w:rsid w:val="7ACFF50B"/>
    <w:rsid w:val="7AD73B7B"/>
    <w:rsid w:val="7AD785D0"/>
    <w:rsid w:val="7ADB87E9"/>
    <w:rsid w:val="7ADD8C22"/>
    <w:rsid w:val="7ADE74F9"/>
    <w:rsid w:val="7ADF1048"/>
    <w:rsid w:val="7ADF8103"/>
    <w:rsid w:val="7AE49A17"/>
    <w:rsid w:val="7AE5ADEC"/>
    <w:rsid w:val="7AEB3DB2"/>
    <w:rsid w:val="7AEB9706"/>
    <w:rsid w:val="7AEC3D96"/>
    <w:rsid w:val="7AED2E32"/>
    <w:rsid w:val="7AEE1A9F"/>
    <w:rsid w:val="7AEF63EE"/>
    <w:rsid w:val="7AEFF0B3"/>
    <w:rsid w:val="7AF4B22F"/>
    <w:rsid w:val="7AF5113E"/>
    <w:rsid w:val="7AF5F29E"/>
    <w:rsid w:val="7AF67578"/>
    <w:rsid w:val="7AF73D19"/>
    <w:rsid w:val="7AF92110"/>
    <w:rsid w:val="7AFBB6E9"/>
    <w:rsid w:val="7AFD0956"/>
    <w:rsid w:val="7AFD0980"/>
    <w:rsid w:val="7AFD1CBC"/>
    <w:rsid w:val="7AFDE192"/>
    <w:rsid w:val="7AFE0A91"/>
    <w:rsid w:val="7AFEE3FA"/>
    <w:rsid w:val="7AFEEF7C"/>
    <w:rsid w:val="7AFEF337"/>
    <w:rsid w:val="7AFF1732"/>
    <w:rsid w:val="7AFF2F79"/>
    <w:rsid w:val="7AFF4A0D"/>
    <w:rsid w:val="7AFF688B"/>
    <w:rsid w:val="7AFF7029"/>
    <w:rsid w:val="7AFF8AC6"/>
    <w:rsid w:val="7AFFC586"/>
    <w:rsid w:val="7AFFE2A2"/>
    <w:rsid w:val="7AFFF7D7"/>
    <w:rsid w:val="7B1C1CB8"/>
    <w:rsid w:val="7B1CEB24"/>
    <w:rsid w:val="7B1D81BF"/>
    <w:rsid w:val="7B2745E3"/>
    <w:rsid w:val="7B2F3C5E"/>
    <w:rsid w:val="7B3D817B"/>
    <w:rsid w:val="7B3EFBD5"/>
    <w:rsid w:val="7B3FFB75"/>
    <w:rsid w:val="7B4F86D5"/>
    <w:rsid w:val="7B51340D"/>
    <w:rsid w:val="7B536B1E"/>
    <w:rsid w:val="7B537186"/>
    <w:rsid w:val="7B53CF64"/>
    <w:rsid w:val="7B57CC12"/>
    <w:rsid w:val="7B5A8558"/>
    <w:rsid w:val="7B5B603A"/>
    <w:rsid w:val="7B5E3202"/>
    <w:rsid w:val="7B5E7FF6"/>
    <w:rsid w:val="7B5F16C5"/>
    <w:rsid w:val="7B64DACE"/>
    <w:rsid w:val="7B668ED4"/>
    <w:rsid w:val="7B66DB37"/>
    <w:rsid w:val="7B6CC55D"/>
    <w:rsid w:val="7B6DF8E0"/>
    <w:rsid w:val="7B6F9487"/>
    <w:rsid w:val="7B6FE6BD"/>
    <w:rsid w:val="7B72579D"/>
    <w:rsid w:val="7B7551E0"/>
    <w:rsid w:val="7B76C41F"/>
    <w:rsid w:val="7B772EDB"/>
    <w:rsid w:val="7B7739AC"/>
    <w:rsid w:val="7B77EB1E"/>
    <w:rsid w:val="7B783939"/>
    <w:rsid w:val="7B7A99B4"/>
    <w:rsid w:val="7B7B79B7"/>
    <w:rsid w:val="7B7C4BCB"/>
    <w:rsid w:val="7B7D58A5"/>
    <w:rsid w:val="7B7D7A79"/>
    <w:rsid w:val="7B7D8AB5"/>
    <w:rsid w:val="7B7DB816"/>
    <w:rsid w:val="7B7DFE65"/>
    <w:rsid w:val="7B7E1DF1"/>
    <w:rsid w:val="7B7EB18C"/>
    <w:rsid w:val="7B7EF5E0"/>
    <w:rsid w:val="7B7F09FA"/>
    <w:rsid w:val="7B7F2038"/>
    <w:rsid w:val="7B7F5FEC"/>
    <w:rsid w:val="7B7F696E"/>
    <w:rsid w:val="7B7F9417"/>
    <w:rsid w:val="7B7F9B31"/>
    <w:rsid w:val="7B7FF786"/>
    <w:rsid w:val="7B83A6B0"/>
    <w:rsid w:val="7B87609B"/>
    <w:rsid w:val="7B8AC398"/>
    <w:rsid w:val="7B8D2142"/>
    <w:rsid w:val="7B8E6410"/>
    <w:rsid w:val="7B92FBEF"/>
    <w:rsid w:val="7B93EA52"/>
    <w:rsid w:val="7B94858B"/>
    <w:rsid w:val="7B9B5EE7"/>
    <w:rsid w:val="7B9C8F32"/>
    <w:rsid w:val="7B9FD897"/>
    <w:rsid w:val="7B9FDBEA"/>
    <w:rsid w:val="7BA3DB80"/>
    <w:rsid w:val="7BAC7E44"/>
    <w:rsid w:val="7BACE37E"/>
    <w:rsid w:val="7BAE7B33"/>
    <w:rsid w:val="7BAEBB8F"/>
    <w:rsid w:val="7BB120FE"/>
    <w:rsid w:val="7BB3A8CB"/>
    <w:rsid w:val="7BBBCD90"/>
    <w:rsid w:val="7BBD01B4"/>
    <w:rsid w:val="7BBD5476"/>
    <w:rsid w:val="7BBEC89B"/>
    <w:rsid w:val="7BBED00F"/>
    <w:rsid w:val="7BBED153"/>
    <w:rsid w:val="7BBEEC21"/>
    <w:rsid w:val="7BBF01C6"/>
    <w:rsid w:val="7BBF6D6A"/>
    <w:rsid w:val="7BBFD2E7"/>
    <w:rsid w:val="7BC462D5"/>
    <w:rsid w:val="7BC77B74"/>
    <w:rsid w:val="7BC8CF03"/>
    <w:rsid w:val="7BCB6930"/>
    <w:rsid w:val="7BCB90E2"/>
    <w:rsid w:val="7BCD92E6"/>
    <w:rsid w:val="7BCF06A8"/>
    <w:rsid w:val="7BCF25E3"/>
    <w:rsid w:val="7BD1E1C3"/>
    <w:rsid w:val="7BD3D255"/>
    <w:rsid w:val="7BD747F2"/>
    <w:rsid w:val="7BD881FE"/>
    <w:rsid w:val="7BD93A78"/>
    <w:rsid w:val="7BD9E645"/>
    <w:rsid w:val="7BDA7F9C"/>
    <w:rsid w:val="7BDBCC0E"/>
    <w:rsid w:val="7BDC51A4"/>
    <w:rsid w:val="7BDD6D8B"/>
    <w:rsid w:val="7BDD70D8"/>
    <w:rsid w:val="7BDE582B"/>
    <w:rsid w:val="7BDEC638"/>
    <w:rsid w:val="7BDEC6CD"/>
    <w:rsid w:val="7BDEC93C"/>
    <w:rsid w:val="7BDEF32C"/>
    <w:rsid w:val="7BDF2A45"/>
    <w:rsid w:val="7BDF3528"/>
    <w:rsid w:val="7BDF828D"/>
    <w:rsid w:val="7BDFB1AC"/>
    <w:rsid w:val="7BDFD921"/>
    <w:rsid w:val="7BDFEBAB"/>
    <w:rsid w:val="7BE42A0B"/>
    <w:rsid w:val="7BE662AD"/>
    <w:rsid w:val="7BE9B7D4"/>
    <w:rsid w:val="7BEB3E28"/>
    <w:rsid w:val="7BEB3F5D"/>
    <w:rsid w:val="7BEB61F4"/>
    <w:rsid w:val="7BEB7AD7"/>
    <w:rsid w:val="7BEBD9C0"/>
    <w:rsid w:val="7BEC1388"/>
    <w:rsid w:val="7BED0AAB"/>
    <w:rsid w:val="7BED3B33"/>
    <w:rsid w:val="7BED9471"/>
    <w:rsid w:val="7BEECD73"/>
    <w:rsid w:val="7BEF169E"/>
    <w:rsid w:val="7BEF7C7A"/>
    <w:rsid w:val="7BEF941C"/>
    <w:rsid w:val="7BEFBF98"/>
    <w:rsid w:val="7BEFF9AA"/>
    <w:rsid w:val="7BF0FDFA"/>
    <w:rsid w:val="7BF1F572"/>
    <w:rsid w:val="7BF1F70C"/>
    <w:rsid w:val="7BF35845"/>
    <w:rsid w:val="7BF497D0"/>
    <w:rsid w:val="7BF53341"/>
    <w:rsid w:val="7BF5EEF8"/>
    <w:rsid w:val="7BF68F62"/>
    <w:rsid w:val="7BF7045B"/>
    <w:rsid w:val="7BF709A0"/>
    <w:rsid w:val="7BF7123E"/>
    <w:rsid w:val="7BF73B18"/>
    <w:rsid w:val="7BF7710A"/>
    <w:rsid w:val="7BF7F107"/>
    <w:rsid w:val="7BF8914E"/>
    <w:rsid w:val="7BFA632E"/>
    <w:rsid w:val="7BFB03E4"/>
    <w:rsid w:val="7BFB0478"/>
    <w:rsid w:val="7BFB05A0"/>
    <w:rsid w:val="7BFB122A"/>
    <w:rsid w:val="7BFB1D52"/>
    <w:rsid w:val="7BFB2166"/>
    <w:rsid w:val="7BFB24FA"/>
    <w:rsid w:val="7BFB302C"/>
    <w:rsid w:val="7BFB5A1D"/>
    <w:rsid w:val="7BFBBB35"/>
    <w:rsid w:val="7BFBBB48"/>
    <w:rsid w:val="7BFBC36C"/>
    <w:rsid w:val="7BFBCBF1"/>
    <w:rsid w:val="7BFBD22F"/>
    <w:rsid w:val="7BFCFDC5"/>
    <w:rsid w:val="7BFD5B54"/>
    <w:rsid w:val="7BFD7034"/>
    <w:rsid w:val="7BFD7FB8"/>
    <w:rsid w:val="7BFD83EE"/>
    <w:rsid w:val="7BFE0C75"/>
    <w:rsid w:val="7BFE0DDF"/>
    <w:rsid w:val="7BFE2EF6"/>
    <w:rsid w:val="7BFE38CC"/>
    <w:rsid w:val="7BFE4130"/>
    <w:rsid w:val="7BFE4381"/>
    <w:rsid w:val="7BFE47FF"/>
    <w:rsid w:val="7BFE6267"/>
    <w:rsid w:val="7BFE72C3"/>
    <w:rsid w:val="7BFE773F"/>
    <w:rsid w:val="7BFEDA58"/>
    <w:rsid w:val="7BFF1695"/>
    <w:rsid w:val="7BFF47AC"/>
    <w:rsid w:val="7BFF753C"/>
    <w:rsid w:val="7BFF91A6"/>
    <w:rsid w:val="7BFFA2F5"/>
    <w:rsid w:val="7BFFA87B"/>
    <w:rsid w:val="7BFFB909"/>
    <w:rsid w:val="7BFFBB3C"/>
    <w:rsid w:val="7BFFC472"/>
    <w:rsid w:val="7BFFC4A2"/>
    <w:rsid w:val="7BFFC91F"/>
    <w:rsid w:val="7BFFC9DD"/>
    <w:rsid w:val="7BFFD062"/>
    <w:rsid w:val="7BFFD2E0"/>
    <w:rsid w:val="7BFFD9A8"/>
    <w:rsid w:val="7BFFE872"/>
    <w:rsid w:val="7BFFE89B"/>
    <w:rsid w:val="7BFFEBA7"/>
    <w:rsid w:val="7C120DEF"/>
    <w:rsid w:val="7C24F711"/>
    <w:rsid w:val="7C2F7BF3"/>
    <w:rsid w:val="7C3D4321"/>
    <w:rsid w:val="7C56E610"/>
    <w:rsid w:val="7C5B8412"/>
    <w:rsid w:val="7C6FF8D6"/>
    <w:rsid w:val="7C75C087"/>
    <w:rsid w:val="7C75CFBD"/>
    <w:rsid w:val="7C75D489"/>
    <w:rsid w:val="7C7B27EE"/>
    <w:rsid w:val="7C7BC328"/>
    <w:rsid w:val="7C7F490D"/>
    <w:rsid w:val="7C7F68E6"/>
    <w:rsid w:val="7C7F7AA4"/>
    <w:rsid w:val="7C7FDE3C"/>
    <w:rsid w:val="7C97FBFF"/>
    <w:rsid w:val="7C98DBE0"/>
    <w:rsid w:val="7CA3BB5C"/>
    <w:rsid w:val="7CA3E458"/>
    <w:rsid w:val="7CAFCF68"/>
    <w:rsid w:val="7CB34A3F"/>
    <w:rsid w:val="7CBB0CCE"/>
    <w:rsid w:val="7CBBEB00"/>
    <w:rsid w:val="7CC3862B"/>
    <w:rsid w:val="7CC70B76"/>
    <w:rsid w:val="7CC75DF5"/>
    <w:rsid w:val="7CC7C34F"/>
    <w:rsid w:val="7CCD2078"/>
    <w:rsid w:val="7CCDDD19"/>
    <w:rsid w:val="7CD08935"/>
    <w:rsid w:val="7CD5515C"/>
    <w:rsid w:val="7CD60B40"/>
    <w:rsid w:val="7CDA63D8"/>
    <w:rsid w:val="7CDBB25F"/>
    <w:rsid w:val="7CDD108A"/>
    <w:rsid w:val="7CDF745F"/>
    <w:rsid w:val="7CDF74F7"/>
    <w:rsid w:val="7CDFFF77"/>
    <w:rsid w:val="7CE34CB3"/>
    <w:rsid w:val="7CE6FDF6"/>
    <w:rsid w:val="7CE740A8"/>
    <w:rsid w:val="7CE7BB23"/>
    <w:rsid w:val="7CEF41FD"/>
    <w:rsid w:val="7CF33D41"/>
    <w:rsid w:val="7CF4F6C9"/>
    <w:rsid w:val="7CF56C1A"/>
    <w:rsid w:val="7CF69243"/>
    <w:rsid w:val="7CF70965"/>
    <w:rsid w:val="7CF73E65"/>
    <w:rsid w:val="7CF78688"/>
    <w:rsid w:val="7CF78A6D"/>
    <w:rsid w:val="7CF7ED33"/>
    <w:rsid w:val="7CFCE445"/>
    <w:rsid w:val="7CFD1AB0"/>
    <w:rsid w:val="7CFD3970"/>
    <w:rsid w:val="7CFD6859"/>
    <w:rsid w:val="7CFD85AC"/>
    <w:rsid w:val="7CFDAB2C"/>
    <w:rsid w:val="7CFDBDAC"/>
    <w:rsid w:val="7CFF21D6"/>
    <w:rsid w:val="7CFF2760"/>
    <w:rsid w:val="7CFF2E88"/>
    <w:rsid w:val="7CFF700A"/>
    <w:rsid w:val="7CFF748D"/>
    <w:rsid w:val="7CFFBF45"/>
    <w:rsid w:val="7CFFDA98"/>
    <w:rsid w:val="7CFFF28D"/>
    <w:rsid w:val="7D16C7D5"/>
    <w:rsid w:val="7D1B9648"/>
    <w:rsid w:val="7D1DBBB9"/>
    <w:rsid w:val="7D2D6FF6"/>
    <w:rsid w:val="7D36433B"/>
    <w:rsid w:val="7D3742FD"/>
    <w:rsid w:val="7D37E310"/>
    <w:rsid w:val="7D3D94C3"/>
    <w:rsid w:val="7D3DA27F"/>
    <w:rsid w:val="7D3F59EF"/>
    <w:rsid w:val="7D3F895F"/>
    <w:rsid w:val="7D3FAE60"/>
    <w:rsid w:val="7D475AB9"/>
    <w:rsid w:val="7D4DD571"/>
    <w:rsid w:val="7D4FDB14"/>
    <w:rsid w:val="7D565589"/>
    <w:rsid w:val="7D567401"/>
    <w:rsid w:val="7D5DE67C"/>
    <w:rsid w:val="7D5E2C03"/>
    <w:rsid w:val="7D5EC70E"/>
    <w:rsid w:val="7D5ED4F1"/>
    <w:rsid w:val="7D5F5D06"/>
    <w:rsid w:val="7D6232BB"/>
    <w:rsid w:val="7D649F90"/>
    <w:rsid w:val="7D67A3C5"/>
    <w:rsid w:val="7D68A102"/>
    <w:rsid w:val="7D6BDB23"/>
    <w:rsid w:val="7D6E2523"/>
    <w:rsid w:val="7D6E3496"/>
    <w:rsid w:val="7D6E7907"/>
    <w:rsid w:val="7D73D7FB"/>
    <w:rsid w:val="7D742F8F"/>
    <w:rsid w:val="7D748FC5"/>
    <w:rsid w:val="7D7709A1"/>
    <w:rsid w:val="7D775119"/>
    <w:rsid w:val="7D77530C"/>
    <w:rsid w:val="7D77BBA1"/>
    <w:rsid w:val="7D78C1F8"/>
    <w:rsid w:val="7D7B1E52"/>
    <w:rsid w:val="7D7BB273"/>
    <w:rsid w:val="7D7F1147"/>
    <w:rsid w:val="7D7F3F31"/>
    <w:rsid w:val="7D7F41E1"/>
    <w:rsid w:val="7D7FCAFA"/>
    <w:rsid w:val="7D7FCFA3"/>
    <w:rsid w:val="7D7FE8BA"/>
    <w:rsid w:val="7D7FEACC"/>
    <w:rsid w:val="7D7FF838"/>
    <w:rsid w:val="7D7FF94D"/>
    <w:rsid w:val="7D874771"/>
    <w:rsid w:val="7D8CE385"/>
    <w:rsid w:val="7D8CF764"/>
    <w:rsid w:val="7D8FA2C2"/>
    <w:rsid w:val="7D8FD85F"/>
    <w:rsid w:val="7D93D54B"/>
    <w:rsid w:val="7D963DD2"/>
    <w:rsid w:val="7D9DB0F5"/>
    <w:rsid w:val="7D9EAB6B"/>
    <w:rsid w:val="7D9F5769"/>
    <w:rsid w:val="7D9FED3F"/>
    <w:rsid w:val="7DAE171F"/>
    <w:rsid w:val="7DAE463D"/>
    <w:rsid w:val="7DAFE4E4"/>
    <w:rsid w:val="7DB954DB"/>
    <w:rsid w:val="7DBB7C25"/>
    <w:rsid w:val="7DBBB1D2"/>
    <w:rsid w:val="7DBD59EA"/>
    <w:rsid w:val="7DBD7A11"/>
    <w:rsid w:val="7DBDB0A1"/>
    <w:rsid w:val="7DBEBCFB"/>
    <w:rsid w:val="7DBECA75"/>
    <w:rsid w:val="7DBF0A27"/>
    <w:rsid w:val="7DBF1A34"/>
    <w:rsid w:val="7DBFAECC"/>
    <w:rsid w:val="7DBFBDE2"/>
    <w:rsid w:val="7DBFC1AC"/>
    <w:rsid w:val="7DBFFCDC"/>
    <w:rsid w:val="7DC205F3"/>
    <w:rsid w:val="7DC3C6AB"/>
    <w:rsid w:val="7DC552DE"/>
    <w:rsid w:val="7DC5F6A7"/>
    <w:rsid w:val="7DC75F72"/>
    <w:rsid w:val="7DCBD79F"/>
    <w:rsid w:val="7DCD06C4"/>
    <w:rsid w:val="7DCF1206"/>
    <w:rsid w:val="7DCF2174"/>
    <w:rsid w:val="7DCFA9DA"/>
    <w:rsid w:val="7DD02D0F"/>
    <w:rsid w:val="7DD5A229"/>
    <w:rsid w:val="7DD6DE77"/>
    <w:rsid w:val="7DD72E93"/>
    <w:rsid w:val="7DD747E7"/>
    <w:rsid w:val="7DD7B862"/>
    <w:rsid w:val="7DD7F2CF"/>
    <w:rsid w:val="7DD83417"/>
    <w:rsid w:val="7DD91431"/>
    <w:rsid w:val="7DD91EBA"/>
    <w:rsid w:val="7DDB8E54"/>
    <w:rsid w:val="7DDBC5B0"/>
    <w:rsid w:val="7DDBE705"/>
    <w:rsid w:val="7DDC0926"/>
    <w:rsid w:val="7DDC98E5"/>
    <w:rsid w:val="7DDD034D"/>
    <w:rsid w:val="7DDD0DD1"/>
    <w:rsid w:val="7DDDFE19"/>
    <w:rsid w:val="7DDE4F4E"/>
    <w:rsid w:val="7DDE6E47"/>
    <w:rsid w:val="7DDEB260"/>
    <w:rsid w:val="7DDF19D8"/>
    <w:rsid w:val="7DDF3F6B"/>
    <w:rsid w:val="7DDF5835"/>
    <w:rsid w:val="7DDF624B"/>
    <w:rsid w:val="7DDFD251"/>
    <w:rsid w:val="7DDFD452"/>
    <w:rsid w:val="7DDFF701"/>
    <w:rsid w:val="7DE0BC83"/>
    <w:rsid w:val="7DE3E792"/>
    <w:rsid w:val="7DE701A7"/>
    <w:rsid w:val="7DE8A3CC"/>
    <w:rsid w:val="7DE8A8FF"/>
    <w:rsid w:val="7DEAC51D"/>
    <w:rsid w:val="7DECD6D4"/>
    <w:rsid w:val="7DEE867D"/>
    <w:rsid w:val="7DEEB6CA"/>
    <w:rsid w:val="7DEECC51"/>
    <w:rsid w:val="7DEF459A"/>
    <w:rsid w:val="7DEF47F2"/>
    <w:rsid w:val="7DEF720C"/>
    <w:rsid w:val="7DEF945F"/>
    <w:rsid w:val="7DF1AF6D"/>
    <w:rsid w:val="7DF37498"/>
    <w:rsid w:val="7DF4B2C6"/>
    <w:rsid w:val="7DF517CC"/>
    <w:rsid w:val="7DF52F69"/>
    <w:rsid w:val="7DF617B6"/>
    <w:rsid w:val="7DF648E5"/>
    <w:rsid w:val="7DF6871E"/>
    <w:rsid w:val="7DF70060"/>
    <w:rsid w:val="7DF729DE"/>
    <w:rsid w:val="7DF76A52"/>
    <w:rsid w:val="7DF7743F"/>
    <w:rsid w:val="7DF77713"/>
    <w:rsid w:val="7DF77E1E"/>
    <w:rsid w:val="7DF896ED"/>
    <w:rsid w:val="7DF9570F"/>
    <w:rsid w:val="7DF965AD"/>
    <w:rsid w:val="7DF967D3"/>
    <w:rsid w:val="7DF9AF38"/>
    <w:rsid w:val="7DF9D894"/>
    <w:rsid w:val="7DFAD7EC"/>
    <w:rsid w:val="7DFAF6B5"/>
    <w:rsid w:val="7DFB0AF9"/>
    <w:rsid w:val="7DFB42F0"/>
    <w:rsid w:val="7DFB43F3"/>
    <w:rsid w:val="7DFBA90A"/>
    <w:rsid w:val="7DFBEEFE"/>
    <w:rsid w:val="7DFC9AB2"/>
    <w:rsid w:val="7DFC9AE6"/>
    <w:rsid w:val="7DFCEB3D"/>
    <w:rsid w:val="7DFD1300"/>
    <w:rsid w:val="7DFD32C3"/>
    <w:rsid w:val="7DFD7044"/>
    <w:rsid w:val="7DFD8BEB"/>
    <w:rsid w:val="7DFDE209"/>
    <w:rsid w:val="7DFEB0C8"/>
    <w:rsid w:val="7DFED226"/>
    <w:rsid w:val="7DFEDBA2"/>
    <w:rsid w:val="7DFF0FC5"/>
    <w:rsid w:val="7DFF1325"/>
    <w:rsid w:val="7DFF138C"/>
    <w:rsid w:val="7DFF1C6E"/>
    <w:rsid w:val="7DFF2ABE"/>
    <w:rsid w:val="7DFF484F"/>
    <w:rsid w:val="7DFF5783"/>
    <w:rsid w:val="7DFF7402"/>
    <w:rsid w:val="7DFF7BFD"/>
    <w:rsid w:val="7DFF7EAF"/>
    <w:rsid w:val="7DFF9043"/>
    <w:rsid w:val="7DFF9637"/>
    <w:rsid w:val="7DFFA75D"/>
    <w:rsid w:val="7DFFA8FB"/>
    <w:rsid w:val="7DFFAAE5"/>
    <w:rsid w:val="7DFFBA9B"/>
    <w:rsid w:val="7DFFC88B"/>
    <w:rsid w:val="7DFFD2F5"/>
    <w:rsid w:val="7DFFD7F5"/>
    <w:rsid w:val="7DFFD95C"/>
    <w:rsid w:val="7DFFDBD3"/>
    <w:rsid w:val="7DFFFCCB"/>
    <w:rsid w:val="7E0A8B75"/>
    <w:rsid w:val="7E0F69E6"/>
    <w:rsid w:val="7E1B49CB"/>
    <w:rsid w:val="7E1FF619"/>
    <w:rsid w:val="7E3304EF"/>
    <w:rsid w:val="7E3AE1C8"/>
    <w:rsid w:val="7E3B1FF5"/>
    <w:rsid w:val="7E3BCD4F"/>
    <w:rsid w:val="7E3E7862"/>
    <w:rsid w:val="7E3EAF48"/>
    <w:rsid w:val="7E3F60E7"/>
    <w:rsid w:val="7E3F7DD9"/>
    <w:rsid w:val="7E3FB4B9"/>
    <w:rsid w:val="7E4ABB9B"/>
    <w:rsid w:val="7E4F9E05"/>
    <w:rsid w:val="7E5539F9"/>
    <w:rsid w:val="7E5A2870"/>
    <w:rsid w:val="7E5B7E90"/>
    <w:rsid w:val="7E5B948A"/>
    <w:rsid w:val="7E5F3402"/>
    <w:rsid w:val="7E5F5580"/>
    <w:rsid w:val="7E5F8770"/>
    <w:rsid w:val="7E5F9863"/>
    <w:rsid w:val="7E5F9E68"/>
    <w:rsid w:val="7E5FC31F"/>
    <w:rsid w:val="7E5FF99A"/>
    <w:rsid w:val="7E6339C6"/>
    <w:rsid w:val="7E6B4B6F"/>
    <w:rsid w:val="7E6BC161"/>
    <w:rsid w:val="7E6BD36B"/>
    <w:rsid w:val="7E6C30AB"/>
    <w:rsid w:val="7E6CFA79"/>
    <w:rsid w:val="7E6D4A02"/>
    <w:rsid w:val="7E6DBDBF"/>
    <w:rsid w:val="7E6FBA7B"/>
    <w:rsid w:val="7E6FCECE"/>
    <w:rsid w:val="7E7388D2"/>
    <w:rsid w:val="7E747E9A"/>
    <w:rsid w:val="7E796E1A"/>
    <w:rsid w:val="7E79C351"/>
    <w:rsid w:val="7E7A11D6"/>
    <w:rsid w:val="7E7A816D"/>
    <w:rsid w:val="7E7AB5AC"/>
    <w:rsid w:val="7E7BB72F"/>
    <w:rsid w:val="7E7C66D3"/>
    <w:rsid w:val="7E7D25FC"/>
    <w:rsid w:val="7E7D45BD"/>
    <w:rsid w:val="7E7D4C52"/>
    <w:rsid w:val="7E7E5A90"/>
    <w:rsid w:val="7E7F46BB"/>
    <w:rsid w:val="7E7F5357"/>
    <w:rsid w:val="7E7FAB5F"/>
    <w:rsid w:val="7E7FC961"/>
    <w:rsid w:val="7E7FE160"/>
    <w:rsid w:val="7E86E5BF"/>
    <w:rsid w:val="7E8DC94C"/>
    <w:rsid w:val="7E8E3EB2"/>
    <w:rsid w:val="7E971BA5"/>
    <w:rsid w:val="7E97C693"/>
    <w:rsid w:val="7E97C6F6"/>
    <w:rsid w:val="7E9B2C18"/>
    <w:rsid w:val="7E9D3F51"/>
    <w:rsid w:val="7E9D6C8C"/>
    <w:rsid w:val="7E9F1A4F"/>
    <w:rsid w:val="7E9F7942"/>
    <w:rsid w:val="7E9FB929"/>
    <w:rsid w:val="7EA3EF1F"/>
    <w:rsid w:val="7EA88ECF"/>
    <w:rsid w:val="7EA9073B"/>
    <w:rsid w:val="7EAB0F0B"/>
    <w:rsid w:val="7EAB7656"/>
    <w:rsid w:val="7EAD42CA"/>
    <w:rsid w:val="7EAE3678"/>
    <w:rsid w:val="7EAE6DA2"/>
    <w:rsid w:val="7EAF0D47"/>
    <w:rsid w:val="7EAF120A"/>
    <w:rsid w:val="7EB33EF9"/>
    <w:rsid w:val="7EB42AE8"/>
    <w:rsid w:val="7EB722CD"/>
    <w:rsid w:val="7EB78A56"/>
    <w:rsid w:val="7EB7DD86"/>
    <w:rsid w:val="7EBB316B"/>
    <w:rsid w:val="7EBB4459"/>
    <w:rsid w:val="7EBBB495"/>
    <w:rsid w:val="7EBBE353"/>
    <w:rsid w:val="7EBC9270"/>
    <w:rsid w:val="7EBD5447"/>
    <w:rsid w:val="7EBD96FE"/>
    <w:rsid w:val="7EBDC040"/>
    <w:rsid w:val="7EBDC3E5"/>
    <w:rsid w:val="7EBEDA04"/>
    <w:rsid w:val="7EBEDB50"/>
    <w:rsid w:val="7EBF1798"/>
    <w:rsid w:val="7EBF2419"/>
    <w:rsid w:val="7EBF5331"/>
    <w:rsid w:val="7EBF82BF"/>
    <w:rsid w:val="7EBF96A7"/>
    <w:rsid w:val="7EBFA2CE"/>
    <w:rsid w:val="7EBFC1A5"/>
    <w:rsid w:val="7EBFC2D8"/>
    <w:rsid w:val="7EC3C696"/>
    <w:rsid w:val="7EC75914"/>
    <w:rsid w:val="7ECB30DF"/>
    <w:rsid w:val="7ECBD439"/>
    <w:rsid w:val="7ECD48CE"/>
    <w:rsid w:val="7ECD77F9"/>
    <w:rsid w:val="7ECF0986"/>
    <w:rsid w:val="7ECFA762"/>
    <w:rsid w:val="7ED28B34"/>
    <w:rsid w:val="7ED4A9C3"/>
    <w:rsid w:val="7ED5190E"/>
    <w:rsid w:val="7ED58BBA"/>
    <w:rsid w:val="7ED5C74A"/>
    <w:rsid w:val="7ED655B1"/>
    <w:rsid w:val="7ED6D789"/>
    <w:rsid w:val="7ED70AFF"/>
    <w:rsid w:val="7ED71F95"/>
    <w:rsid w:val="7ED79351"/>
    <w:rsid w:val="7ED7EB19"/>
    <w:rsid w:val="7ED95926"/>
    <w:rsid w:val="7EDBBE53"/>
    <w:rsid w:val="7EDC1572"/>
    <w:rsid w:val="7EDC4999"/>
    <w:rsid w:val="7EDD26C6"/>
    <w:rsid w:val="7EDD7580"/>
    <w:rsid w:val="7EDF0008"/>
    <w:rsid w:val="7EDF4506"/>
    <w:rsid w:val="7EDF5F1B"/>
    <w:rsid w:val="7EDFA421"/>
    <w:rsid w:val="7EDFEC44"/>
    <w:rsid w:val="7EDFF804"/>
    <w:rsid w:val="7EE74FF6"/>
    <w:rsid w:val="7EE76C71"/>
    <w:rsid w:val="7EE7D694"/>
    <w:rsid w:val="7EE9400F"/>
    <w:rsid w:val="7EE9CF1F"/>
    <w:rsid w:val="7EEAD753"/>
    <w:rsid w:val="7EEB129C"/>
    <w:rsid w:val="7EEB5178"/>
    <w:rsid w:val="7EEBF2DC"/>
    <w:rsid w:val="7EEBF5B6"/>
    <w:rsid w:val="7EEC1492"/>
    <w:rsid w:val="7EEC55BF"/>
    <w:rsid w:val="7EED3A35"/>
    <w:rsid w:val="7EED3BA0"/>
    <w:rsid w:val="7EED3CEB"/>
    <w:rsid w:val="7EEDA4DE"/>
    <w:rsid w:val="7EEE8C10"/>
    <w:rsid w:val="7EEEE189"/>
    <w:rsid w:val="7EEF024B"/>
    <w:rsid w:val="7EEF1AA9"/>
    <w:rsid w:val="7EEF3126"/>
    <w:rsid w:val="7EEF64C7"/>
    <w:rsid w:val="7EEF90BB"/>
    <w:rsid w:val="7EEF936F"/>
    <w:rsid w:val="7EF1EEAF"/>
    <w:rsid w:val="7EF20071"/>
    <w:rsid w:val="7EF2B39E"/>
    <w:rsid w:val="7EF31FB6"/>
    <w:rsid w:val="7EF3887E"/>
    <w:rsid w:val="7EF3C56B"/>
    <w:rsid w:val="7EF4F86D"/>
    <w:rsid w:val="7EF5C0A0"/>
    <w:rsid w:val="7EF6BB0E"/>
    <w:rsid w:val="7EF6F24C"/>
    <w:rsid w:val="7EF71466"/>
    <w:rsid w:val="7EF7184F"/>
    <w:rsid w:val="7EF743B2"/>
    <w:rsid w:val="7EF7631F"/>
    <w:rsid w:val="7EF8CB85"/>
    <w:rsid w:val="7EF97168"/>
    <w:rsid w:val="7EF99BDA"/>
    <w:rsid w:val="7EF9D3A7"/>
    <w:rsid w:val="7EFAA995"/>
    <w:rsid w:val="7EFABD23"/>
    <w:rsid w:val="7EFAF087"/>
    <w:rsid w:val="7EFB1109"/>
    <w:rsid w:val="7EFB209B"/>
    <w:rsid w:val="7EFB40B5"/>
    <w:rsid w:val="7EFB8D80"/>
    <w:rsid w:val="7EFBAD09"/>
    <w:rsid w:val="7EFBAFB6"/>
    <w:rsid w:val="7EFBBD3E"/>
    <w:rsid w:val="7EFBBFD7"/>
    <w:rsid w:val="7EFBE56C"/>
    <w:rsid w:val="7EFC1DCF"/>
    <w:rsid w:val="7EFC76D1"/>
    <w:rsid w:val="7EFCFD05"/>
    <w:rsid w:val="7EFD6DEE"/>
    <w:rsid w:val="7EFD8587"/>
    <w:rsid w:val="7EFDC3C2"/>
    <w:rsid w:val="7EFDC822"/>
    <w:rsid w:val="7EFDDE61"/>
    <w:rsid w:val="7EFDEB0D"/>
    <w:rsid w:val="7EFDEB33"/>
    <w:rsid w:val="7EFDF5D9"/>
    <w:rsid w:val="7EFE46FE"/>
    <w:rsid w:val="7EFE5666"/>
    <w:rsid w:val="7EFE6F12"/>
    <w:rsid w:val="7EFE8189"/>
    <w:rsid w:val="7EFE93F4"/>
    <w:rsid w:val="7EFEA447"/>
    <w:rsid w:val="7EFEC1C9"/>
    <w:rsid w:val="7EFEDC7D"/>
    <w:rsid w:val="7EFEF3F5"/>
    <w:rsid w:val="7EFF0A70"/>
    <w:rsid w:val="7EFF2970"/>
    <w:rsid w:val="7EFF2EB9"/>
    <w:rsid w:val="7EFF2EBF"/>
    <w:rsid w:val="7EFF499A"/>
    <w:rsid w:val="7EFF5485"/>
    <w:rsid w:val="7EFF56FA"/>
    <w:rsid w:val="7EFF5D76"/>
    <w:rsid w:val="7EFF67DB"/>
    <w:rsid w:val="7EFF7C71"/>
    <w:rsid w:val="7EFF91F1"/>
    <w:rsid w:val="7EFF9C81"/>
    <w:rsid w:val="7EFFAC08"/>
    <w:rsid w:val="7EFFBA22"/>
    <w:rsid w:val="7EFFCD2B"/>
    <w:rsid w:val="7EFFD1F5"/>
    <w:rsid w:val="7EFFDB4F"/>
    <w:rsid w:val="7EFFE288"/>
    <w:rsid w:val="7EFFEAE9"/>
    <w:rsid w:val="7F07ECB2"/>
    <w:rsid w:val="7F0D50B3"/>
    <w:rsid w:val="7F0F1E5E"/>
    <w:rsid w:val="7F1A98E6"/>
    <w:rsid w:val="7F1C8DAD"/>
    <w:rsid w:val="7F1F3F47"/>
    <w:rsid w:val="7F1F65E7"/>
    <w:rsid w:val="7F1FF04C"/>
    <w:rsid w:val="7F1FF771"/>
    <w:rsid w:val="7F2552DD"/>
    <w:rsid w:val="7F264BB1"/>
    <w:rsid w:val="7F2DB3EC"/>
    <w:rsid w:val="7F2E5C04"/>
    <w:rsid w:val="7F2EE389"/>
    <w:rsid w:val="7F2F4EBB"/>
    <w:rsid w:val="7F2FF60E"/>
    <w:rsid w:val="7F33E47D"/>
    <w:rsid w:val="7F34B4F1"/>
    <w:rsid w:val="7F36604D"/>
    <w:rsid w:val="7F37703B"/>
    <w:rsid w:val="7F37846B"/>
    <w:rsid w:val="7F37F5AE"/>
    <w:rsid w:val="7F39E180"/>
    <w:rsid w:val="7F3D779B"/>
    <w:rsid w:val="7F3D820E"/>
    <w:rsid w:val="7F3F1690"/>
    <w:rsid w:val="7F3F4871"/>
    <w:rsid w:val="7F3F72A6"/>
    <w:rsid w:val="7F3F877F"/>
    <w:rsid w:val="7F3F9633"/>
    <w:rsid w:val="7F3F9952"/>
    <w:rsid w:val="7F3F9F41"/>
    <w:rsid w:val="7F3FD26E"/>
    <w:rsid w:val="7F3FE4C2"/>
    <w:rsid w:val="7F4A4D43"/>
    <w:rsid w:val="7F4B6D82"/>
    <w:rsid w:val="7F4D91DF"/>
    <w:rsid w:val="7F4DA7ED"/>
    <w:rsid w:val="7F4DFF64"/>
    <w:rsid w:val="7F4F8D4F"/>
    <w:rsid w:val="7F4F9EE3"/>
    <w:rsid w:val="7F55526A"/>
    <w:rsid w:val="7F562DF0"/>
    <w:rsid w:val="7F565618"/>
    <w:rsid w:val="7F5792BD"/>
    <w:rsid w:val="7F597B74"/>
    <w:rsid w:val="7F5B5232"/>
    <w:rsid w:val="7F5D47A6"/>
    <w:rsid w:val="7F5E1FD9"/>
    <w:rsid w:val="7F5E7FD0"/>
    <w:rsid w:val="7F5E88B0"/>
    <w:rsid w:val="7F5EC5B6"/>
    <w:rsid w:val="7F5EE2B2"/>
    <w:rsid w:val="7F5EE2BF"/>
    <w:rsid w:val="7F5F5960"/>
    <w:rsid w:val="7F5F85BA"/>
    <w:rsid w:val="7F5FFAE8"/>
    <w:rsid w:val="7F637362"/>
    <w:rsid w:val="7F655490"/>
    <w:rsid w:val="7F65560B"/>
    <w:rsid w:val="7F657715"/>
    <w:rsid w:val="7F659F9C"/>
    <w:rsid w:val="7F65A694"/>
    <w:rsid w:val="7F65BE3F"/>
    <w:rsid w:val="7F669DDA"/>
    <w:rsid w:val="7F6717B5"/>
    <w:rsid w:val="7F671A3D"/>
    <w:rsid w:val="7F676754"/>
    <w:rsid w:val="7F67A469"/>
    <w:rsid w:val="7F6971F3"/>
    <w:rsid w:val="7F6BF94C"/>
    <w:rsid w:val="7F6D2858"/>
    <w:rsid w:val="7F6D4C5B"/>
    <w:rsid w:val="7F6DFBA4"/>
    <w:rsid w:val="7F6E0CA2"/>
    <w:rsid w:val="7F6E28D0"/>
    <w:rsid w:val="7F6E4FE6"/>
    <w:rsid w:val="7F6E54E4"/>
    <w:rsid w:val="7F6F1FDB"/>
    <w:rsid w:val="7F6FA650"/>
    <w:rsid w:val="7F6FB61F"/>
    <w:rsid w:val="7F6FD27C"/>
    <w:rsid w:val="7F6FE07C"/>
    <w:rsid w:val="7F736473"/>
    <w:rsid w:val="7F7379C5"/>
    <w:rsid w:val="7F73D609"/>
    <w:rsid w:val="7F7546E0"/>
    <w:rsid w:val="7F75E695"/>
    <w:rsid w:val="7F7666AF"/>
    <w:rsid w:val="7F7764BF"/>
    <w:rsid w:val="7F779333"/>
    <w:rsid w:val="7F779B6F"/>
    <w:rsid w:val="7F77A738"/>
    <w:rsid w:val="7F77C5AC"/>
    <w:rsid w:val="7F77E10F"/>
    <w:rsid w:val="7F77FAFD"/>
    <w:rsid w:val="7F791A5C"/>
    <w:rsid w:val="7F79652A"/>
    <w:rsid w:val="7F79E488"/>
    <w:rsid w:val="7F7A0776"/>
    <w:rsid w:val="7F7A6519"/>
    <w:rsid w:val="7F7AB30F"/>
    <w:rsid w:val="7F7AC04A"/>
    <w:rsid w:val="7F7AE285"/>
    <w:rsid w:val="7F7B05A5"/>
    <w:rsid w:val="7F7B15BC"/>
    <w:rsid w:val="7F7B54E2"/>
    <w:rsid w:val="7F7B8B77"/>
    <w:rsid w:val="7F7B8F45"/>
    <w:rsid w:val="7F7B96AB"/>
    <w:rsid w:val="7F7BBFC7"/>
    <w:rsid w:val="7F7BEA45"/>
    <w:rsid w:val="7F7BF8E3"/>
    <w:rsid w:val="7F7C31E8"/>
    <w:rsid w:val="7F7C8140"/>
    <w:rsid w:val="7F7C8153"/>
    <w:rsid w:val="7F7D0DAC"/>
    <w:rsid w:val="7F7D39DE"/>
    <w:rsid w:val="7F7D3D95"/>
    <w:rsid w:val="7F7D579B"/>
    <w:rsid w:val="7F7D581D"/>
    <w:rsid w:val="7F7D58EC"/>
    <w:rsid w:val="7F7D65C4"/>
    <w:rsid w:val="7F7D72F0"/>
    <w:rsid w:val="7F7D7794"/>
    <w:rsid w:val="7F7DA10D"/>
    <w:rsid w:val="7F7DB493"/>
    <w:rsid w:val="7F7DC25E"/>
    <w:rsid w:val="7F7E376C"/>
    <w:rsid w:val="7F7E446D"/>
    <w:rsid w:val="7F7E7391"/>
    <w:rsid w:val="7F7E8F26"/>
    <w:rsid w:val="7F7EC5EC"/>
    <w:rsid w:val="7F7ED592"/>
    <w:rsid w:val="7F7ED9F9"/>
    <w:rsid w:val="7F7F1B88"/>
    <w:rsid w:val="7F7F1EC9"/>
    <w:rsid w:val="7F7F2CA4"/>
    <w:rsid w:val="7F7F323A"/>
    <w:rsid w:val="7F7F409E"/>
    <w:rsid w:val="7F7F4228"/>
    <w:rsid w:val="7F7F4BD9"/>
    <w:rsid w:val="7F7F4CDD"/>
    <w:rsid w:val="7F7F5841"/>
    <w:rsid w:val="7F7F78D7"/>
    <w:rsid w:val="7F7F9591"/>
    <w:rsid w:val="7F7F9BC5"/>
    <w:rsid w:val="7F7FC5AF"/>
    <w:rsid w:val="7F7FCBE1"/>
    <w:rsid w:val="7F7FCF8F"/>
    <w:rsid w:val="7F7FDB9D"/>
    <w:rsid w:val="7F7FF7EF"/>
    <w:rsid w:val="7F85FC6C"/>
    <w:rsid w:val="7F86AA91"/>
    <w:rsid w:val="7F87E292"/>
    <w:rsid w:val="7F8DE2F3"/>
    <w:rsid w:val="7F8F2473"/>
    <w:rsid w:val="7F8F3735"/>
    <w:rsid w:val="7F8F6CD7"/>
    <w:rsid w:val="7F8F85FD"/>
    <w:rsid w:val="7F8FC8E5"/>
    <w:rsid w:val="7F8FE910"/>
    <w:rsid w:val="7F9162EB"/>
    <w:rsid w:val="7F920102"/>
    <w:rsid w:val="7F923EB6"/>
    <w:rsid w:val="7F92A5F5"/>
    <w:rsid w:val="7F936196"/>
    <w:rsid w:val="7F95C6E1"/>
    <w:rsid w:val="7F97F4AB"/>
    <w:rsid w:val="7F9923A6"/>
    <w:rsid w:val="7F99933F"/>
    <w:rsid w:val="7F9AC836"/>
    <w:rsid w:val="7F9BA4DA"/>
    <w:rsid w:val="7F9BE0C6"/>
    <w:rsid w:val="7F9BF911"/>
    <w:rsid w:val="7F9D17C6"/>
    <w:rsid w:val="7F9D84AC"/>
    <w:rsid w:val="7F9E01EC"/>
    <w:rsid w:val="7F9E10B0"/>
    <w:rsid w:val="7F9F8BD4"/>
    <w:rsid w:val="7F9F9197"/>
    <w:rsid w:val="7F9F94DC"/>
    <w:rsid w:val="7F9FD233"/>
    <w:rsid w:val="7FA2BF28"/>
    <w:rsid w:val="7FA37811"/>
    <w:rsid w:val="7FA4F3FA"/>
    <w:rsid w:val="7FA5CD49"/>
    <w:rsid w:val="7FA67672"/>
    <w:rsid w:val="7FA6D81D"/>
    <w:rsid w:val="7FA791F4"/>
    <w:rsid w:val="7FA7B474"/>
    <w:rsid w:val="7FA85B9E"/>
    <w:rsid w:val="7FAAF318"/>
    <w:rsid w:val="7FAB48C9"/>
    <w:rsid w:val="7FAB64F5"/>
    <w:rsid w:val="7FAB67F3"/>
    <w:rsid w:val="7FAB8F30"/>
    <w:rsid w:val="7FAE0E5B"/>
    <w:rsid w:val="7FAE92BA"/>
    <w:rsid w:val="7FAF1CB1"/>
    <w:rsid w:val="7FAF241F"/>
    <w:rsid w:val="7FAF4D66"/>
    <w:rsid w:val="7FAF7022"/>
    <w:rsid w:val="7FAFB075"/>
    <w:rsid w:val="7FAFC288"/>
    <w:rsid w:val="7FAFD367"/>
    <w:rsid w:val="7FAFE58C"/>
    <w:rsid w:val="7FB1087A"/>
    <w:rsid w:val="7FB30D2E"/>
    <w:rsid w:val="7FB3C9CC"/>
    <w:rsid w:val="7FB52215"/>
    <w:rsid w:val="7FB5538D"/>
    <w:rsid w:val="7FB56170"/>
    <w:rsid w:val="7FB60ED5"/>
    <w:rsid w:val="7FB61C22"/>
    <w:rsid w:val="7FB7279B"/>
    <w:rsid w:val="7FB74447"/>
    <w:rsid w:val="7FB75DEC"/>
    <w:rsid w:val="7FB7664A"/>
    <w:rsid w:val="7FB7759E"/>
    <w:rsid w:val="7FB7DB39"/>
    <w:rsid w:val="7FB90B54"/>
    <w:rsid w:val="7FB9B0E9"/>
    <w:rsid w:val="7FB9B409"/>
    <w:rsid w:val="7FBA5729"/>
    <w:rsid w:val="7FBB4361"/>
    <w:rsid w:val="7FBB6715"/>
    <w:rsid w:val="7FBB9A5C"/>
    <w:rsid w:val="7FBBA427"/>
    <w:rsid w:val="7FBBBA6C"/>
    <w:rsid w:val="7FBBCAAC"/>
    <w:rsid w:val="7FBBDC11"/>
    <w:rsid w:val="7FBC398B"/>
    <w:rsid w:val="7FBCF49C"/>
    <w:rsid w:val="7FBD0E80"/>
    <w:rsid w:val="7FBD5391"/>
    <w:rsid w:val="7FBD5495"/>
    <w:rsid w:val="7FBD6A6E"/>
    <w:rsid w:val="7FBD7F9E"/>
    <w:rsid w:val="7FBDA10E"/>
    <w:rsid w:val="7FBDA1B4"/>
    <w:rsid w:val="7FBDFC48"/>
    <w:rsid w:val="7FBE06D4"/>
    <w:rsid w:val="7FBE2541"/>
    <w:rsid w:val="7FBE2B5E"/>
    <w:rsid w:val="7FBE5413"/>
    <w:rsid w:val="7FBE8574"/>
    <w:rsid w:val="7FBE9E09"/>
    <w:rsid w:val="7FBEC2D9"/>
    <w:rsid w:val="7FBEC894"/>
    <w:rsid w:val="7FBECCF9"/>
    <w:rsid w:val="7FBF1A8D"/>
    <w:rsid w:val="7FBF1F78"/>
    <w:rsid w:val="7FBF316A"/>
    <w:rsid w:val="7FBF3E76"/>
    <w:rsid w:val="7FBF587C"/>
    <w:rsid w:val="7FBF5FF5"/>
    <w:rsid w:val="7FBF6B2B"/>
    <w:rsid w:val="7FBF7D4B"/>
    <w:rsid w:val="7FBF82CD"/>
    <w:rsid w:val="7FBF8630"/>
    <w:rsid w:val="7FBF9729"/>
    <w:rsid w:val="7FBF97A6"/>
    <w:rsid w:val="7FBF9EFA"/>
    <w:rsid w:val="7FBFC8AC"/>
    <w:rsid w:val="7FBFCC1A"/>
    <w:rsid w:val="7FBFD567"/>
    <w:rsid w:val="7FBFD5B8"/>
    <w:rsid w:val="7FBFE629"/>
    <w:rsid w:val="7FBFE75F"/>
    <w:rsid w:val="7FBFE994"/>
    <w:rsid w:val="7FBFF7C3"/>
    <w:rsid w:val="7FBFF824"/>
    <w:rsid w:val="7FBFFAC1"/>
    <w:rsid w:val="7FBFFEAD"/>
    <w:rsid w:val="7FC36306"/>
    <w:rsid w:val="7FC5D8BF"/>
    <w:rsid w:val="7FC5E823"/>
    <w:rsid w:val="7FCB495B"/>
    <w:rsid w:val="7FCBEBC9"/>
    <w:rsid w:val="7FCC53BE"/>
    <w:rsid w:val="7FCC9524"/>
    <w:rsid w:val="7FCDB922"/>
    <w:rsid w:val="7FCDD2EC"/>
    <w:rsid w:val="7FCDE697"/>
    <w:rsid w:val="7FCDF847"/>
    <w:rsid w:val="7FCE9677"/>
    <w:rsid w:val="7FCEC6B7"/>
    <w:rsid w:val="7FCEC8A0"/>
    <w:rsid w:val="7FCF3666"/>
    <w:rsid w:val="7FCF56A1"/>
    <w:rsid w:val="7FCF65F0"/>
    <w:rsid w:val="7FCF6B60"/>
    <w:rsid w:val="7FCF87EA"/>
    <w:rsid w:val="7FCF95DF"/>
    <w:rsid w:val="7FCF9D6D"/>
    <w:rsid w:val="7FCFDD92"/>
    <w:rsid w:val="7FCFE4F6"/>
    <w:rsid w:val="7FCFFBE2"/>
    <w:rsid w:val="7FCFFC5D"/>
    <w:rsid w:val="7FD1273F"/>
    <w:rsid w:val="7FD387FD"/>
    <w:rsid w:val="7FD397B0"/>
    <w:rsid w:val="7FD3E50F"/>
    <w:rsid w:val="7FD5763D"/>
    <w:rsid w:val="7FD69592"/>
    <w:rsid w:val="7FD6BA4E"/>
    <w:rsid w:val="7FD725F5"/>
    <w:rsid w:val="7FD751A9"/>
    <w:rsid w:val="7FD7590E"/>
    <w:rsid w:val="7FD75A62"/>
    <w:rsid w:val="7FD77162"/>
    <w:rsid w:val="7FD798D3"/>
    <w:rsid w:val="7FD7B085"/>
    <w:rsid w:val="7FD9A17A"/>
    <w:rsid w:val="7FD9A181"/>
    <w:rsid w:val="7FDB055F"/>
    <w:rsid w:val="7FDB07B4"/>
    <w:rsid w:val="7FDB0A2F"/>
    <w:rsid w:val="7FDB8789"/>
    <w:rsid w:val="7FDBBC7B"/>
    <w:rsid w:val="7FDBDF16"/>
    <w:rsid w:val="7FDBEDA7"/>
    <w:rsid w:val="7FDC454C"/>
    <w:rsid w:val="7FDC56CA"/>
    <w:rsid w:val="7FDD3E19"/>
    <w:rsid w:val="7FDD5832"/>
    <w:rsid w:val="7FDD76F1"/>
    <w:rsid w:val="7FDD9B90"/>
    <w:rsid w:val="7FDDC64A"/>
    <w:rsid w:val="7FDDE584"/>
    <w:rsid w:val="7FDDEAF9"/>
    <w:rsid w:val="7FDDF3CD"/>
    <w:rsid w:val="7FDEA885"/>
    <w:rsid w:val="7FDEAE49"/>
    <w:rsid w:val="7FDED0AC"/>
    <w:rsid w:val="7FDF04F1"/>
    <w:rsid w:val="7FDF0CAC"/>
    <w:rsid w:val="7FDF18FC"/>
    <w:rsid w:val="7FDF23AF"/>
    <w:rsid w:val="7FDF2B74"/>
    <w:rsid w:val="7FDF301D"/>
    <w:rsid w:val="7FDF4DDF"/>
    <w:rsid w:val="7FDF5767"/>
    <w:rsid w:val="7FDF85C7"/>
    <w:rsid w:val="7FDFA92B"/>
    <w:rsid w:val="7FDFACD1"/>
    <w:rsid w:val="7FDFBE35"/>
    <w:rsid w:val="7FDFD7B9"/>
    <w:rsid w:val="7FDFFA06"/>
    <w:rsid w:val="7FE11531"/>
    <w:rsid w:val="7FE3E097"/>
    <w:rsid w:val="7FE51C40"/>
    <w:rsid w:val="7FE5505B"/>
    <w:rsid w:val="7FE709EB"/>
    <w:rsid w:val="7FE70B39"/>
    <w:rsid w:val="7FE74B75"/>
    <w:rsid w:val="7FE77A8B"/>
    <w:rsid w:val="7FE7B366"/>
    <w:rsid w:val="7FE7C420"/>
    <w:rsid w:val="7FE7F65E"/>
    <w:rsid w:val="7FE832F6"/>
    <w:rsid w:val="7FE97540"/>
    <w:rsid w:val="7FE98AA1"/>
    <w:rsid w:val="7FE9F31D"/>
    <w:rsid w:val="7FE9FECE"/>
    <w:rsid w:val="7FEA51DF"/>
    <w:rsid w:val="7FEB1059"/>
    <w:rsid w:val="7FEB5604"/>
    <w:rsid w:val="7FEB5850"/>
    <w:rsid w:val="7FEB5CBC"/>
    <w:rsid w:val="7FEB6F0E"/>
    <w:rsid w:val="7FEB9A07"/>
    <w:rsid w:val="7FEBCC8B"/>
    <w:rsid w:val="7FEC5F4F"/>
    <w:rsid w:val="7FECDBA9"/>
    <w:rsid w:val="7FED0DC8"/>
    <w:rsid w:val="7FED19CB"/>
    <w:rsid w:val="7FED1D2E"/>
    <w:rsid w:val="7FED23CE"/>
    <w:rsid w:val="7FED2F38"/>
    <w:rsid w:val="7FED47D7"/>
    <w:rsid w:val="7FED59C5"/>
    <w:rsid w:val="7FED7D83"/>
    <w:rsid w:val="7FEDA6D8"/>
    <w:rsid w:val="7FEDAEB4"/>
    <w:rsid w:val="7FEDD36C"/>
    <w:rsid w:val="7FEDD504"/>
    <w:rsid w:val="7FEDE357"/>
    <w:rsid w:val="7FEE2821"/>
    <w:rsid w:val="7FEE419E"/>
    <w:rsid w:val="7FEEA5C1"/>
    <w:rsid w:val="7FEEE286"/>
    <w:rsid w:val="7FEF1033"/>
    <w:rsid w:val="7FEF39C4"/>
    <w:rsid w:val="7FEF4737"/>
    <w:rsid w:val="7FEF5A28"/>
    <w:rsid w:val="7FEF6312"/>
    <w:rsid w:val="7FEF7DAB"/>
    <w:rsid w:val="7FEF82F8"/>
    <w:rsid w:val="7FEF88AA"/>
    <w:rsid w:val="7FEF8D69"/>
    <w:rsid w:val="7FEF8E34"/>
    <w:rsid w:val="7FEF964C"/>
    <w:rsid w:val="7FEFA686"/>
    <w:rsid w:val="7FEFB03F"/>
    <w:rsid w:val="7FEFC0BA"/>
    <w:rsid w:val="7FEFCE79"/>
    <w:rsid w:val="7FEFD579"/>
    <w:rsid w:val="7FEFEC86"/>
    <w:rsid w:val="7FEFFC55"/>
    <w:rsid w:val="7FF01447"/>
    <w:rsid w:val="7FF14B55"/>
    <w:rsid w:val="7FF15147"/>
    <w:rsid w:val="7FF15414"/>
    <w:rsid w:val="7FF1A00C"/>
    <w:rsid w:val="7FF241ED"/>
    <w:rsid w:val="7FF2628A"/>
    <w:rsid w:val="7FF312E5"/>
    <w:rsid w:val="7FF32E9D"/>
    <w:rsid w:val="7FF3401A"/>
    <w:rsid w:val="7FF341EB"/>
    <w:rsid w:val="7FF34277"/>
    <w:rsid w:val="7FF35F84"/>
    <w:rsid w:val="7FF36453"/>
    <w:rsid w:val="7FF3B57B"/>
    <w:rsid w:val="7FF3EAAE"/>
    <w:rsid w:val="7FF3EEB8"/>
    <w:rsid w:val="7FF4A443"/>
    <w:rsid w:val="7FF4D3C4"/>
    <w:rsid w:val="7FF4F714"/>
    <w:rsid w:val="7FF4F966"/>
    <w:rsid w:val="7FF5033F"/>
    <w:rsid w:val="7FF572BB"/>
    <w:rsid w:val="7FF60BD6"/>
    <w:rsid w:val="7FF63251"/>
    <w:rsid w:val="7FF64CC6"/>
    <w:rsid w:val="7FF6B316"/>
    <w:rsid w:val="7FF6CE1A"/>
    <w:rsid w:val="7FF6D76C"/>
    <w:rsid w:val="7FF6E6FF"/>
    <w:rsid w:val="7FF711DA"/>
    <w:rsid w:val="7FF715DD"/>
    <w:rsid w:val="7FF71C5F"/>
    <w:rsid w:val="7FF742D9"/>
    <w:rsid w:val="7FF74A9D"/>
    <w:rsid w:val="7FF75249"/>
    <w:rsid w:val="7FF76563"/>
    <w:rsid w:val="7FF77A4D"/>
    <w:rsid w:val="7FF786F7"/>
    <w:rsid w:val="7FF78C89"/>
    <w:rsid w:val="7FF7B3A4"/>
    <w:rsid w:val="7FF7BD1B"/>
    <w:rsid w:val="7FF7C527"/>
    <w:rsid w:val="7FF7C87C"/>
    <w:rsid w:val="7FF7CF59"/>
    <w:rsid w:val="7FF7D149"/>
    <w:rsid w:val="7FF7D6D8"/>
    <w:rsid w:val="7FF7DF84"/>
    <w:rsid w:val="7FF7F95F"/>
    <w:rsid w:val="7FF83A06"/>
    <w:rsid w:val="7FF845EF"/>
    <w:rsid w:val="7FF85D1E"/>
    <w:rsid w:val="7FF8603C"/>
    <w:rsid w:val="7FF8C66B"/>
    <w:rsid w:val="7FF90EEA"/>
    <w:rsid w:val="7FF9427D"/>
    <w:rsid w:val="7FF960BA"/>
    <w:rsid w:val="7FF96F33"/>
    <w:rsid w:val="7FF9B66F"/>
    <w:rsid w:val="7FF9EF57"/>
    <w:rsid w:val="7FFA2754"/>
    <w:rsid w:val="7FFA5203"/>
    <w:rsid w:val="7FFA6FE9"/>
    <w:rsid w:val="7FFA749E"/>
    <w:rsid w:val="7FFAC723"/>
    <w:rsid w:val="7FFAEADF"/>
    <w:rsid w:val="7FFAEFBE"/>
    <w:rsid w:val="7FFB0250"/>
    <w:rsid w:val="7FFB0D39"/>
    <w:rsid w:val="7FFB1807"/>
    <w:rsid w:val="7FFB199D"/>
    <w:rsid w:val="7FFB1B18"/>
    <w:rsid w:val="7FFB1E7E"/>
    <w:rsid w:val="7FFB226B"/>
    <w:rsid w:val="7FFB2ECD"/>
    <w:rsid w:val="7FFB3603"/>
    <w:rsid w:val="7FFB397B"/>
    <w:rsid w:val="7FFB6377"/>
    <w:rsid w:val="7FFB7DE4"/>
    <w:rsid w:val="7FFB8438"/>
    <w:rsid w:val="7FFB90EB"/>
    <w:rsid w:val="7FFB9AE7"/>
    <w:rsid w:val="7FFB9CFA"/>
    <w:rsid w:val="7FFBBA60"/>
    <w:rsid w:val="7FFBC510"/>
    <w:rsid w:val="7FFBDAFC"/>
    <w:rsid w:val="7FFBE041"/>
    <w:rsid w:val="7FFBF0EF"/>
    <w:rsid w:val="7FFBF3FF"/>
    <w:rsid w:val="7FFBFF15"/>
    <w:rsid w:val="7FFBFFC4"/>
    <w:rsid w:val="7FFC0134"/>
    <w:rsid w:val="7FFC53E5"/>
    <w:rsid w:val="7FFCAE52"/>
    <w:rsid w:val="7FFCC304"/>
    <w:rsid w:val="7FFD0247"/>
    <w:rsid w:val="7FFD0FF4"/>
    <w:rsid w:val="7FFD1FE1"/>
    <w:rsid w:val="7FFD29F2"/>
    <w:rsid w:val="7FFD40C9"/>
    <w:rsid w:val="7FFD5965"/>
    <w:rsid w:val="7FFD5E05"/>
    <w:rsid w:val="7FFD5F13"/>
    <w:rsid w:val="7FFD64CB"/>
    <w:rsid w:val="7FFD71AB"/>
    <w:rsid w:val="7FFD8544"/>
    <w:rsid w:val="7FFD8B71"/>
    <w:rsid w:val="7FFD8CF5"/>
    <w:rsid w:val="7FFDA598"/>
    <w:rsid w:val="7FFDA5C8"/>
    <w:rsid w:val="7FFDA957"/>
    <w:rsid w:val="7FFDBA12"/>
    <w:rsid w:val="7FFDC78E"/>
    <w:rsid w:val="7FFDE6FC"/>
    <w:rsid w:val="7FFDEB6A"/>
    <w:rsid w:val="7FFDEC63"/>
    <w:rsid w:val="7FFDECE9"/>
    <w:rsid w:val="7FFDF27E"/>
    <w:rsid w:val="7FFE2B36"/>
    <w:rsid w:val="7FFE4371"/>
    <w:rsid w:val="7FFE5387"/>
    <w:rsid w:val="7FFE5C3A"/>
    <w:rsid w:val="7FFE6A04"/>
    <w:rsid w:val="7FFE9DD4"/>
    <w:rsid w:val="7FFEA40B"/>
    <w:rsid w:val="7FFEA680"/>
    <w:rsid w:val="7FFEAE37"/>
    <w:rsid w:val="7FFEB82E"/>
    <w:rsid w:val="7FFED5A3"/>
    <w:rsid w:val="7FFEE42E"/>
    <w:rsid w:val="7FFEE512"/>
    <w:rsid w:val="7FFEE92E"/>
    <w:rsid w:val="7FFF015C"/>
    <w:rsid w:val="7FFF02DE"/>
    <w:rsid w:val="7FFF046E"/>
    <w:rsid w:val="7FFF0897"/>
    <w:rsid w:val="7FFF0DAF"/>
    <w:rsid w:val="7FFF0EDC"/>
    <w:rsid w:val="7FFF1299"/>
    <w:rsid w:val="7FFF1A35"/>
    <w:rsid w:val="7FFF2B9E"/>
    <w:rsid w:val="7FFF2C40"/>
    <w:rsid w:val="7FFF2F8E"/>
    <w:rsid w:val="7FFF3528"/>
    <w:rsid w:val="7FFF358C"/>
    <w:rsid w:val="7FFF4037"/>
    <w:rsid w:val="7FFF4DB0"/>
    <w:rsid w:val="7FFF4EA3"/>
    <w:rsid w:val="7FFF5CEE"/>
    <w:rsid w:val="7FFF5D27"/>
    <w:rsid w:val="7FFF5D49"/>
    <w:rsid w:val="7FFF5EAD"/>
    <w:rsid w:val="7FFF5FC2"/>
    <w:rsid w:val="7FFF60B0"/>
    <w:rsid w:val="7FFF62D8"/>
    <w:rsid w:val="7FFF709C"/>
    <w:rsid w:val="7FFF7442"/>
    <w:rsid w:val="7FFF74A4"/>
    <w:rsid w:val="7FFF7B40"/>
    <w:rsid w:val="7FFF7BE6"/>
    <w:rsid w:val="7FFF7F68"/>
    <w:rsid w:val="7FFF8A51"/>
    <w:rsid w:val="7FFF92C1"/>
    <w:rsid w:val="7FFF9552"/>
    <w:rsid w:val="7FFF983A"/>
    <w:rsid w:val="7FFFA3A6"/>
    <w:rsid w:val="7FFFAEDB"/>
    <w:rsid w:val="7FFFB3FE"/>
    <w:rsid w:val="7FFFB57D"/>
    <w:rsid w:val="7FFFB829"/>
    <w:rsid w:val="7FFFBA88"/>
    <w:rsid w:val="7FFFBF87"/>
    <w:rsid w:val="7FFFC34A"/>
    <w:rsid w:val="7FFFC556"/>
    <w:rsid w:val="7FFFC6EA"/>
    <w:rsid w:val="7FFFCA88"/>
    <w:rsid w:val="7FFFCDD1"/>
    <w:rsid w:val="7FFFCFE6"/>
    <w:rsid w:val="7FFFD199"/>
    <w:rsid w:val="7FFFD298"/>
    <w:rsid w:val="7FFFD519"/>
    <w:rsid w:val="7FFFD9EE"/>
    <w:rsid w:val="7FFFDCCB"/>
    <w:rsid w:val="7FFFE946"/>
    <w:rsid w:val="7FFFF010"/>
    <w:rsid w:val="7FFFF7C6"/>
    <w:rsid w:val="7FFFFAA6"/>
    <w:rsid w:val="7FFFFE3A"/>
    <w:rsid w:val="807FAF29"/>
    <w:rsid w:val="833E260A"/>
    <w:rsid w:val="83EFFC30"/>
    <w:rsid w:val="83FB30CD"/>
    <w:rsid w:val="83FD126B"/>
    <w:rsid w:val="849F3E5D"/>
    <w:rsid w:val="84E688E4"/>
    <w:rsid w:val="85DE9E34"/>
    <w:rsid w:val="85EEADBB"/>
    <w:rsid w:val="85FD29DF"/>
    <w:rsid w:val="85FF3D93"/>
    <w:rsid w:val="86EF3EF0"/>
    <w:rsid w:val="86F7C865"/>
    <w:rsid w:val="86FF22B6"/>
    <w:rsid w:val="871EAC57"/>
    <w:rsid w:val="873F2367"/>
    <w:rsid w:val="87A95DC8"/>
    <w:rsid w:val="87DFCA0C"/>
    <w:rsid w:val="87FFB6E6"/>
    <w:rsid w:val="899FF865"/>
    <w:rsid w:val="89B29738"/>
    <w:rsid w:val="89D120E3"/>
    <w:rsid w:val="8AAA2693"/>
    <w:rsid w:val="8ACF82E2"/>
    <w:rsid w:val="8AD74546"/>
    <w:rsid w:val="8ADCB9EB"/>
    <w:rsid w:val="8AF7340D"/>
    <w:rsid w:val="8AFF0F88"/>
    <w:rsid w:val="8B5316B2"/>
    <w:rsid w:val="8BAF60AB"/>
    <w:rsid w:val="8BB54656"/>
    <w:rsid w:val="8BBB135D"/>
    <w:rsid w:val="8BBDF6B6"/>
    <w:rsid w:val="8BDF6863"/>
    <w:rsid w:val="8BF6B018"/>
    <w:rsid w:val="8BFF87CD"/>
    <w:rsid w:val="8CE3016F"/>
    <w:rsid w:val="8D8A95A7"/>
    <w:rsid w:val="8DAD4D7F"/>
    <w:rsid w:val="8DBDED46"/>
    <w:rsid w:val="8DC94E0E"/>
    <w:rsid w:val="8DFE3563"/>
    <w:rsid w:val="8E670372"/>
    <w:rsid w:val="8EDFF1F2"/>
    <w:rsid w:val="8EFD02E4"/>
    <w:rsid w:val="8EFF09BF"/>
    <w:rsid w:val="8F3FA78B"/>
    <w:rsid w:val="8F4FC370"/>
    <w:rsid w:val="8F5E6AA1"/>
    <w:rsid w:val="8F6F0EAC"/>
    <w:rsid w:val="8F760141"/>
    <w:rsid w:val="8F7BD735"/>
    <w:rsid w:val="8F7F8DCC"/>
    <w:rsid w:val="8F910908"/>
    <w:rsid w:val="8F9DDF98"/>
    <w:rsid w:val="8FB5C5DC"/>
    <w:rsid w:val="8FBB7FAA"/>
    <w:rsid w:val="8FBF2F86"/>
    <w:rsid w:val="8FBFE38B"/>
    <w:rsid w:val="8FD9A419"/>
    <w:rsid w:val="8FE60921"/>
    <w:rsid w:val="8FE73FF9"/>
    <w:rsid w:val="8FE75DD0"/>
    <w:rsid w:val="8FE7F81A"/>
    <w:rsid w:val="8FEDA8BC"/>
    <w:rsid w:val="8FF7B0D7"/>
    <w:rsid w:val="8FF9C2F5"/>
    <w:rsid w:val="8FFA177C"/>
    <w:rsid w:val="8FFDD1FD"/>
    <w:rsid w:val="8FFE3D55"/>
    <w:rsid w:val="8FFEC246"/>
    <w:rsid w:val="8FFFCFB3"/>
    <w:rsid w:val="8FFFE2A6"/>
    <w:rsid w:val="92CBA8C4"/>
    <w:rsid w:val="9337FA4C"/>
    <w:rsid w:val="933F55F3"/>
    <w:rsid w:val="937D7EF1"/>
    <w:rsid w:val="93E917B3"/>
    <w:rsid w:val="93FD011F"/>
    <w:rsid w:val="93FF65CE"/>
    <w:rsid w:val="94BCA5B7"/>
    <w:rsid w:val="94FF74C6"/>
    <w:rsid w:val="955B6E76"/>
    <w:rsid w:val="955F7701"/>
    <w:rsid w:val="95787493"/>
    <w:rsid w:val="95AB7882"/>
    <w:rsid w:val="95B93A31"/>
    <w:rsid w:val="95BDA290"/>
    <w:rsid w:val="95D752A6"/>
    <w:rsid w:val="95DEB7B8"/>
    <w:rsid w:val="95F3D398"/>
    <w:rsid w:val="95FECED8"/>
    <w:rsid w:val="964FB8F4"/>
    <w:rsid w:val="96569F42"/>
    <w:rsid w:val="967EF8C3"/>
    <w:rsid w:val="967F00C1"/>
    <w:rsid w:val="96B775C6"/>
    <w:rsid w:val="96BBFC14"/>
    <w:rsid w:val="96E9BCCA"/>
    <w:rsid w:val="96F59CE8"/>
    <w:rsid w:val="96F96EE9"/>
    <w:rsid w:val="96FC8F32"/>
    <w:rsid w:val="96FF15F1"/>
    <w:rsid w:val="973CE365"/>
    <w:rsid w:val="9777C353"/>
    <w:rsid w:val="977A5B3A"/>
    <w:rsid w:val="977F4CFE"/>
    <w:rsid w:val="977FD360"/>
    <w:rsid w:val="979F293E"/>
    <w:rsid w:val="97B6E812"/>
    <w:rsid w:val="97B7C165"/>
    <w:rsid w:val="97BD4D08"/>
    <w:rsid w:val="97C71C1B"/>
    <w:rsid w:val="97CBCF8A"/>
    <w:rsid w:val="97D52811"/>
    <w:rsid w:val="97D71490"/>
    <w:rsid w:val="97EF3844"/>
    <w:rsid w:val="97EF8CE1"/>
    <w:rsid w:val="97EF9099"/>
    <w:rsid w:val="97F1B66C"/>
    <w:rsid w:val="97F25397"/>
    <w:rsid w:val="97F7BC7E"/>
    <w:rsid w:val="97FB4005"/>
    <w:rsid w:val="97FBE2BE"/>
    <w:rsid w:val="97FFAF5D"/>
    <w:rsid w:val="97FFF544"/>
    <w:rsid w:val="98FB07E2"/>
    <w:rsid w:val="99BF5BA7"/>
    <w:rsid w:val="99D5E1C1"/>
    <w:rsid w:val="99DBAD93"/>
    <w:rsid w:val="99DD1C50"/>
    <w:rsid w:val="99FAF632"/>
    <w:rsid w:val="9A6D5368"/>
    <w:rsid w:val="9A773B5D"/>
    <w:rsid w:val="9A7D8731"/>
    <w:rsid w:val="9A9D7F8D"/>
    <w:rsid w:val="9AB32638"/>
    <w:rsid w:val="9ACFB03B"/>
    <w:rsid w:val="9ADB425B"/>
    <w:rsid w:val="9ADCF1DA"/>
    <w:rsid w:val="9AFE5D8B"/>
    <w:rsid w:val="9B3F65A1"/>
    <w:rsid w:val="9B57F0F7"/>
    <w:rsid w:val="9B6BD9E6"/>
    <w:rsid w:val="9B7F0601"/>
    <w:rsid w:val="9B7F40B6"/>
    <w:rsid w:val="9BAF413B"/>
    <w:rsid w:val="9BAFEF92"/>
    <w:rsid w:val="9BB73090"/>
    <w:rsid w:val="9BCB170E"/>
    <w:rsid w:val="9BEE2D02"/>
    <w:rsid w:val="9BF7A0EB"/>
    <w:rsid w:val="9BFAF1FD"/>
    <w:rsid w:val="9BFB095B"/>
    <w:rsid w:val="9BFC1D16"/>
    <w:rsid w:val="9BFCEB04"/>
    <w:rsid w:val="9BFDD724"/>
    <w:rsid w:val="9BFDDE86"/>
    <w:rsid w:val="9BFDE64D"/>
    <w:rsid w:val="9BFEEEEA"/>
    <w:rsid w:val="9BFF360D"/>
    <w:rsid w:val="9BFFD2C0"/>
    <w:rsid w:val="9CBB3D70"/>
    <w:rsid w:val="9CE943C5"/>
    <w:rsid w:val="9CEB8F27"/>
    <w:rsid w:val="9CEEC8B3"/>
    <w:rsid w:val="9CF398C7"/>
    <w:rsid w:val="9CF53A2E"/>
    <w:rsid w:val="9CF60E20"/>
    <w:rsid w:val="9CF68061"/>
    <w:rsid w:val="9CFA3BF5"/>
    <w:rsid w:val="9CFADDE3"/>
    <w:rsid w:val="9CFB5BC1"/>
    <w:rsid w:val="9CFCE2DE"/>
    <w:rsid w:val="9D49C29B"/>
    <w:rsid w:val="9D4B5CFF"/>
    <w:rsid w:val="9D57439E"/>
    <w:rsid w:val="9D65D64E"/>
    <w:rsid w:val="9D6FE9B3"/>
    <w:rsid w:val="9D7C3B7A"/>
    <w:rsid w:val="9D9F8000"/>
    <w:rsid w:val="9D9FDE03"/>
    <w:rsid w:val="9DAB5F5C"/>
    <w:rsid w:val="9DBF3691"/>
    <w:rsid w:val="9DDCE453"/>
    <w:rsid w:val="9DDDE2F3"/>
    <w:rsid w:val="9DDF1FE6"/>
    <w:rsid w:val="9DDFA5BA"/>
    <w:rsid w:val="9DDFD6AD"/>
    <w:rsid w:val="9DDFE02D"/>
    <w:rsid w:val="9DE94E00"/>
    <w:rsid w:val="9DEA1BB2"/>
    <w:rsid w:val="9DEAE0AA"/>
    <w:rsid w:val="9DED2587"/>
    <w:rsid w:val="9DF70C3A"/>
    <w:rsid w:val="9DF79788"/>
    <w:rsid w:val="9DFA39F9"/>
    <w:rsid w:val="9DFB036C"/>
    <w:rsid w:val="9DFB7AB4"/>
    <w:rsid w:val="9DFBBF00"/>
    <w:rsid w:val="9DFE30D5"/>
    <w:rsid w:val="9E0BA5FA"/>
    <w:rsid w:val="9E1DDE32"/>
    <w:rsid w:val="9E1F534A"/>
    <w:rsid w:val="9E1F7B9C"/>
    <w:rsid w:val="9E3F7DD8"/>
    <w:rsid w:val="9E6D3D8D"/>
    <w:rsid w:val="9E9A8B42"/>
    <w:rsid w:val="9EABE396"/>
    <w:rsid w:val="9EB0A431"/>
    <w:rsid w:val="9EB2B712"/>
    <w:rsid w:val="9EBBC79B"/>
    <w:rsid w:val="9ECD98DA"/>
    <w:rsid w:val="9EDB1D76"/>
    <w:rsid w:val="9EDE0AB5"/>
    <w:rsid w:val="9EDF0E1E"/>
    <w:rsid w:val="9EDF8B90"/>
    <w:rsid w:val="9EEE51C3"/>
    <w:rsid w:val="9EEF7B69"/>
    <w:rsid w:val="9EF97AB7"/>
    <w:rsid w:val="9EFBB256"/>
    <w:rsid w:val="9EFD819A"/>
    <w:rsid w:val="9EFDBEA8"/>
    <w:rsid w:val="9EFF4E2B"/>
    <w:rsid w:val="9F2ED46F"/>
    <w:rsid w:val="9F343A8B"/>
    <w:rsid w:val="9F3FB234"/>
    <w:rsid w:val="9F79B740"/>
    <w:rsid w:val="9F7AEAA1"/>
    <w:rsid w:val="9F7BF660"/>
    <w:rsid w:val="9F7DE852"/>
    <w:rsid w:val="9F7DF4F0"/>
    <w:rsid w:val="9F7F1FC8"/>
    <w:rsid w:val="9F7F33F5"/>
    <w:rsid w:val="9F7F35AE"/>
    <w:rsid w:val="9F8398CC"/>
    <w:rsid w:val="9F8B3F82"/>
    <w:rsid w:val="9F8B93F8"/>
    <w:rsid w:val="9F974B96"/>
    <w:rsid w:val="9F9D5679"/>
    <w:rsid w:val="9F9FF705"/>
    <w:rsid w:val="9FA5F99E"/>
    <w:rsid w:val="9FAEF6F6"/>
    <w:rsid w:val="9FAF5FA2"/>
    <w:rsid w:val="9FB39BDE"/>
    <w:rsid w:val="9FB9469F"/>
    <w:rsid w:val="9FBBC719"/>
    <w:rsid w:val="9FBE5D72"/>
    <w:rsid w:val="9FBF13FE"/>
    <w:rsid w:val="9FBF84C0"/>
    <w:rsid w:val="9FBFABA8"/>
    <w:rsid w:val="9FCF31C9"/>
    <w:rsid w:val="9FCFE606"/>
    <w:rsid w:val="9FD30587"/>
    <w:rsid w:val="9FD7AD70"/>
    <w:rsid w:val="9FD9C4DF"/>
    <w:rsid w:val="9FDB169F"/>
    <w:rsid w:val="9FDBF4C4"/>
    <w:rsid w:val="9FDF10BA"/>
    <w:rsid w:val="9FDF6E46"/>
    <w:rsid w:val="9FDF9AC6"/>
    <w:rsid w:val="9FE50E8F"/>
    <w:rsid w:val="9FE5E8E2"/>
    <w:rsid w:val="9FE6EDE1"/>
    <w:rsid w:val="9FEF0588"/>
    <w:rsid w:val="9FEF6B07"/>
    <w:rsid w:val="9FEFD4C4"/>
    <w:rsid w:val="9FEFECC5"/>
    <w:rsid w:val="9FF378BB"/>
    <w:rsid w:val="9FF3F042"/>
    <w:rsid w:val="9FF6256A"/>
    <w:rsid w:val="9FF6F482"/>
    <w:rsid w:val="9FF74941"/>
    <w:rsid w:val="9FF7BE88"/>
    <w:rsid w:val="9FF7F6BD"/>
    <w:rsid w:val="9FFB9BEB"/>
    <w:rsid w:val="9FFBE8FA"/>
    <w:rsid w:val="9FFD4E3B"/>
    <w:rsid w:val="9FFD68F9"/>
    <w:rsid w:val="9FFDB855"/>
    <w:rsid w:val="9FFE52C3"/>
    <w:rsid w:val="9FFE6694"/>
    <w:rsid w:val="9FFEF0FA"/>
    <w:rsid w:val="9FFEF478"/>
    <w:rsid w:val="9FFEF5AE"/>
    <w:rsid w:val="9FFF22A9"/>
    <w:rsid w:val="9FFF58B3"/>
    <w:rsid w:val="9FFF5A72"/>
    <w:rsid w:val="9FFFA50A"/>
    <w:rsid w:val="9FFFC5C6"/>
    <w:rsid w:val="9FFFE72B"/>
    <w:rsid w:val="9FFFF653"/>
    <w:rsid w:val="9FFFFA2B"/>
    <w:rsid w:val="9FFFFFA6"/>
    <w:rsid w:val="A12BE97D"/>
    <w:rsid w:val="A133D5F2"/>
    <w:rsid w:val="A13FEECC"/>
    <w:rsid w:val="A1AFDA91"/>
    <w:rsid w:val="A1D8080D"/>
    <w:rsid w:val="A1DD5176"/>
    <w:rsid w:val="A1FF52C0"/>
    <w:rsid w:val="A2B7FC2F"/>
    <w:rsid w:val="A2BF37FB"/>
    <w:rsid w:val="A2DFA07D"/>
    <w:rsid w:val="A36FA1F4"/>
    <w:rsid w:val="A37DC0E3"/>
    <w:rsid w:val="A3BBF1A1"/>
    <w:rsid w:val="A3FDAAF2"/>
    <w:rsid w:val="A3FDCD98"/>
    <w:rsid w:val="A3FFBA66"/>
    <w:rsid w:val="A4B7359F"/>
    <w:rsid w:val="A5774E34"/>
    <w:rsid w:val="A59D265A"/>
    <w:rsid w:val="A5A90312"/>
    <w:rsid w:val="A5B9DFA5"/>
    <w:rsid w:val="A5D66BE3"/>
    <w:rsid w:val="A5FE1760"/>
    <w:rsid w:val="A6FCC50C"/>
    <w:rsid w:val="A71FB45B"/>
    <w:rsid w:val="A72C3035"/>
    <w:rsid w:val="A7571303"/>
    <w:rsid w:val="A7660CE7"/>
    <w:rsid w:val="A76B2D07"/>
    <w:rsid w:val="A77DA572"/>
    <w:rsid w:val="A77FCE71"/>
    <w:rsid w:val="A79FE8BF"/>
    <w:rsid w:val="A7CB5786"/>
    <w:rsid w:val="A7CD6331"/>
    <w:rsid w:val="A7D31928"/>
    <w:rsid w:val="A7D77010"/>
    <w:rsid w:val="A7DD3468"/>
    <w:rsid w:val="A7EE0C5C"/>
    <w:rsid w:val="A7EF5C2D"/>
    <w:rsid w:val="A7EF5CEC"/>
    <w:rsid w:val="A7F76CFA"/>
    <w:rsid w:val="A7F78A90"/>
    <w:rsid w:val="A7FCB4DD"/>
    <w:rsid w:val="A7FDAB07"/>
    <w:rsid w:val="A7FDCF48"/>
    <w:rsid w:val="A7FF0681"/>
    <w:rsid w:val="A7FF532C"/>
    <w:rsid w:val="A7FF80A9"/>
    <w:rsid w:val="A7FF856C"/>
    <w:rsid w:val="A7FF8B15"/>
    <w:rsid w:val="A7FFB6D9"/>
    <w:rsid w:val="A7FFBFE9"/>
    <w:rsid w:val="A7FFF132"/>
    <w:rsid w:val="A8320119"/>
    <w:rsid w:val="A83C79D4"/>
    <w:rsid w:val="A8FD2C17"/>
    <w:rsid w:val="A97821B2"/>
    <w:rsid w:val="A97927A9"/>
    <w:rsid w:val="A97F8895"/>
    <w:rsid w:val="A9CAD2D9"/>
    <w:rsid w:val="A9D50068"/>
    <w:rsid w:val="A9DEBD4B"/>
    <w:rsid w:val="A9E56DA5"/>
    <w:rsid w:val="A9EF2A8E"/>
    <w:rsid w:val="A9F7B2E8"/>
    <w:rsid w:val="A9FB8137"/>
    <w:rsid w:val="A9FDE0B7"/>
    <w:rsid w:val="A9FE136E"/>
    <w:rsid w:val="A9FF6810"/>
    <w:rsid w:val="A9FFDCDA"/>
    <w:rsid w:val="AA752E94"/>
    <w:rsid w:val="AAA705BC"/>
    <w:rsid w:val="AACB53C9"/>
    <w:rsid w:val="AADF8CB4"/>
    <w:rsid w:val="AAF5BB1C"/>
    <w:rsid w:val="AAF7EC62"/>
    <w:rsid w:val="AAFEA294"/>
    <w:rsid w:val="AB5F036B"/>
    <w:rsid w:val="AB6A2A50"/>
    <w:rsid w:val="AB77D983"/>
    <w:rsid w:val="AB7961B9"/>
    <w:rsid w:val="AB7B11ED"/>
    <w:rsid w:val="AB959385"/>
    <w:rsid w:val="AB97F186"/>
    <w:rsid w:val="AB9FFCC2"/>
    <w:rsid w:val="ABA3817A"/>
    <w:rsid w:val="ABBAD72F"/>
    <w:rsid w:val="ABBBCF25"/>
    <w:rsid w:val="ABBD6CC8"/>
    <w:rsid w:val="ABE3AFFC"/>
    <w:rsid w:val="ABED20C4"/>
    <w:rsid w:val="ABEF9E38"/>
    <w:rsid w:val="ABF67082"/>
    <w:rsid w:val="ABFC8A2E"/>
    <w:rsid w:val="ABFD275F"/>
    <w:rsid w:val="ABFDC90D"/>
    <w:rsid w:val="ABFE32A4"/>
    <w:rsid w:val="ABFECE7D"/>
    <w:rsid w:val="ABFF2EAD"/>
    <w:rsid w:val="ABFFCE80"/>
    <w:rsid w:val="AC730B28"/>
    <w:rsid w:val="AC8F04BF"/>
    <w:rsid w:val="AC973E3B"/>
    <w:rsid w:val="ACEEC2F7"/>
    <w:rsid w:val="ACEF505D"/>
    <w:rsid w:val="AD1F1960"/>
    <w:rsid w:val="AD4E6F6E"/>
    <w:rsid w:val="AD5F5AE9"/>
    <w:rsid w:val="AD67298A"/>
    <w:rsid w:val="AD79E5BF"/>
    <w:rsid w:val="AD8DA2E5"/>
    <w:rsid w:val="AD9FAD91"/>
    <w:rsid w:val="ADB74018"/>
    <w:rsid w:val="ADB75E19"/>
    <w:rsid w:val="ADBB348F"/>
    <w:rsid w:val="ADBB74FC"/>
    <w:rsid w:val="ADCF854A"/>
    <w:rsid w:val="ADD8A1E6"/>
    <w:rsid w:val="ADDB78CD"/>
    <w:rsid w:val="ADDF2478"/>
    <w:rsid w:val="ADE3ABF3"/>
    <w:rsid w:val="ADEEED72"/>
    <w:rsid w:val="ADF11EFE"/>
    <w:rsid w:val="ADF78ACA"/>
    <w:rsid w:val="ADFEB618"/>
    <w:rsid w:val="ADFEBB1B"/>
    <w:rsid w:val="ADFF1316"/>
    <w:rsid w:val="ADFF92A7"/>
    <w:rsid w:val="AE378986"/>
    <w:rsid w:val="AE5F9CD4"/>
    <w:rsid w:val="AE6CD762"/>
    <w:rsid w:val="AE7B184E"/>
    <w:rsid w:val="AE7F0321"/>
    <w:rsid w:val="AE7FB883"/>
    <w:rsid w:val="AE9B7364"/>
    <w:rsid w:val="AE9F91AA"/>
    <w:rsid w:val="AEA8830C"/>
    <w:rsid w:val="AEB55AAE"/>
    <w:rsid w:val="AEDF339E"/>
    <w:rsid w:val="AEEA1E2C"/>
    <w:rsid w:val="AEEB91E5"/>
    <w:rsid w:val="AEEFAA89"/>
    <w:rsid w:val="AEF7D578"/>
    <w:rsid w:val="AEFBAD70"/>
    <w:rsid w:val="AEFE732B"/>
    <w:rsid w:val="AEFE7C31"/>
    <w:rsid w:val="AEFF222A"/>
    <w:rsid w:val="AEFF2FC7"/>
    <w:rsid w:val="AEFF7DCB"/>
    <w:rsid w:val="AEFFC889"/>
    <w:rsid w:val="AF1680C2"/>
    <w:rsid w:val="AF1FCCB6"/>
    <w:rsid w:val="AF364361"/>
    <w:rsid w:val="AF36DC84"/>
    <w:rsid w:val="AF3CC004"/>
    <w:rsid w:val="AF3DA673"/>
    <w:rsid w:val="AF53A699"/>
    <w:rsid w:val="AF566F1A"/>
    <w:rsid w:val="AF6F3852"/>
    <w:rsid w:val="AF770C8A"/>
    <w:rsid w:val="AF7CE42F"/>
    <w:rsid w:val="AF7D98B3"/>
    <w:rsid w:val="AF7F7026"/>
    <w:rsid w:val="AF7F8511"/>
    <w:rsid w:val="AF8DFC0F"/>
    <w:rsid w:val="AF95B26B"/>
    <w:rsid w:val="AF97B9CD"/>
    <w:rsid w:val="AF9AD361"/>
    <w:rsid w:val="AF9BF5B4"/>
    <w:rsid w:val="AF9EEC6E"/>
    <w:rsid w:val="AF9FDE4E"/>
    <w:rsid w:val="AFABA335"/>
    <w:rsid w:val="AFAD2249"/>
    <w:rsid w:val="AFB2A0CC"/>
    <w:rsid w:val="AFB97A41"/>
    <w:rsid w:val="AFBC99A0"/>
    <w:rsid w:val="AFBD4306"/>
    <w:rsid w:val="AFBD4F89"/>
    <w:rsid w:val="AFBE0EF2"/>
    <w:rsid w:val="AFBE45C3"/>
    <w:rsid w:val="AFBEC1B4"/>
    <w:rsid w:val="AFBF56E3"/>
    <w:rsid w:val="AFBFF88A"/>
    <w:rsid w:val="AFCA0D8B"/>
    <w:rsid w:val="AFCDE53B"/>
    <w:rsid w:val="AFCF53D8"/>
    <w:rsid w:val="AFD65F9F"/>
    <w:rsid w:val="AFD7D50E"/>
    <w:rsid w:val="AFD9112F"/>
    <w:rsid w:val="AFDBA861"/>
    <w:rsid w:val="AFDC2C70"/>
    <w:rsid w:val="AFDE3D0B"/>
    <w:rsid w:val="AFDF11C5"/>
    <w:rsid w:val="AFDF244D"/>
    <w:rsid w:val="AFDF8701"/>
    <w:rsid w:val="AFDFBD7E"/>
    <w:rsid w:val="AFDFD9BC"/>
    <w:rsid w:val="AFE2DE09"/>
    <w:rsid w:val="AFE37E52"/>
    <w:rsid w:val="AFEAC9AF"/>
    <w:rsid w:val="AFEBFDD7"/>
    <w:rsid w:val="AFEDECCA"/>
    <w:rsid w:val="AFEE211B"/>
    <w:rsid w:val="AFEE972E"/>
    <w:rsid w:val="AFEE9C95"/>
    <w:rsid w:val="AFEF49D3"/>
    <w:rsid w:val="AFEF72DA"/>
    <w:rsid w:val="AFEF7EC9"/>
    <w:rsid w:val="AFEFD50F"/>
    <w:rsid w:val="AFF1F93E"/>
    <w:rsid w:val="AFF974A2"/>
    <w:rsid w:val="AFFB6710"/>
    <w:rsid w:val="AFFB807F"/>
    <w:rsid w:val="AFFBF5D3"/>
    <w:rsid w:val="AFFBF962"/>
    <w:rsid w:val="AFFC7EAC"/>
    <w:rsid w:val="AFFDA06B"/>
    <w:rsid w:val="AFFE49FD"/>
    <w:rsid w:val="AFFEA8AB"/>
    <w:rsid w:val="AFFF05F1"/>
    <w:rsid w:val="AFFF4290"/>
    <w:rsid w:val="AFFF5718"/>
    <w:rsid w:val="AFFF5C75"/>
    <w:rsid w:val="AFFF6D3E"/>
    <w:rsid w:val="AFFFBD3B"/>
    <w:rsid w:val="AFFFC955"/>
    <w:rsid w:val="AFFFED8C"/>
    <w:rsid w:val="AFFFF6F0"/>
    <w:rsid w:val="B0EB6591"/>
    <w:rsid w:val="B0EE3212"/>
    <w:rsid w:val="B18FFEE6"/>
    <w:rsid w:val="B1BD5563"/>
    <w:rsid w:val="B1BF8EC0"/>
    <w:rsid w:val="B1DA22D7"/>
    <w:rsid w:val="B1E33A9C"/>
    <w:rsid w:val="B1EFD5C0"/>
    <w:rsid w:val="B1F299C5"/>
    <w:rsid w:val="B1F325DD"/>
    <w:rsid w:val="B1F73565"/>
    <w:rsid w:val="B27F1239"/>
    <w:rsid w:val="B2BE6B5C"/>
    <w:rsid w:val="B2FBDC8F"/>
    <w:rsid w:val="B2FF9B9E"/>
    <w:rsid w:val="B35F124E"/>
    <w:rsid w:val="B37F8F8D"/>
    <w:rsid w:val="B3AF9CDC"/>
    <w:rsid w:val="B3BE72BF"/>
    <w:rsid w:val="B3BF8054"/>
    <w:rsid w:val="B3CFC6DF"/>
    <w:rsid w:val="B3E9A7D9"/>
    <w:rsid w:val="B3ED131E"/>
    <w:rsid w:val="B3EE24AA"/>
    <w:rsid w:val="B3EE8584"/>
    <w:rsid w:val="B3EFA000"/>
    <w:rsid w:val="B3EFDC8C"/>
    <w:rsid w:val="B3F26BFA"/>
    <w:rsid w:val="B3F4FA3C"/>
    <w:rsid w:val="B3FB11F3"/>
    <w:rsid w:val="B3FB5A1C"/>
    <w:rsid w:val="B3FBE494"/>
    <w:rsid w:val="B3FD805D"/>
    <w:rsid w:val="B3FDC963"/>
    <w:rsid w:val="B3FF41B8"/>
    <w:rsid w:val="B3FFFF04"/>
    <w:rsid w:val="B44D49B5"/>
    <w:rsid w:val="B45F10A2"/>
    <w:rsid w:val="B4DA8FA2"/>
    <w:rsid w:val="B4DFE7B1"/>
    <w:rsid w:val="B4FEAE92"/>
    <w:rsid w:val="B4FEE681"/>
    <w:rsid w:val="B51FF734"/>
    <w:rsid w:val="B59B64E0"/>
    <w:rsid w:val="B59FCD28"/>
    <w:rsid w:val="B5A10B1F"/>
    <w:rsid w:val="B5B353D0"/>
    <w:rsid w:val="B5CE3B37"/>
    <w:rsid w:val="B5D47828"/>
    <w:rsid w:val="B5D5B55F"/>
    <w:rsid w:val="B5D729A8"/>
    <w:rsid w:val="B5ED28A4"/>
    <w:rsid w:val="B5EF8C30"/>
    <w:rsid w:val="B5F3F97E"/>
    <w:rsid w:val="B5F97115"/>
    <w:rsid w:val="B5FB2C85"/>
    <w:rsid w:val="B5FE0266"/>
    <w:rsid w:val="B5FE1F69"/>
    <w:rsid w:val="B5FF2C3B"/>
    <w:rsid w:val="B5FFCEBF"/>
    <w:rsid w:val="B5FFEA1A"/>
    <w:rsid w:val="B6067228"/>
    <w:rsid w:val="B61FA685"/>
    <w:rsid w:val="B62EC998"/>
    <w:rsid w:val="B62F3C99"/>
    <w:rsid w:val="B63C9032"/>
    <w:rsid w:val="B63EFCB5"/>
    <w:rsid w:val="B6570549"/>
    <w:rsid w:val="B65BD90B"/>
    <w:rsid w:val="B66D9622"/>
    <w:rsid w:val="B67779A9"/>
    <w:rsid w:val="B67F8A2E"/>
    <w:rsid w:val="B6BBC716"/>
    <w:rsid w:val="B6BD6D21"/>
    <w:rsid w:val="B6DB41F6"/>
    <w:rsid w:val="B6E2356E"/>
    <w:rsid w:val="B6E79F0C"/>
    <w:rsid w:val="B6ED9DD7"/>
    <w:rsid w:val="B6EE2B84"/>
    <w:rsid w:val="B6F5C3C8"/>
    <w:rsid w:val="B6F7612B"/>
    <w:rsid w:val="B6F7F59A"/>
    <w:rsid w:val="B6FB95C9"/>
    <w:rsid w:val="B6FBEC9D"/>
    <w:rsid w:val="B6FF2045"/>
    <w:rsid w:val="B6FF6CA0"/>
    <w:rsid w:val="B6FFE08C"/>
    <w:rsid w:val="B6FFF03E"/>
    <w:rsid w:val="B736BDDE"/>
    <w:rsid w:val="B7371677"/>
    <w:rsid w:val="B73FE2D4"/>
    <w:rsid w:val="B7573A3B"/>
    <w:rsid w:val="B75F6A7C"/>
    <w:rsid w:val="B75F724B"/>
    <w:rsid w:val="B771BEC0"/>
    <w:rsid w:val="B7773784"/>
    <w:rsid w:val="B7774DB4"/>
    <w:rsid w:val="B777FAED"/>
    <w:rsid w:val="B7793E9A"/>
    <w:rsid w:val="B77B1979"/>
    <w:rsid w:val="B77B7247"/>
    <w:rsid w:val="B77C5BAF"/>
    <w:rsid w:val="B77EF7D2"/>
    <w:rsid w:val="B77F6A18"/>
    <w:rsid w:val="B77FE3DA"/>
    <w:rsid w:val="B79E0E51"/>
    <w:rsid w:val="B7B2FCD0"/>
    <w:rsid w:val="B7BBCB3D"/>
    <w:rsid w:val="B7BBD09D"/>
    <w:rsid w:val="B7BDB4B0"/>
    <w:rsid w:val="B7BE99DE"/>
    <w:rsid w:val="B7C5C90D"/>
    <w:rsid w:val="B7D5A758"/>
    <w:rsid w:val="B7D67652"/>
    <w:rsid w:val="B7D826E7"/>
    <w:rsid w:val="B7DEECD8"/>
    <w:rsid w:val="B7E70EB9"/>
    <w:rsid w:val="B7EC135F"/>
    <w:rsid w:val="B7EDFB43"/>
    <w:rsid w:val="B7EF7FF8"/>
    <w:rsid w:val="B7EFFABC"/>
    <w:rsid w:val="B7F3AC79"/>
    <w:rsid w:val="B7F3AE4A"/>
    <w:rsid w:val="B7F55331"/>
    <w:rsid w:val="B7F59D0A"/>
    <w:rsid w:val="B7F5ACB3"/>
    <w:rsid w:val="B7F630D2"/>
    <w:rsid w:val="B7F7725B"/>
    <w:rsid w:val="B7F7FF3F"/>
    <w:rsid w:val="B7FA7629"/>
    <w:rsid w:val="B7FB2457"/>
    <w:rsid w:val="B7FB9F83"/>
    <w:rsid w:val="B7FC22D1"/>
    <w:rsid w:val="B7FDC13C"/>
    <w:rsid w:val="B7FEFDA5"/>
    <w:rsid w:val="B7FF13AB"/>
    <w:rsid w:val="B7FFA708"/>
    <w:rsid w:val="B7FFA9DD"/>
    <w:rsid w:val="B7FFB331"/>
    <w:rsid w:val="B7FFB831"/>
    <w:rsid w:val="B7FFC263"/>
    <w:rsid w:val="B7FFFC55"/>
    <w:rsid w:val="B856A3CA"/>
    <w:rsid w:val="B87BB85E"/>
    <w:rsid w:val="B8B5E22E"/>
    <w:rsid w:val="B8BD7019"/>
    <w:rsid w:val="B8BFC42A"/>
    <w:rsid w:val="B8C36271"/>
    <w:rsid w:val="B8EB103B"/>
    <w:rsid w:val="B8FF8CDA"/>
    <w:rsid w:val="B959CC15"/>
    <w:rsid w:val="B96F133D"/>
    <w:rsid w:val="B976A820"/>
    <w:rsid w:val="B97F440D"/>
    <w:rsid w:val="B98EB4DD"/>
    <w:rsid w:val="B99F3EDE"/>
    <w:rsid w:val="B9B51202"/>
    <w:rsid w:val="B9BF1C51"/>
    <w:rsid w:val="B9BF5922"/>
    <w:rsid w:val="B9D7CDC7"/>
    <w:rsid w:val="B9DF3B43"/>
    <w:rsid w:val="B9ED804F"/>
    <w:rsid w:val="B9EF9037"/>
    <w:rsid w:val="B9EFE10A"/>
    <w:rsid w:val="B9F3B672"/>
    <w:rsid w:val="B9F5475A"/>
    <w:rsid w:val="B9F78224"/>
    <w:rsid w:val="B9FAA23B"/>
    <w:rsid w:val="B9FF4780"/>
    <w:rsid w:val="B9FF7C4D"/>
    <w:rsid w:val="B9FFF726"/>
    <w:rsid w:val="BA130171"/>
    <w:rsid w:val="BA63F4FE"/>
    <w:rsid w:val="BA63F8D6"/>
    <w:rsid w:val="BA731417"/>
    <w:rsid w:val="BA7B23C6"/>
    <w:rsid w:val="BA8F4C6C"/>
    <w:rsid w:val="BA9EE272"/>
    <w:rsid w:val="BAB6119F"/>
    <w:rsid w:val="BAB75C9C"/>
    <w:rsid w:val="BADDA48D"/>
    <w:rsid w:val="BADEF0CA"/>
    <w:rsid w:val="BADF40FD"/>
    <w:rsid w:val="BADFEF4D"/>
    <w:rsid w:val="BAEAAB0A"/>
    <w:rsid w:val="BAF3AE3F"/>
    <w:rsid w:val="BAF753CB"/>
    <w:rsid w:val="BAFBE861"/>
    <w:rsid w:val="BAFDF672"/>
    <w:rsid w:val="BAFEC571"/>
    <w:rsid w:val="BAFF0771"/>
    <w:rsid w:val="BB1D3392"/>
    <w:rsid w:val="BB2F539C"/>
    <w:rsid w:val="BB3A0B94"/>
    <w:rsid w:val="BB4FDACD"/>
    <w:rsid w:val="BB57347A"/>
    <w:rsid w:val="BB5F82C5"/>
    <w:rsid w:val="BB65E2E2"/>
    <w:rsid w:val="BB732CB7"/>
    <w:rsid w:val="BB7349FF"/>
    <w:rsid w:val="BB7756EC"/>
    <w:rsid w:val="BB77D4D8"/>
    <w:rsid w:val="BB7B2995"/>
    <w:rsid w:val="BB7DF075"/>
    <w:rsid w:val="BB7F8BB0"/>
    <w:rsid w:val="BB7F8E46"/>
    <w:rsid w:val="BB9D6D45"/>
    <w:rsid w:val="BB9E63F7"/>
    <w:rsid w:val="BBAF910B"/>
    <w:rsid w:val="BBB6AE68"/>
    <w:rsid w:val="BBBD7D67"/>
    <w:rsid w:val="BBBD9C93"/>
    <w:rsid w:val="BBBEEB2F"/>
    <w:rsid w:val="BBBF6001"/>
    <w:rsid w:val="BBBFF20C"/>
    <w:rsid w:val="BBCDDD74"/>
    <w:rsid w:val="BBCEA8BA"/>
    <w:rsid w:val="BBD7E41B"/>
    <w:rsid w:val="BBD7F6E4"/>
    <w:rsid w:val="BBD88F1A"/>
    <w:rsid w:val="BBDAF7FA"/>
    <w:rsid w:val="BBDD8098"/>
    <w:rsid w:val="BBDEFABE"/>
    <w:rsid w:val="BBDF149A"/>
    <w:rsid w:val="BBDF2658"/>
    <w:rsid w:val="BBDF40C2"/>
    <w:rsid w:val="BBDF7E21"/>
    <w:rsid w:val="BBE3D769"/>
    <w:rsid w:val="BBEAFFA8"/>
    <w:rsid w:val="BBEF2B7D"/>
    <w:rsid w:val="BBEF93B2"/>
    <w:rsid w:val="BBF31BDB"/>
    <w:rsid w:val="BBF378E7"/>
    <w:rsid w:val="BBF74663"/>
    <w:rsid w:val="BBF78F47"/>
    <w:rsid w:val="BBF93299"/>
    <w:rsid w:val="BBFB8F5B"/>
    <w:rsid w:val="BBFBE28C"/>
    <w:rsid w:val="BBFC0277"/>
    <w:rsid w:val="BBFD05D9"/>
    <w:rsid w:val="BBFD38DB"/>
    <w:rsid w:val="BBFD8B35"/>
    <w:rsid w:val="BBFE58BF"/>
    <w:rsid w:val="BBFEF64F"/>
    <w:rsid w:val="BBFF24CA"/>
    <w:rsid w:val="BBFFB621"/>
    <w:rsid w:val="BBFFD4D2"/>
    <w:rsid w:val="BBFFE0CA"/>
    <w:rsid w:val="BBFFE971"/>
    <w:rsid w:val="BC1668B0"/>
    <w:rsid w:val="BC1EB309"/>
    <w:rsid w:val="BC39B15F"/>
    <w:rsid w:val="BC3D8407"/>
    <w:rsid w:val="BC5DB666"/>
    <w:rsid w:val="BC6FC411"/>
    <w:rsid w:val="BC77589D"/>
    <w:rsid w:val="BC7A7931"/>
    <w:rsid w:val="BC7FCBAA"/>
    <w:rsid w:val="BC9E5E82"/>
    <w:rsid w:val="BCABF929"/>
    <w:rsid w:val="BCB8EA2F"/>
    <w:rsid w:val="BCB9F60A"/>
    <w:rsid w:val="BCBC70CB"/>
    <w:rsid w:val="BCCF118C"/>
    <w:rsid w:val="BCCF6FDE"/>
    <w:rsid w:val="BCDD2A04"/>
    <w:rsid w:val="BCDEA449"/>
    <w:rsid w:val="BCDF8A5A"/>
    <w:rsid w:val="BCDF8B23"/>
    <w:rsid w:val="BCEBBC85"/>
    <w:rsid w:val="BCEBDA61"/>
    <w:rsid w:val="BCEC3A12"/>
    <w:rsid w:val="BCEF2402"/>
    <w:rsid w:val="BCEF4AD5"/>
    <w:rsid w:val="BCEFF86B"/>
    <w:rsid w:val="BCF71DF9"/>
    <w:rsid w:val="BCF7BDE8"/>
    <w:rsid w:val="BCFED0C2"/>
    <w:rsid w:val="BCFF2C57"/>
    <w:rsid w:val="BCFF5174"/>
    <w:rsid w:val="BCFF8FDD"/>
    <w:rsid w:val="BCFFC5D0"/>
    <w:rsid w:val="BD274884"/>
    <w:rsid w:val="BD3E71F2"/>
    <w:rsid w:val="BD3ED455"/>
    <w:rsid w:val="BD4ADDB8"/>
    <w:rsid w:val="BD54BA40"/>
    <w:rsid w:val="BD595DEB"/>
    <w:rsid w:val="BD5B5324"/>
    <w:rsid w:val="BD5E408C"/>
    <w:rsid w:val="BD5F08EC"/>
    <w:rsid w:val="BD5F9613"/>
    <w:rsid w:val="BD63D687"/>
    <w:rsid w:val="BD6707A2"/>
    <w:rsid w:val="BD6BF783"/>
    <w:rsid w:val="BD6CBA83"/>
    <w:rsid w:val="BD6D9AC2"/>
    <w:rsid w:val="BD6DA4D1"/>
    <w:rsid w:val="BD7576DC"/>
    <w:rsid w:val="BD771A92"/>
    <w:rsid w:val="BD773A99"/>
    <w:rsid w:val="BD77EDDC"/>
    <w:rsid w:val="BD7E762E"/>
    <w:rsid w:val="BD7EBBF5"/>
    <w:rsid w:val="BD7ECC9E"/>
    <w:rsid w:val="BD7EE7A0"/>
    <w:rsid w:val="BD7F96F8"/>
    <w:rsid w:val="BD7FB346"/>
    <w:rsid w:val="BD7FC846"/>
    <w:rsid w:val="BD96893C"/>
    <w:rsid w:val="BD992F3A"/>
    <w:rsid w:val="BD9F4754"/>
    <w:rsid w:val="BD9FB54E"/>
    <w:rsid w:val="BD9FF743"/>
    <w:rsid w:val="BDAF6051"/>
    <w:rsid w:val="BDB71377"/>
    <w:rsid w:val="BDB736B9"/>
    <w:rsid w:val="BDB7CA5F"/>
    <w:rsid w:val="BDB7FFA8"/>
    <w:rsid w:val="BDBBC634"/>
    <w:rsid w:val="BDBBE486"/>
    <w:rsid w:val="BDBC0AE1"/>
    <w:rsid w:val="BDBE9C4F"/>
    <w:rsid w:val="BDBFAAA2"/>
    <w:rsid w:val="BDBFD7AA"/>
    <w:rsid w:val="BDCDE6ED"/>
    <w:rsid w:val="BDCEEA80"/>
    <w:rsid w:val="BDCFBA94"/>
    <w:rsid w:val="BDCFFC9D"/>
    <w:rsid w:val="BDD4D691"/>
    <w:rsid w:val="BDD74693"/>
    <w:rsid w:val="BDDA4780"/>
    <w:rsid w:val="BDDC38ED"/>
    <w:rsid w:val="BDDD1DD0"/>
    <w:rsid w:val="BDDDB4F8"/>
    <w:rsid w:val="BDDDE310"/>
    <w:rsid w:val="BDDE5AA9"/>
    <w:rsid w:val="BDDF88B9"/>
    <w:rsid w:val="BDDFC8A4"/>
    <w:rsid w:val="BDEB40E1"/>
    <w:rsid w:val="BDEF8640"/>
    <w:rsid w:val="BDEFEF1B"/>
    <w:rsid w:val="BDF21328"/>
    <w:rsid w:val="BDF39A87"/>
    <w:rsid w:val="BDF4ED7D"/>
    <w:rsid w:val="BDF7180B"/>
    <w:rsid w:val="BDF77B96"/>
    <w:rsid w:val="BDF7F8AF"/>
    <w:rsid w:val="BDFB2CA7"/>
    <w:rsid w:val="BDFB64EC"/>
    <w:rsid w:val="BDFBCB48"/>
    <w:rsid w:val="BDFBD1FB"/>
    <w:rsid w:val="BDFD196F"/>
    <w:rsid w:val="BDFD46BC"/>
    <w:rsid w:val="BDFD69B6"/>
    <w:rsid w:val="BDFD70CB"/>
    <w:rsid w:val="BDFD80AA"/>
    <w:rsid w:val="BDFDFF56"/>
    <w:rsid w:val="BDFE1883"/>
    <w:rsid w:val="BDFE3DFB"/>
    <w:rsid w:val="BDFE90A9"/>
    <w:rsid w:val="BDFE91E1"/>
    <w:rsid w:val="BDFEBE72"/>
    <w:rsid w:val="BDFF1340"/>
    <w:rsid w:val="BDFF214A"/>
    <w:rsid w:val="BDFF4623"/>
    <w:rsid w:val="BDFF5A57"/>
    <w:rsid w:val="BDFF7FFF"/>
    <w:rsid w:val="BDFFA040"/>
    <w:rsid w:val="BDFFC959"/>
    <w:rsid w:val="BDFFD983"/>
    <w:rsid w:val="BE1CB150"/>
    <w:rsid w:val="BE24D0E2"/>
    <w:rsid w:val="BE3DDE12"/>
    <w:rsid w:val="BE3DE578"/>
    <w:rsid w:val="BE3E6F31"/>
    <w:rsid w:val="BE3F611C"/>
    <w:rsid w:val="BE4F61E5"/>
    <w:rsid w:val="BE59348C"/>
    <w:rsid w:val="BE5A8E24"/>
    <w:rsid w:val="BE5F6CE3"/>
    <w:rsid w:val="BE5FA099"/>
    <w:rsid w:val="BE60A478"/>
    <w:rsid w:val="BE6B3032"/>
    <w:rsid w:val="BE6D24B7"/>
    <w:rsid w:val="BE777423"/>
    <w:rsid w:val="BE791EBA"/>
    <w:rsid w:val="BE7F011A"/>
    <w:rsid w:val="BE7F32EB"/>
    <w:rsid w:val="BE7F5E51"/>
    <w:rsid w:val="BE7FD6EB"/>
    <w:rsid w:val="BE991CD4"/>
    <w:rsid w:val="BE9DFFDF"/>
    <w:rsid w:val="BEA6B462"/>
    <w:rsid w:val="BEAD5CAE"/>
    <w:rsid w:val="BEAE0D1C"/>
    <w:rsid w:val="BEAE9376"/>
    <w:rsid w:val="BEBB2673"/>
    <w:rsid w:val="BEBD94BA"/>
    <w:rsid w:val="BEBF18A0"/>
    <w:rsid w:val="BEBF5920"/>
    <w:rsid w:val="BEBFD798"/>
    <w:rsid w:val="BEBFFA05"/>
    <w:rsid w:val="BECAE1FE"/>
    <w:rsid w:val="BECD8DA9"/>
    <w:rsid w:val="BECE022E"/>
    <w:rsid w:val="BED00808"/>
    <w:rsid w:val="BED1F559"/>
    <w:rsid w:val="BED946A3"/>
    <w:rsid w:val="BED9B500"/>
    <w:rsid w:val="BEDE21D1"/>
    <w:rsid w:val="BEDF69FD"/>
    <w:rsid w:val="BEDF72F8"/>
    <w:rsid w:val="BEE25959"/>
    <w:rsid w:val="BEE574EA"/>
    <w:rsid w:val="BEE72704"/>
    <w:rsid w:val="BEE737EE"/>
    <w:rsid w:val="BEEAC4B3"/>
    <w:rsid w:val="BEEBFC5A"/>
    <w:rsid w:val="BEEFC50E"/>
    <w:rsid w:val="BEEFF14A"/>
    <w:rsid w:val="BEF1CD87"/>
    <w:rsid w:val="BEF35305"/>
    <w:rsid w:val="BEF3E6A5"/>
    <w:rsid w:val="BEF71CF1"/>
    <w:rsid w:val="BEF7C20F"/>
    <w:rsid w:val="BEF7F89C"/>
    <w:rsid w:val="BEF92936"/>
    <w:rsid w:val="BEF95DEC"/>
    <w:rsid w:val="BEF95FD6"/>
    <w:rsid w:val="BEFD618D"/>
    <w:rsid w:val="BEFE5107"/>
    <w:rsid w:val="BEFEA390"/>
    <w:rsid w:val="BEFF36F2"/>
    <w:rsid w:val="BEFF4D6D"/>
    <w:rsid w:val="BEFF9524"/>
    <w:rsid w:val="BEFFBCB6"/>
    <w:rsid w:val="BEFFCD5A"/>
    <w:rsid w:val="BF0E7EC2"/>
    <w:rsid w:val="BF1FCDAB"/>
    <w:rsid w:val="BF26F6B7"/>
    <w:rsid w:val="BF2D9C30"/>
    <w:rsid w:val="BF2F61FF"/>
    <w:rsid w:val="BF370CA9"/>
    <w:rsid w:val="BF370D54"/>
    <w:rsid w:val="BF37DA7C"/>
    <w:rsid w:val="BF3905D5"/>
    <w:rsid w:val="BF3A687B"/>
    <w:rsid w:val="BF3B1FC7"/>
    <w:rsid w:val="BF3D3E0A"/>
    <w:rsid w:val="BF3DAA89"/>
    <w:rsid w:val="BF3E5CED"/>
    <w:rsid w:val="BF3EEBA1"/>
    <w:rsid w:val="BF3FB6B9"/>
    <w:rsid w:val="BF3FC0E1"/>
    <w:rsid w:val="BF3FF705"/>
    <w:rsid w:val="BF4F562D"/>
    <w:rsid w:val="BF563863"/>
    <w:rsid w:val="BF574EE9"/>
    <w:rsid w:val="BF57949D"/>
    <w:rsid w:val="BF5BAF07"/>
    <w:rsid w:val="BF5C5F29"/>
    <w:rsid w:val="BF5D7116"/>
    <w:rsid w:val="BF5E8AB5"/>
    <w:rsid w:val="BF5E96BD"/>
    <w:rsid w:val="BF5F8610"/>
    <w:rsid w:val="BF5FE9F9"/>
    <w:rsid w:val="BF60B487"/>
    <w:rsid w:val="BF61FC02"/>
    <w:rsid w:val="BF653A41"/>
    <w:rsid w:val="BF665464"/>
    <w:rsid w:val="BF6D7360"/>
    <w:rsid w:val="BF6F4DF6"/>
    <w:rsid w:val="BF6FAE9C"/>
    <w:rsid w:val="BF7192D6"/>
    <w:rsid w:val="BF73E946"/>
    <w:rsid w:val="BF762CCD"/>
    <w:rsid w:val="BF76ABE7"/>
    <w:rsid w:val="BF770C27"/>
    <w:rsid w:val="BF79C0C3"/>
    <w:rsid w:val="BF7BDB8D"/>
    <w:rsid w:val="BF7C78FB"/>
    <w:rsid w:val="BF7C9014"/>
    <w:rsid w:val="BF7D4D39"/>
    <w:rsid w:val="BF7D6911"/>
    <w:rsid w:val="BF7D9028"/>
    <w:rsid w:val="BF7DFA52"/>
    <w:rsid w:val="BF7E1CA1"/>
    <w:rsid w:val="BF7F7E40"/>
    <w:rsid w:val="BF7F94B7"/>
    <w:rsid w:val="BF7FBDBE"/>
    <w:rsid w:val="BF817891"/>
    <w:rsid w:val="BF8DCF66"/>
    <w:rsid w:val="BF8FB283"/>
    <w:rsid w:val="BF934E91"/>
    <w:rsid w:val="BF9C0B07"/>
    <w:rsid w:val="BF9F79FB"/>
    <w:rsid w:val="BF9FBC7E"/>
    <w:rsid w:val="BFA74B08"/>
    <w:rsid w:val="BFAA0CC0"/>
    <w:rsid w:val="BFAB05B6"/>
    <w:rsid w:val="BFAD4917"/>
    <w:rsid w:val="BFAF3F0F"/>
    <w:rsid w:val="BFAF4FDD"/>
    <w:rsid w:val="BFB3E75E"/>
    <w:rsid w:val="BFB47107"/>
    <w:rsid w:val="BFB5FB5E"/>
    <w:rsid w:val="BFB70886"/>
    <w:rsid w:val="BFB7B14D"/>
    <w:rsid w:val="BFB9EB02"/>
    <w:rsid w:val="BFBB1297"/>
    <w:rsid w:val="BFBB57FA"/>
    <w:rsid w:val="BFBE370D"/>
    <w:rsid w:val="BFBE82E9"/>
    <w:rsid w:val="BFBF33AD"/>
    <w:rsid w:val="BFBF42C1"/>
    <w:rsid w:val="BFBF8635"/>
    <w:rsid w:val="BFBFB843"/>
    <w:rsid w:val="BFBFC5D6"/>
    <w:rsid w:val="BFBFCF9C"/>
    <w:rsid w:val="BFC23AE0"/>
    <w:rsid w:val="BFC53C58"/>
    <w:rsid w:val="BFC5B434"/>
    <w:rsid w:val="BFCA548A"/>
    <w:rsid w:val="BFCA5608"/>
    <w:rsid w:val="BFCF1491"/>
    <w:rsid w:val="BFD09B28"/>
    <w:rsid w:val="BFD75EE9"/>
    <w:rsid w:val="BFD7E8C3"/>
    <w:rsid w:val="BFD91F76"/>
    <w:rsid w:val="BFD97A9D"/>
    <w:rsid w:val="BFDB623D"/>
    <w:rsid w:val="BFDB749D"/>
    <w:rsid w:val="BFDBDA71"/>
    <w:rsid w:val="BFDC1EE1"/>
    <w:rsid w:val="BFDC1FDB"/>
    <w:rsid w:val="BFDD1C4C"/>
    <w:rsid w:val="BFDD50F5"/>
    <w:rsid w:val="BFDD993E"/>
    <w:rsid w:val="BFDDEFC0"/>
    <w:rsid w:val="BFDE1BF7"/>
    <w:rsid w:val="BFDE36A5"/>
    <w:rsid w:val="BFDE58BA"/>
    <w:rsid w:val="BFDE8022"/>
    <w:rsid w:val="BFDE99EC"/>
    <w:rsid w:val="BFDEEC02"/>
    <w:rsid w:val="BFDF02D0"/>
    <w:rsid w:val="BFDF077B"/>
    <w:rsid w:val="BFDF3291"/>
    <w:rsid w:val="BFDF3A27"/>
    <w:rsid w:val="BFDF5F18"/>
    <w:rsid w:val="BFDF6545"/>
    <w:rsid w:val="BFDF8105"/>
    <w:rsid w:val="BFDF9E11"/>
    <w:rsid w:val="BFDFB844"/>
    <w:rsid w:val="BFDFBAAD"/>
    <w:rsid w:val="BFDFCAE6"/>
    <w:rsid w:val="BFDFE2FF"/>
    <w:rsid w:val="BFE2E9F2"/>
    <w:rsid w:val="BFE373BA"/>
    <w:rsid w:val="BFE65399"/>
    <w:rsid w:val="BFE675D9"/>
    <w:rsid w:val="BFE6BA0E"/>
    <w:rsid w:val="BFE745A4"/>
    <w:rsid w:val="BFE97DA6"/>
    <w:rsid w:val="BFE9C57C"/>
    <w:rsid w:val="BFEB4732"/>
    <w:rsid w:val="BFEBE239"/>
    <w:rsid w:val="BFEF0777"/>
    <w:rsid w:val="BFEF85F2"/>
    <w:rsid w:val="BFEFBE77"/>
    <w:rsid w:val="BFEFC717"/>
    <w:rsid w:val="BFF113CF"/>
    <w:rsid w:val="BFF3292E"/>
    <w:rsid w:val="BFF33192"/>
    <w:rsid w:val="BFF3AAD0"/>
    <w:rsid w:val="BFF481C2"/>
    <w:rsid w:val="BFF73423"/>
    <w:rsid w:val="BFF745E4"/>
    <w:rsid w:val="BFF7499A"/>
    <w:rsid w:val="BFF75ACA"/>
    <w:rsid w:val="BFF770E0"/>
    <w:rsid w:val="BFF78DFE"/>
    <w:rsid w:val="BFF81F33"/>
    <w:rsid w:val="BFF96FDF"/>
    <w:rsid w:val="BFF9EECB"/>
    <w:rsid w:val="BFFA64D2"/>
    <w:rsid w:val="BFFAC597"/>
    <w:rsid w:val="BFFB18F2"/>
    <w:rsid w:val="BFFB24ED"/>
    <w:rsid w:val="BFFB2C6A"/>
    <w:rsid w:val="BFFB7077"/>
    <w:rsid w:val="BFFB73D1"/>
    <w:rsid w:val="BFFB9FCD"/>
    <w:rsid w:val="BFFBB1E2"/>
    <w:rsid w:val="BFFBB7D7"/>
    <w:rsid w:val="BFFBBDCD"/>
    <w:rsid w:val="BFFBCB5F"/>
    <w:rsid w:val="BFFBEB0A"/>
    <w:rsid w:val="BFFBF846"/>
    <w:rsid w:val="BFFC096A"/>
    <w:rsid w:val="BFFC2C10"/>
    <w:rsid w:val="BFFC460B"/>
    <w:rsid w:val="BFFD1517"/>
    <w:rsid w:val="BFFD51F0"/>
    <w:rsid w:val="BFFDB360"/>
    <w:rsid w:val="BFFDDC06"/>
    <w:rsid w:val="BFFE1441"/>
    <w:rsid w:val="BFFE279E"/>
    <w:rsid w:val="BFFE30A3"/>
    <w:rsid w:val="BFFE4797"/>
    <w:rsid w:val="BFFE9DD8"/>
    <w:rsid w:val="BFFF154C"/>
    <w:rsid w:val="BFFF17D7"/>
    <w:rsid w:val="BFFF1D70"/>
    <w:rsid w:val="BFFF1F50"/>
    <w:rsid w:val="BFFF1FCD"/>
    <w:rsid w:val="BFFF2233"/>
    <w:rsid w:val="BFFF2687"/>
    <w:rsid w:val="BFFF3B71"/>
    <w:rsid w:val="BFFF3F4B"/>
    <w:rsid w:val="BFFF42C2"/>
    <w:rsid w:val="BFFF61A9"/>
    <w:rsid w:val="BFFF6919"/>
    <w:rsid w:val="BFFF69A3"/>
    <w:rsid w:val="BFFF7DDF"/>
    <w:rsid w:val="BFFF839B"/>
    <w:rsid w:val="BFFF886B"/>
    <w:rsid w:val="BFFF9430"/>
    <w:rsid w:val="BFFFBE7B"/>
    <w:rsid w:val="BFFFC408"/>
    <w:rsid w:val="BFFFD840"/>
    <w:rsid w:val="BFFFE695"/>
    <w:rsid w:val="BFFFF529"/>
    <w:rsid w:val="C0719B44"/>
    <w:rsid w:val="C0F6F0ED"/>
    <w:rsid w:val="C1D7468C"/>
    <w:rsid w:val="C1FFEDD0"/>
    <w:rsid w:val="C2D7F422"/>
    <w:rsid w:val="C2DED713"/>
    <w:rsid w:val="C356D060"/>
    <w:rsid w:val="C39FFA62"/>
    <w:rsid w:val="C3BF8E65"/>
    <w:rsid w:val="C3C3E72B"/>
    <w:rsid w:val="C3D5AE48"/>
    <w:rsid w:val="C3DE4A1F"/>
    <w:rsid w:val="C3EBD2B6"/>
    <w:rsid w:val="C4D3FAEF"/>
    <w:rsid w:val="C4D76C1F"/>
    <w:rsid w:val="C4D96419"/>
    <w:rsid w:val="C4EB1711"/>
    <w:rsid w:val="C4FBB5DA"/>
    <w:rsid w:val="C4FFD38D"/>
    <w:rsid w:val="C57F707D"/>
    <w:rsid w:val="C5B793BA"/>
    <w:rsid w:val="C5BB43A8"/>
    <w:rsid w:val="C5EF24EE"/>
    <w:rsid w:val="C5F93CB3"/>
    <w:rsid w:val="C5FC53D2"/>
    <w:rsid w:val="C5FF99F5"/>
    <w:rsid w:val="C5FFF15B"/>
    <w:rsid w:val="C63E19FC"/>
    <w:rsid w:val="C65D3696"/>
    <w:rsid w:val="C65F178B"/>
    <w:rsid w:val="C67FD4B4"/>
    <w:rsid w:val="C6EF641D"/>
    <w:rsid w:val="C6F6BA70"/>
    <w:rsid w:val="C73FD67A"/>
    <w:rsid w:val="C769958A"/>
    <w:rsid w:val="C76F78E5"/>
    <w:rsid w:val="C77D1D31"/>
    <w:rsid w:val="C78AB455"/>
    <w:rsid w:val="C78F00E5"/>
    <w:rsid w:val="C79C3E2F"/>
    <w:rsid w:val="C7A70DC0"/>
    <w:rsid w:val="C7A74122"/>
    <w:rsid w:val="C7AF2222"/>
    <w:rsid w:val="C7AF8D83"/>
    <w:rsid w:val="C7B3DDC4"/>
    <w:rsid w:val="C7B7D447"/>
    <w:rsid w:val="C7C2B9B1"/>
    <w:rsid w:val="C7DECB6B"/>
    <w:rsid w:val="C7EBAE26"/>
    <w:rsid w:val="C7ED847C"/>
    <w:rsid w:val="C7F46903"/>
    <w:rsid w:val="C7F701A4"/>
    <w:rsid w:val="C7F70A58"/>
    <w:rsid w:val="C7F73506"/>
    <w:rsid w:val="C7FB6101"/>
    <w:rsid w:val="C7FB6799"/>
    <w:rsid w:val="C7FD0498"/>
    <w:rsid w:val="C7FD58F9"/>
    <w:rsid w:val="C7FF5C9A"/>
    <w:rsid w:val="C7FF6F44"/>
    <w:rsid w:val="C7FFD338"/>
    <w:rsid w:val="C7FFFA82"/>
    <w:rsid w:val="C91F29F6"/>
    <w:rsid w:val="C93DE9D4"/>
    <w:rsid w:val="C94FB82A"/>
    <w:rsid w:val="C9734EC8"/>
    <w:rsid w:val="C97F1ECB"/>
    <w:rsid w:val="C97F5825"/>
    <w:rsid w:val="C97F63A8"/>
    <w:rsid w:val="C97F6F93"/>
    <w:rsid w:val="C99F868D"/>
    <w:rsid w:val="C9AD35FE"/>
    <w:rsid w:val="C9D35758"/>
    <w:rsid w:val="C9EA29F9"/>
    <w:rsid w:val="CA3D566B"/>
    <w:rsid w:val="CA76ED37"/>
    <w:rsid w:val="CA775234"/>
    <w:rsid w:val="CA7D5D3E"/>
    <w:rsid w:val="CA7DF77C"/>
    <w:rsid w:val="CA7ED90D"/>
    <w:rsid w:val="CA7F6FD6"/>
    <w:rsid w:val="CA7FEDE2"/>
    <w:rsid w:val="CAA6BD93"/>
    <w:rsid w:val="CAB73E00"/>
    <w:rsid w:val="CADF13C0"/>
    <w:rsid w:val="CADF25A7"/>
    <w:rsid w:val="CADFBDEC"/>
    <w:rsid w:val="CAE79DF3"/>
    <w:rsid w:val="CAF31866"/>
    <w:rsid w:val="CAF6DC79"/>
    <w:rsid w:val="CAF7AC3F"/>
    <w:rsid w:val="CAFBDD8C"/>
    <w:rsid w:val="CAFFBE62"/>
    <w:rsid w:val="CB377646"/>
    <w:rsid w:val="CB5F862A"/>
    <w:rsid w:val="CB6FC423"/>
    <w:rsid w:val="CB728652"/>
    <w:rsid w:val="CB777082"/>
    <w:rsid w:val="CB7D06B3"/>
    <w:rsid w:val="CB89838F"/>
    <w:rsid w:val="CBBEAE46"/>
    <w:rsid w:val="CBBFAF23"/>
    <w:rsid w:val="CBCDACEC"/>
    <w:rsid w:val="CBD3DB28"/>
    <w:rsid w:val="CBDB3E65"/>
    <w:rsid w:val="CBDB8F86"/>
    <w:rsid w:val="CBE57895"/>
    <w:rsid w:val="CBE73854"/>
    <w:rsid w:val="CBF3EDB0"/>
    <w:rsid w:val="CBFB7D96"/>
    <w:rsid w:val="CBFC3055"/>
    <w:rsid w:val="CBFC8F54"/>
    <w:rsid w:val="CBFCE6FF"/>
    <w:rsid w:val="CBFDB7EE"/>
    <w:rsid w:val="CBFEBB66"/>
    <w:rsid w:val="CBFF2D2B"/>
    <w:rsid w:val="CBFF6E9D"/>
    <w:rsid w:val="CBFFEF8E"/>
    <w:rsid w:val="CC9683E2"/>
    <w:rsid w:val="CCEF3DEC"/>
    <w:rsid w:val="CCF4902D"/>
    <w:rsid w:val="CCF96708"/>
    <w:rsid w:val="CCFC8377"/>
    <w:rsid w:val="CCFD18EE"/>
    <w:rsid w:val="CD1FC220"/>
    <w:rsid w:val="CD38D95A"/>
    <w:rsid w:val="CD3EDDE9"/>
    <w:rsid w:val="CD771F2E"/>
    <w:rsid w:val="CD7A5730"/>
    <w:rsid w:val="CD7F5CAA"/>
    <w:rsid w:val="CD933EF2"/>
    <w:rsid w:val="CDB634A1"/>
    <w:rsid w:val="CDBFF277"/>
    <w:rsid w:val="CDC7E7B6"/>
    <w:rsid w:val="CDDB4767"/>
    <w:rsid w:val="CDDB8BF7"/>
    <w:rsid w:val="CDE82D32"/>
    <w:rsid w:val="CDEF6B22"/>
    <w:rsid w:val="CDEFA4EB"/>
    <w:rsid w:val="CDEFBBF2"/>
    <w:rsid w:val="CDF34B5E"/>
    <w:rsid w:val="CDF72748"/>
    <w:rsid w:val="CDF7EEBF"/>
    <w:rsid w:val="CDFABC3F"/>
    <w:rsid w:val="CDFF8FA4"/>
    <w:rsid w:val="CDFFAF4D"/>
    <w:rsid w:val="CE177DA9"/>
    <w:rsid w:val="CE376E34"/>
    <w:rsid w:val="CE69D2F2"/>
    <w:rsid w:val="CE6E3DEC"/>
    <w:rsid w:val="CE7B04A7"/>
    <w:rsid w:val="CE7C162F"/>
    <w:rsid w:val="CE7DE605"/>
    <w:rsid w:val="CE7F79D3"/>
    <w:rsid w:val="CE7FD129"/>
    <w:rsid w:val="CE8D43BD"/>
    <w:rsid w:val="CE9A15F7"/>
    <w:rsid w:val="CEBFD1CD"/>
    <w:rsid w:val="CED74605"/>
    <w:rsid w:val="CEDB3D88"/>
    <w:rsid w:val="CEDF7F6D"/>
    <w:rsid w:val="CEEF2288"/>
    <w:rsid w:val="CEF53E24"/>
    <w:rsid w:val="CEF7C21C"/>
    <w:rsid w:val="CEFB7815"/>
    <w:rsid w:val="CEFBBD0C"/>
    <w:rsid w:val="CEFE8BCC"/>
    <w:rsid w:val="CEFF1402"/>
    <w:rsid w:val="CEFF177C"/>
    <w:rsid w:val="CEFF85EF"/>
    <w:rsid w:val="CEFF961A"/>
    <w:rsid w:val="CEFFD495"/>
    <w:rsid w:val="CF078569"/>
    <w:rsid w:val="CF120AC7"/>
    <w:rsid w:val="CF2E5DE8"/>
    <w:rsid w:val="CF3F98B3"/>
    <w:rsid w:val="CF47A9A0"/>
    <w:rsid w:val="CF5E24D5"/>
    <w:rsid w:val="CF5F4E42"/>
    <w:rsid w:val="CF6FB578"/>
    <w:rsid w:val="CF7EB4C3"/>
    <w:rsid w:val="CF7EC7D8"/>
    <w:rsid w:val="CF7F0545"/>
    <w:rsid w:val="CF7F8056"/>
    <w:rsid w:val="CF8F3CE0"/>
    <w:rsid w:val="CF8F74EC"/>
    <w:rsid w:val="CF9F6549"/>
    <w:rsid w:val="CF9FA07C"/>
    <w:rsid w:val="CF9FFEAD"/>
    <w:rsid w:val="CFB76867"/>
    <w:rsid w:val="CFBC5BAE"/>
    <w:rsid w:val="CFBDD879"/>
    <w:rsid w:val="CFCF4C28"/>
    <w:rsid w:val="CFD328D8"/>
    <w:rsid w:val="CFD34FC1"/>
    <w:rsid w:val="CFD41924"/>
    <w:rsid w:val="CFD51D65"/>
    <w:rsid w:val="CFDBAF6D"/>
    <w:rsid w:val="CFDD33EB"/>
    <w:rsid w:val="CFDD5862"/>
    <w:rsid w:val="CFDE5784"/>
    <w:rsid w:val="CFDF5CF1"/>
    <w:rsid w:val="CFDF8FA7"/>
    <w:rsid w:val="CFE53513"/>
    <w:rsid w:val="CFE71059"/>
    <w:rsid w:val="CFEBE389"/>
    <w:rsid w:val="CFEBEEB4"/>
    <w:rsid w:val="CFEE8451"/>
    <w:rsid w:val="CFEED978"/>
    <w:rsid w:val="CFEF6B4F"/>
    <w:rsid w:val="CFEF96D8"/>
    <w:rsid w:val="CFEFAB4F"/>
    <w:rsid w:val="CFEFCAF5"/>
    <w:rsid w:val="CFF728EF"/>
    <w:rsid w:val="CFF76A47"/>
    <w:rsid w:val="CFF77CE1"/>
    <w:rsid w:val="CFFAB24C"/>
    <w:rsid w:val="CFFB96F6"/>
    <w:rsid w:val="CFFD79F4"/>
    <w:rsid w:val="CFFE55DB"/>
    <w:rsid w:val="CFFED621"/>
    <w:rsid w:val="CFFF25E9"/>
    <w:rsid w:val="CFFF7263"/>
    <w:rsid w:val="CFFF9244"/>
    <w:rsid w:val="CFFF99C4"/>
    <w:rsid w:val="D07F84C7"/>
    <w:rsid w:val="D09778F7"/>
    <w:rsid w:val="D0E86A95"/>
    <w:rsid w:val="D0FF984C"/>
    <w:rsid w:val="D1A72475"/>
    <w:rsid w:val="D1BFEFC6"/>
    <w:rsid w:val="D1E672C4"/>
    <w:rsid w:val="D23C2F1F"/>
    <w:rsid w:val="D26EB846"/>
    <w:rsid w:val="D2D90254"/>
    <w:rsid w:val="D2DB9DAA"/>
    <w:rsid w:val="D2DE5334"/>
    <w:rsid w:val="D2F52D50"/>
    <w:rsid w:val="D2F5D9AE"/>
    <w:rsid w:val="D3171548"/>
    <w:rsid w:val="D33F35B2"/>
    <w:rsid w:val="D34F20C8"/>
    <w:rsid w:val="D376CF53"/>
    <w:rsid w:val="D37C626C"/>
    <w:rsid w:val="D37FB0E2"/>
    <w:rsid w:val="D3B6364B"/>
    <w:rsid w:val="D3B8A34D"/>
    <w:rsid w:val="D3BC5243"/>
    <w:rsid w:val="D3BD54F0"/>
    <w:rsid w:val="D3BE21C2"/>
    <w:rsid w:val="D3BEB804"/>
    <w:rsid w:val="D3BFCBE6"/>
    <w:rsid w:val="D3C480D5"/>
    <w:rsid w:val="D3D2492A"/>
    <w:rsid w:val="D3DE3925"/>
    <w:rsid w:val="D3E45DBA"/>
    <w:rsid w:val="D3EE499E"/>
    <w:rsid w:val="D3F331BA"/>
    <w:rsid w:val="D3F43FD3"/>
    <w:rsid w:val="D3FB9849"/>
    <w:rsid w:val="D3FC633A"/>
    <w:rsid w:val="D3FD5C1D"/>
    <w:rsid w:val="D3FEE08C"/>
    <w:rsid w:val="D3FFCC44"/>
    <w:rsid w:val="D47DADFC"/>
    <w:rsid w:val="D47FFBD8"/>
    <w:rsid w:val="D49D4BB9"/>
    <w:rsid w:val="D4B52A9B"/>
    <w:rsid w:val="D4BD6B8E"/>
    <w:rsid w:val="D4BFF023"/>
    <w:rsid w:val="D56EA22E"/>
    <w:rsid w:val="D57D795E"/>
    <w:rsid w:val="D57E1DDE"/>
    <w:rsid w:val="D5824C9D"/>
    <w:rsid w:val="D59E0B86"/>
    <w:rsid w:val="D5BF752F"/>
    <w:rsid w:val="D5CC447B"/>
    <w:rsid w:val="D5DB2516"/>
    <w:rsid w:val="D5F2E38D"/>
    <w:rsid w:val="D5F6DCCB"/>
    <w:rsid w:val="D5F7D207"/>
    <w:rsid w:val="D5FA8277"/>
    <w:rsid w:val="D5FE2CA1"/>
    <w:rsid w:val="D5FE414A"/>
    <w:rsid w:val="D5FFC151"/>
    <w:rsid w:val="D5FFCD75"/>
    <w:rsid w:val="D5FFF66A"/>
    <w:rsid w:val="D634607D"/>
    <w:rsid w:val="D63BFD44"/>
    <w:rsid w:val="D65767F3"/>
    <w:rsid w:val="D67D5CF5"/>
    <w:rsid w:val="D67F0C6E"/>
    <w:rsid w:val="D695C8F4"/>
    <w:rsid w:val="D69C1656"/>
    <w:rsid w:val="D6BE0D87"/>
    <w:rsid w:val="D6D1FEB1"/>
    <w:rsid w:val="D6DF1BF4"/>
    <w:rsid w:val="D6DFB206"/>
    <w:rsid w:val="D6E7F35E"/>
    <w:rsid w:val="D6EBDF10"/>
    <w:rsid w:val="D6EFC201"/>
    <w:rsid w:val="D6F3D328"/>
    <w:rsid w:val="D6F4701E"/>
    <w:rsid w:val="D6F67C99"/>
    <w:rsid w:val="D6F9BFA8"/>
    <w:rsid w:val="D6FB4569"/>
    <w:rsid w:val="D6FDA9E2"/>
    <w:rsid w:val="D6FDC241"/>
    <w:rsid w:val="D6FFE09D"/>
    <w:rsid w:val="D71E802E"/>
    <w:rsid w:val="D71FF82A"/>
    <w:rsid w:val="D7272FDA"/>
    <w:rsid w:val="D73D8751"/>
    <w:rsid w:val="D74170B2"/>
    <w:rsid w:val="D755A9CA"/>
    <w:rsid w:val="D757C144"/>
    <w:rsid w:val="D75F8205"/>
    <w:rsid w:val="D76ECA0E"/>
    <w:rsid w:val="D7774BDA"/>
    <w:rsid w:val="D77FE53A"/>
    <w:rsid w:val="D786D703"/>
    <w:rsid w:val="D78FA1A7"/>
    <w:rsid w:val="D79F34EA"/>
    <w:rsid w:val="D7AC12E7"/>
    <w:rsid w:val="D7AD5E29"/>
    <w:rsid w:val="D7B7859F"/>
    <w:rsid w:val="D7BA3006"/>
    <w:rsid w:val="D7BD8E40"/>
    <w:rsid w:val="D7BDDDED"/>
    <w:rsid w:val="D7BF41D3"/>
    <w:rsid w:val="D7C7CF5D"/>
    <w:rsid w:val="D7CDBB4F"/>
    <w:rsid w:val="D7CF90F7"/>
    <w:rsid w:val="D7DD3E7F"/>
    <w:rsid w:val="D7DE50B6"/>
    <w:rsid w:val="D7DEBC15"/>
    <w:rsid w:val="D7DF21CB"/>
    <w:rsid w:val="D7DFCDBE"/>
    <w:rsid w:val="D7E40FBB"/>
    <w:rsid w:val="D7E503B4"/>
    <w:rsid w:val="D7E7741A"/>
    <w:rsid w:val="D7EB5E5E"/>
    <w:rsid w:val="D7EC4D01"/>
    <w:rsid w:val="D7ECBC74"/>
    <w:rsid w:val="D7ED062F"/>
    <w:rsid w:val="D7ED66B2"/>
    <w:rsid w:val="D7EE5E89"/>
    <w:rsid w:val="D7EF2C30"/>
    <w:rsid w:val="D7F61A29"/>
    <w:rsid w:val="D7F73155"/>
    <w:rsid w:val="D7F7B7C1"/>
    <w:rsid w:val="D7F9F2E7"/>
    <w:rsid w:val="D7FA8DFD"/>
    <w:rsid w:val="D7FB39AD"/>
    <w:rsid w:val="D7FB53E9"/>
    <w:rsid w:val="D7FB54FD"/>
    <w:rsid w:val="D7FB9EE8"/>
    <w:rsid w:val="D7FBB01E"/>
    <w:rsid w:val="D7FBC89C"/>
    <w:rsid w:val="D7FBD50A"/>
    <w:rsid w:val="D7FE02A9"/>
    <w:rsid w:val="D7FE0DC8"/>
    <w:rsid w:val="D7FE55A3"/>
    <w:rsid w:val="D7FE64BF"/>
    <w:rsid w:val="D7FEAD04"/>
    <w:rsid w:val="D7FEBAE1"/>
    <w:rsid w:val="D7FF05AF"/>
    <w:rsid w:val="D7FF1AD4"/>
    <w:rsid w:val="D7FF24B0"/>
    <w:rsid w:val="D7FF27AA"/>
    <w:rsid w:val="D7FF6E88"/>
    <w:rsid w:val="D7FF8228"/>
    <w:rsid w:val="D7FFA82A"/>
    <w:rsid w:val="D7FFBB0E"/>
    <w:rsid w:val="D7FFD0B9"/>
    <w:rsid w:val="D7FFE0EC"/>
    <w:rsid w:val="D8DDE936"/>
    <w:rsid w:val="D8EA2D92"/>
    <w:rsid w:val="D8F8DE97"/>
    <w:rsid w:val="D8FF6D3D"/>
    <w:rsid w:val="D9508524"/>
    <w:rsid w:val="D957629F"/>
    <w:rsid w:val="D95DE2E8"/>
    <w:rsid w:val="D95F53A1"/>
    <w:rsid w:val="D95F69E7"/>
    <w:rsid w:val="D9773E9B"/>
    <w:rsid w:val="D977B7BA"/>
    <w:rsid w:val="D9794959"/>
    <w:rsid w:val="D97FE5D5"/>
    <w:rsid w:val="D9873F6C"/>
    <w:rsid w:val="D9BA02DD"/>
    <w:rsid w:val="D9BF4A3B"/>
    <w:rsid w:val="D9C2C2A5"/>
    <w:rsid w:val="D9C3F7FB"/>
    <w:rsid w:val="D9D6B2DF"/>
    <w:rsid w:val="D9EBFB1E"/>
    <w:rsid w:val="D9EE46ED"/>
    <w:rsid w:val="D9F796AF"/>
    <w:rsid w:val="D9F7DA3B"/>
    <w:rsid w:val="D9FF21C8"/>
    <w:rsid w:val="D9FF4223"/>
    <w:rsid w:val="DA4EB5A9"/>
    <w:rsid w:val="DA5F7C07"/>
    <w:rsid w:val="DA6F43A8"/>
    <w:rsid w:val="DA7751BE"/>
    <w:rsid w:val="DA7F33B5"/>
    <w:rsid w:val="DA8B94DE"/>
    <w:rsid w:val="DAADA95A"/>
    <w:rsid w:val="DAB94148"/>
    <w:rsid w:val="DABA09D1"/>
    <w:rsid w:val="DACF57AC"/>
    <w:rsid w:val="DADCC3AB"/>
    <w:rsid w:val="DADD484D"/>
    <w:rsid w:val="DAEB5BC2"/>
    <w:rsid w:val="DAEFBCAF"/>
    <w:rsid w:val="DAEFBDBB"/>
    <w:rsid w:val="DAF38C8C"/>
    <w:rsid w:val="DAF7D771"/>
    <w:rsid w:val="DAFB99BB"/>
    <w:rsid w:val="DAFBBA7C"/>
    <w:rsid w:val="DAFCF57B"/>
    <w:rsid w:val="DAFE716A"/>
    <w:rsid w:val="DAFE867F"/>
    <w:rsid w:val="DAFEC698"/>
    <w:rsid w:val="DAFEE6F2"/>
    <w:rsid w:val="DAFF677A"/>
    <w:rsid w:val="DAFFA1BF"/>
    <w:rsid w:val="DB37E39A"/>
    <w:rsid w:val="DB391265"/>
    <w:rsid w:val="DB3F1E9C"/>
    <w:rsid w:val="DB476081"/>
    <w:rsid w:val="DB74B745"/>
    <w:rsid w:val="DB77CBE2"/>
    <w:rsid w:val="DB7B2147"/>
    <w:rsid w:val="DB7B234B"/>
    <w:rsid w:val="DB7D0782"/>
    <w:rsid w:val="DB7D1E7F"/>
    <w:rsid w:val="DB7DF1F1"/>
    <w:rsid w:val="DB9F5537"/>
    <w:rsid w:val="DB9FFEC2"/>
    <w:rsid w:val="DBB70502"/>
    <w:rsid w:val="DBBC636B"/>
    <w:rsid w:val="DBBEE624"/>
    <w:rsid w:val="DBBFB312"/>
    <w:rsid w:val="DBC2D58C"/>
    <w:rsid w:val="DBCFD166"/>
    <w:rsid w:val="DBD70B96"/>
    <w:rsid w:val="DBD77F11"/>
    <w:rsid w:val="DBDB5E3D"/>
    <w:rsid w:val="DBDD3742"/>
    <w:rsid w:val="DBDDF49D"/>
    <w:rsid w:val="DBDEE9B7"/>
    <w:rsid w:val="DBDF55E4"/>
    <w:rsid w:val="DBDFC82B"/>
    <w:rsid w:val="DBDFD4AA"/>
    <w:rsid w:val="DBDFF0FD"/>
    <w:rsid w:val="DBE6CAA2"/>
    <w:rsid w:val="DBE73000"/>
    <w:rsid w:val="DBEB4279"/>
    <w:rsid w:val="DBEE5C13"/>
    <w:rsid w:val="DBEF63FB"/>
    <w:rsid w:val="DBEF80EB"/>
    <w:rsid w:val="DBEF88F7"/>
    <w:rsid w:val="DBF359A1"/>
    <w:rsid w:val="DBF38880"/>
    <w:rsid w:val="DBF710CF"/>
    <w:rsid w:val="DBF72E3A"/>
    <w:rsid w:val="DBF7F2B5"/>
    <w:rsid w:val="DBF7F936"/>
    <w:rsid w:val="DBFB447B"/>
    <w:rsid w:val="DBFB792A"/>
    <w:rsid w:val="DBFB857D"/>
    <w:rsid w:val="DBFB9435"/>
    <w:rsid w:val="DBFB99E9"/>
    <w:rsid w:val="DBFC3AD3"/>
    <w:rsid w:val="DBFD20DA"/>
    <w:rsid w:val="DBFD84BD"/>
    <w:rsid w:val="DBFE7B07"/>
    <w:rsid w:val="DBFE9733"/>
    <w:rsid w:val="DBFEBA15"/>
    <w:rsid w:val="DBFED3E4"/>
    <w:rsid w:val="DBFF0BD2"/>
    <w:rsid w:val="DBFF2CD0"/>
    <w:rsid w:val="DBFF4B27"/>
    <w:rsid w:val="DBFF6F3F"/>
    <w:rsid w:val="DBFF73E7"/>
    <w:rsid w:val="DBFF8B15"/>
    <w:rsid w:val="DBFFC714"/>
    <w:rsid w:val="DC378FC0"/>
    <w:rsid w:val="DC59DBFF"/>
    <w:rsid w:val="DC653E62"/>
    <w:rsid w:val="DC6C24C4"/>
    <w:rsid w:val="DC794A83"/>
    <w:rsid w:val="DC7DD2EF"/>
    <w:rsid w:val="DC7F228D"/>
    <w:rsid w:val="DC911E8D"/>
    <w:rsid w:val="DC9D2C3E"/>
    <w:rsid w:val="DC9D3DB3"/>
    <w:rsid w:val="DCAF157B"/>
    <w:rsid w:val="DCBF31D8"/>
    <w:rsid w:val="DCCF7770"/>
    <w:rsid w:val="DCEB941A"/>
    <w:rsid w:val="DCF3E40A"/>
    <w:rsid w:val="DCF5439F"/>
    <w:rsid w:val="DCF54A05"/>
    <w:rsid w:val="DCFA3B98"/>
    <w:rsid w:val="DCFD5B3B"/>
    <w:rsid w:val="DCFEA9CC"/>
    <w:rsid w:val="DCFF38C9"/>
    <w:rsid w:val="DCFF42D1"/>
    <w:rsid w:val="DCFF8C35"/>
    <w:rsid w:val="DCFFABE4"/>
    <w:rsid w:val="DD0BC32D"/>
    <w:rsid w:val="DD0E0A5E"/>
    <w:rsid w:val="DD13321C"/>
    <w:rsid w:val="DD13D76D"/>
    <w:rsid w:val="DD15FF32"/>
    <w:rsid w:val="DD2DB222"/>
    <w:rsid w:val="DD39ED4C"/>
    <w:rsid w:val="DD3F543B"/>
    <w:rsid w:val="DD3FB885"/>
    <w:rsid w:val="DD4EFBCA"/>
    <w:rsid w:val="DD647B94"/>
    <w:rsid w:val="DD656D00"/>
    <w:rsid w:val="DD676E16"/>
    <w:rsid w:val="DD6BFF16"/>
    <w:rsid w:val="DD74D7E8"/>
    <w:rsid w:val="DD75A164"/>
    <w:rsid w:val="DD7707D5"/>
    <w:rsid w:val="DD7CECD2"/>
    <w:rsid w:val="DD7F4F0F"/>
    <w:rsid w:val="DD8C43C6"/>
    <w:rsid w:val="DD99194F"/>
    <w:rsid w:val="DD9D4380"/>
    <w:rsid w:val="DD9F8ECB"/>
    <w:rsid w:val="DDA4847C"/>
    <w:rsid w:val="DDA8B826"/>
    <w:rsid w:val="DDAD5B74"/>
    <w:rsid w:val="DDB76601"/>
    <w:rsid w:val="DDBD8DBB"/>
    <w:rsid w:val="DDBDB7C2"/>
    <w:rsid w:val="DDBE1986"/>
    <w:rsid w:val="DDBE2A05"/>
    <w:rsid w:val="DDBFCF7A"/>
    <w:rsid w:val="DDCFA18F"/>
    <w:rsid w:val="DDD572BB"/>
    <w:rsid w:val="DDD67D6D"/>
    <w:rsid w:val="DDD7D958"/>
    <w:rsid w:val="DDDD5273"/>
    <w:rsid w:val="DDDFF304"/>
    <w:rsid w:val="DDE28F60"/>
    <w:rsid w:val="DDE7E892"/>
    <w:rsid w:val="DDE7F7F4"/>
    <w:rsid w:val="DDE88971"/>
    <w:rsid w:val="DDEB4551"/>
    <w:rsid w:val="DDED2848"/>
    <w:rsid w:val="DDEF16AF"/>
    <w:rsid w:val="DDEF9F81"/>
    <w:rsid w:val="DDEFF0EA"/>
    <w:rsid w:val="DDEFF61C"/>
    <w:rsid w:val="DDF34D4F"/>
    <w:rsid w:val="DDF3D994"/>
    <w:rsid w:val="DDF6E6CF"/>
    <w:rsid w:val="DDF7016B"/>
    <w:rsid w:val="DDF904BB"/>
    <w:rsid w:val="DDFB0694"/>
    <w:rsid w:val="DDFBC7FE"/>
    <w:rsid w:val="DDFC27C1"/>
    <w:rsid w:val="DDFC5507"/>
    <w:rsid w:val="DDFD6F59"/>
    <w:rsid w:val="DDFD9878"/>
    <w:rsid w:val="DDFEFE7A"/>
    <w:rsid w:val="DDFF3B7E"/>
    <w:rsid w:val="DDFF4244"/>
    <w:rsid w:val="DDFF4BD8"/>
    <w:rsid w:val="DDFF541D"/>
    <w:rsid w:val="DDFF669C"/>
    <w:rsid w:val="DDFF9B3C"/>
    <w:rsid w:val="DDFFBC92"/>
    <w:rsid w:val="DDFFD3FB"/>
    <w:rsid w:val="DDFFFFD0"/>
    <w:rsid w:val="DE15D98F"/>
    <w:rsid w:val="DE330624"/>
    <w:rsid w:val="DE3A174B"/>
    <w:rsid w:val="DE3DCFFB"/>
    <w:rsid w:val="DE4FD12F"/>
    <w:rsid w:val="DE52208D"/>
    <w:rsid w:val="DE65D176"/>
    <w:rsid w:val="DE730C3D"/>
    <w:rsid w:val="DE735A37"/>
    <w:rsid w:val="DE73617E"/>
    <w:rsid w:val="DE739044"/>
    <w:rsid w:val="DE79737C"/>
    <w:rsid w:val="DE7B6D05"/>
    <w:rsid w:val="DE7D721A"/>
    <w:rsid w:val="DE7DC2B3"/>
    <w:rsid w:val="DE7F796E"/>
    <w:rsid w:val="DE7F9F3B"/>
    <w:rsid w:val="DE7FD97C"/>
    <w:rsid w:val="DE94074A"/>
    <w:rsid w:val="DE9A267F"/>
    <w:rsid w:val="DE9F734B"/>
    <w:rsid w:val="DEA7767A"/>
    <w:rsid w:val="DEAB413A"/>
    <w:rsid w:val="DEAB8B99"/>
    <w:rsid w:val="DEB312E9"/>
    <w:rsid w:val="DEB33F5D"/>
    <w:rsid w:val="DEBEF6CE"/>
    <w:rsid w:val="DEBF02C3"/>
    <w:rsid w:val="DEBF1B39"/>
    <w:rsid w:val="DEBF2446"/>
    <w:rsid w:val="DEBFE90C"/>
    <w:rsid w:val="DED7AA55"/>
    <w:rsid w:val="DEDA866D"/>
    <w:rsid w:val="DEDE15F0"/>
    <w:rsid w:val="DEDFDBBD"/>
    <w:rsid w:val="DEE7BF3E"/>
    <w:rsid w:val="DEE9FE57"/>
    <w:rsid w:val="DEED1DAC"/>
    <w:rsid w:val="DEED6F57"/>
    <w:rsid w:val="DEED8EFF"/>
    <w:rsid w:val="DEEF1074"/>
    <w:rsid w:val="DEEF1E6E"/>
    <w:rsid w:val="DEEF2717"/>
    <w:rsid w:val="DEEF312E"/>
    <w:rsid w:val="DEEFD277"/>
    <w:rsid w:val="DEF1084E"/>
    <w:rsid w:val="DEF3F5B2"/>
    <w:rsid w:val="DEF68079"/>
    <w:rsid w:val="DEF7E77D"/>
    <w:rsid w:val="DEF7F38F"/>
    <w:rsid w:val="DEF9CC69"/>
    <w:rsid w:val="DEFE10C4"/>
    <w:rsid w:val="DEFE6227"/>
    <w:rsid w:val="DEFED81C"/>
    <w:rsid w:val="DEFF15FD"/>
    <w:rsid w:val="DEFF17D2"/>
    <w:rsid w:val="DEFF5106"/>
    <w:rsid w:val="DEFF65C1"/>
    <w:rsid w:val="DEFF87E4"/>
    <w:rsid w:val="DEFFAF82"/>
    <w:rsid w:val="DEFFB685"/>
    <w:rsid w:val="DEFFBFF1"/>
    <w:rsid w:val="DEFFD095"/>
    <w:rsid w:val="DEFFD1D0"/>
    <w:rsid w:val="DEFFF277"/>
    <w:rsid w:val="DEFFFD67"/>
    <w:rsid w:val="DF1B92EF"/>
    <w:rsid w:val="DF1F905E"/>
    <w:rsid w:val="DF27CF14"/>
    <w:rsid w:val="DF2F249F"/>
    <w:rsid w:val="DF2FBE87"/>
    <w:rsid w:val="DF2FDE64"/>
    <w:rsid w:val="DF34895C"/>
    <w:rsid w:val="DF36E17C"/>
    <w:rsid w:val="DF3DF494"/>
    <w:rsid w:val="DF3F34A4"/>
    <w:rsid w:val="DF3F6C40"/>
    <w:rsid w:val="DF3FA46C"/>
    <w:rsid w:val="DF3FC8BC"/>
    <w:rsid w:val="DF3FEDE2"/>
    <w:rsid w:val="DF3FF3D3"/>
    <w:rsid w:val="DF5250E1"/>
    <w:rsid w:val="DF531737"/>
    <w:rsid w:val="DF558B6D"/>
    <w:rsid w:val="DF5D6C61"/>
    <w:rsid w:val="DF5E889C"/>
    <w:rsid w:val="DF5E8AC8"/>
    <w:rsid w:val="DF5FEE04"/>
    <w:rsid w:val="DF660462"/>
    <w:rsid w:val="DF671617"/>
    <w:rsid w:val="DF6D7C9E"/>
    <w:rsid w:val="DF6E9C65"/>
    <w:rsid w:val="DF6FCD3B"/>
    <w:rsid w:val="DF75CA21"/>
    <w:rsid w:val="DF76B5FF"/>
    <w:rsid w:val="DF775620"/>
    <w:rsid w:val="DF7828CB"/>
    <w:rsid w:val="DF783770"/>
    <w:rsid w:val="DF7ADFC1"/>
    <w:rsid w:val="DF7B0D03"/>
    <w:rsid w:val="DF7B3F68"/>
    <w:rsid w:val="DF7B4DB2"/>
    <w:rsid w:val="DF7BAD14"/>
    <w:rsid w:val="DF7BF89C"/>
    <w:rsid w:val="DF7CA81C"/>
    <w:rsid w:val="DF7DA625"/>
    <w:rsid w:val="DF7DDBEF"/>
    <w:rsid w:val="DF7DFF57"/>
    <w:rsid w:val="DF7E4811"/>
    <w:rsid w:val="DF7EAC6A"/>
    <w:rsid w:val="DF7ECAA6"/>
    <w:rsid w:val="DF7F041B"/>
    <w:rsid w:val="DF7F4D84"/>
    <w:rsid w:val="DF7F5F2C"/>
    <w:rsid w:val="DF8958C5"/>
    <w:rsid w:val="DF95A58C"/>
    <w:rsid w:val="DF95A62D"/>
    <w:rsid w:val="DF966DFC"/>
    <w:rsid w:val="DF99E987"/>
    <w:rsid w:val="DF9C1ECE"/>
    <w:rsid w:val="DF9C790C"/>
    <w:rsid w:val="DF9E4DD7"/>
    <w:rsid w:val="DF9F1FFB"/>
    <w:rsid w:val="DFA5DF37"/>
    <w:rsid w:val="DFA7DF6E"/>
    <w:rsid w:val="DFA9E31D"/>
    <w:rsid w:val="DFAA26FA"/>
    <w:rsid w:val="DFAA34E7"/>
    <w:rsid w:val="DFABFBD4"/>
    <w:rsid w:val="DFAD0E82"/>
    <w:rsid w:val="DFADA199"/>
    <w:rsid w:val="DFAF3632"/>
    <w:rsid w:val="DFAF5657"/>
    <w:rsid w:val="DFAFB490"/>
    <w:rsid w:val="DFAFDA6E"/>
    <w:rsid w:val="DFB0E23D"/>
    <w:rsid w:val="DFB569C9"/>
    <w:rsid w:val="DFB5BC86"/>
    <w:rsid w:val="DFB68A27"/>
    <w:rsid w:val="DFB82002"/>
    <w:rsid w:val="DFBA863F"/>
    <w:rsid w:val="DFBB6E9D"/>
    <w:rsid w:val="DFBE4A78"/>
    <w:rsid w:val="DFBE9E56"/>
    <w:rsid w:val="DFBEA6EB"/>
    <w:rsid w:val="DFBF1326"/>
    <w:rsid w:val="DFBF1419"/>
    <w:rsid w:val="DFBF3713"/>
    <w:rsid w:val="DFBF83A9"/>
    <w:rsid w:val="DFBFEB69"/>
    <w:rsid w:val="DFBFF011"/>
    <w:rsid w:val="DFBFF132"/>
    <w:rsid w:val="DFCB5614"/>
    <w:rsid w:val="DFCC1498"/>
    <w:rsid w:val="DFCCE3F2"/>
    <w:rsid w:val="DFCE9A97"/>
    <w:rsid w:val="DFCF946A"/>
    <w:rsid w:val="DFCFA26B"/>
    <w:rsid w:val="DFD29B7D"/>
    <w:rsid w:val="DFD5171A"/>
    <w:rsid w:val="DFD634CA"/>
    <w:rsid w:val="DFD694DF"/>
    <w:rsid w:val="DFD78E56"/>
    <w:rsid w:val="DFD87DBA"/>
    <w:rsid w:val="DFD90A14"/>
    <w:rsid w:val="DFD93F91"/>
    <w:rsid w:val="DFD96AEB"/>
    <w:rsid w:val="DFDA02E8"/>
    <w:rsid w:val="DFDA587F"/>
    <w:rsid w:val="DFDA62F0"/>
    <w:rsid w:val="DFDB709A"/>
    <w:rsid w:val="DFDB9D24"/>
    <w:rsid w:val="DFDD5D5B"/>
    <w:rsid w:val="DFDD62CD"/>
    <w:rsid w:val="DFDDA4EC"/>
    <w:rsid w:val="DFDDF42D"/>
    <w:rsid w:val="DFDF0CD4"/>
    <w:rsid w:val="DFDF65A6"/>
    <w:rsid w:val="DFDF6D6F"/>
    <w:rsid w:val="DFDFBC66"/>
    <w:rsid w:val="DFDFC437"/>
    <w:rsid w:val="DFDFE88A"/>
    <w:rsid w:val="DFDFF398"/>
    <w:rsid w:val="DFDFF687"/>
    <w:rsid w:val="DFDFF84E"/>
    <w:rsid w:val="DFE32F30"/>
    <w:rsid w:val="DFE7ED62"/>
    <w:rsid w:val="DFE86608"/>
    <w:rsid w:val="DFE89ED6"/>
    <w:rsid w:val="DFE9475F"/>
    <w:rsid w:val="DFE9BC01"/>
    <w:rsid w:val="DFEB4149"/>
    <w:rsid w:val="DFEB4ADC"/>
    <w:rsid w:val="DFEE24D7"/>
    <w:rsid w:val="DFEE80FF"/>
    <w:rsid w:val="DFEEB81C"/>
    <w:rsid w:val="DFEF431B"/>
    <w:rsid w:val="DFEF5872"/>
    <w:rsid w:val="DFEF5BD4"/>
    <w:rsid w:val="DFEF6791"/>
    <w:rsid w:val="DFEF6929"/>
    <w:rsid w:val="DFEF92F5"/>
    <w:rsid w:val="DFEFA4E6"/>
    <w:rsid w:val="DFEFD79F"/>
    <w:rsid w:val="DFEFE49F"/>
    <w:rsid w:val="DFEFE768"/>
    <w:rsid w:val="DFF0241E"/>
    <w:rsid w:val="DFF0C25F"/>
    <w:rsid w:val="DFF164CE"/>
    <w:rsid w:val="DFF2DCF3"/>
    <w:rsid w:val="DFF44961"/>
    <w:rsid w:val="DFF48BC0"/>
    <w:rsid w:val="DFF4945E"/>
    <w:rsid w:val="DFF5CE3F"/>
    <w:rsid w:val="DFF63E63"/>
    <w:rsid w:val="DFF6D67D"/>
    <w:rsid w:val="DFF71601"/>
    <w:rsid w:val="DFF74850"/>
    <w:rsid w:val="DFF748B4"/>
    <w:rsid w:val="DFF7654B"/>
    <w:rsid w:val="DFF7A739"/>
    <w:rsid w:val="DFF7B476"/>
    <w:rsid w:val="DFF7BB66"/>
    <w:rsid w:val="DFF7E9E8"/>
    <w:rsid w:val="DFF7ED5D"/>
    <w:rsid w:val="DFF8C71D"/>
    <w:rsid w:val="DFF9193B"/>
    <w:rsid w:val="DFF9218C"/>
    <w:rsid w:val="DFF956F1"/>
    <w:rsid w:val="DFF9E94E"/>
    <w:rsid w:val="DFF9F4F6"/>
    <w:rsid w:val="DFFA6F1B"/>
    <w:rsid w:val="DFFB0E95"/>
    <w:rsid w:val="DFFB2C71"/>
    <w:rsid w:val="DFFB2D5A"/>
    <w:rsid w:val="DFFB3C1D"/>
    <w:rsid w:val="DFFB5CBC"/>
    <w:rsid w:val="DFFBE59E"/>
    <w:rsid w:val="DFFC361C"/>
    <w:rsid w:val="DFFCCCAF"/>
    <w:rsid w:val="DFFCF9B2"/>
    <w:rsid w:val="DFFD0DD1"/>
    <w:rsid w:val="DFFD1A1D"/>
    <w:rsid w:val="DFFD2F79"/>
    <w:rsid w:val="DFFDDD10"/>
    <w:rsid w:val="DFFE0B46"/>
    <w:rsid w:val="DFFE449B"/>
    <w:rsid w:val="DFFE5015"/>
    <w:rsid w:val="DFFE7FD2"/>
    <w:rsid w:val="DFFE8355"/>
    <w:rsid w:val="DFFEBE2F"/>
    <w:rsid w:val="DFFEC1D7"/>
    <w:rsid w:val="DFFED84D"/>
    <w:rsid w:val="DFFF0070"/>
    <w:rsid w:val="DFFF011C"/>
    <w:rsid w:val="DFFF0AE5"/>
    <w:rsid w:val="DFFF1895"/>
    <w:rsid w:val="DFFF21AB"/>
    <w:rsid w:val="DFFF3108"/>
    <w:rsid w:val="DFFF3431"/>
    <w:rsid w:val="DFFF36C7"/>
    <w:rsid w:val="DFFF3D78"/>
    <w:rsid w:val="DFFF40E6"/>
    <w:rsid w:val="DFFF49F1"/>
    <w:rsid w:val="DFFF655A"/>
    <w:rsid w:val="DFFF66D0"/>
    <w:rsid w:val="DFFF77E5"/>
    <w:rsid w:val="DFFF7999"/>
    <w:rsid w:val="DFFF7D6D"/>
    <w:rsid w:val="DFFF8652"/>
    <w:rsid w:val="DFFFAA50"/>
    <w:rsid w:val="DFFFB32B"/>
    <w:rsid w:val="DFFFB4F9"/>
    <w:rsid w:val="DFFFBD8B"/>
    <w:rsid w:val="DFFFC60C"/>
    <w:rsid w:val="DFFFD766"/>
    <w:rsid w:val="DFFFD907"/>
    <w:rsid w:val="DFFFD991"/>
    <w:rsid w:val="DFFFE8E0"/>
    <w:rsid w:val="E07F16B9"/>
    <w:rsid w:val="E0A719CE"/>
    <w:rsid w:val="E0C25EBE"/>
    <w:rsid w:val="E13F2DF0"/>
    <w:rsid w:val="E1A1C985"/>
    <w:rsid w:val="E1C70BB5"/>
    <w:rsid w:val="E1DBA705"/>
    <w:rsid w:val="E1DBF019"/>
    <w:rsid w:val="E1FDB0D6"/>
    <w:rsid w:val="E1FFCA1E"/>
    <w:rsid w:val="E265C932"/>
    <w:rsid w:val="E2BA3796"/>
    <w:rsid w:val="E2DBF668"/>
    <w:rsid w:val="E2DF6A8E"/>
    <w:rsid w:val="E2ECB960"/>
    <w:rsid w:val="E2FF1EB1"/>
    <w:rsid w:val="E337AEA3"/>
    <w:rsid w:val="E33D723D"/>
    <w:rsid w:val="E34FD4A1"/>
    <w:rsid w:val="E357ADE9"/>
    <w:rsid w:val="E36FB9A7"/>
    <w:rsid w:val="E3792A2D"/>
    <w:rsid w:val="E37F617E"/>
    <w:rsid w:val="E38F856E"/>
    <w:rsid w:val="E39D19EC"/>
    <w:rsid w:val="E39DBE7A"/>
    <w:rsid w:val="E3B99E8D"/>
    <w:rsid w:val="E3C1CED0"/>
    <w:rsid w:val="E3CEF0D0"/>
    <w:rsid w:val="E3DDAF37"/>
    <w:rsid w:val="E3E57AEE"/>
    <w:rsid w:val="E3F1B985"/>
    <w:rsid w:val="E3F3E0E0"/>
    <w:rsid w:val="E3FAF89F"/>
    <w:rsid w:val="E3FBC064"/>
    <w:rsid w:val="E3FE32E0"/>
    <w:rsid w:val="E3FF246C"/>
    <w:rsid w:val="E3FF3755"/>
    <w:rsid w:val="E3FFD751"/>
    <w:rsid w:val="E42B49B0"/>
    <w:rsid w:val="E4671255"/>
    <w:rsid w:val="E47BF535"/>
    <w:rsid w:val="E4B5C602"/>
    <w:rsid w:val="E4EB39AC"/>
    <w:rsid w:val="E4F7B2F6"/>
    <w:rsid w:val="E55FDFCA"/>
    <w:rsid w:val="E56B5658"/>
    <w:rsid w:val="E56DC6D0"/>
    <w:rsid w:val="E56DDA29"/>
    <w:rsid w:val="E56FB481"/>
    <w:rsid w:val="E57B407C"/>
    <w:rsid w:val="E57F61B6"/>
    <w:rsid w:val="E57FF97F"/>
    <w:rsid w:val="E5ABFAB4"/>
    <w:rsid w:val="E5AF3B7E"/>
    <w:rsid w:val="E5AF5F8D"/>
    <w:rsid w:val="E5BBFF27"/>
    <w:rsid w:val="E5E4BA3B"/>
    <w:rsid w:val="E5EB738C"/>
    <w:rsid w:val="E5ED8395"/>
    <w:rsid w:val="E5EE23DD"/>
    <w:rsid w:val="E5EF2C5D"/>
    <w:rsid w:val="E5EFA533"/>
    <w:rsid w:val="E5F2ABA1"/>
    <w:rsid w:val="E5F76AF3"/>
    <w:rsid w:val="E5FB309E"/>
    <w:rsid w:val="E5FB62A2"/>
    <w:rsid w:val="E5FE283E"/>
    <w:rsid w:val="E5FF4189"/>
    <w:rsid w:val="E5FFB472"/>
    <w:rsid w:val="E616BE79"/>
    <w:rsid w:val="E62EE173"/>
    <w:rsid w:val="E634E3AA"/>
    <w:rsid w:val="E6393671"/>
    <w:rsid w:val="E65D197D"/>
    <w:rsid w:val="E6774F49"/>
    <w:rsid w:val="E677BD56"/>
    <w:rsid w:val="E67DC7C4"/>
    <w:rsid w:val="E67FB700"/>
    <w:rsid w:val="E6B3FA30"/>
    <w:rsid w:val="E6B9264C"/>
    <w:rsid w:val="E6BCA42C"/>
    <w:rsid w:val="E6BDFD87"/>
    <w:rsid w:val="E6BF5781"/>
    <w:rsid w:val="E6C787B1"/>
    <w:rsid w:val="E6CA7982"/>
    <w:rsid w:val="E6CF658B"/>
    <w:rsid w:val="E6D62A01"/>
    <w:rsid w:val="E6DBB5F6"/>
    <w:rsid w:val="E6E582F8"/>
    <w:rsid w:val="E6F5AA46"/>
    <w:rsid w:val="E6FED4C9"/>
    <w:rsid w:val="E6FF370F"/>
    <w:rsid w:val="E6FF5325"/>
    <w:rsid w:val="E6FF61E1"/>
    <w:rsid w:val="E6FF9414"/>
    <w:rsid w:val="E6FFA813"/>
    <w:rsid w:val="E6FFECA0"/>
    <w:rsid w:val="E6FFEDCF"/>
    <w:rsid w:val="E7172DC0"/>
    <w:rsid w:val="E72F28A4"/>
    <w:rsid w:val="E73E0164"/>
    <w:rsid w:val="E73F53D0"/>
    <w:rsid w:val="E73FD94E"/>
    <w:rsid w:val="E756B86A"/>
    <w:rsid w:val="E75BE991"/>
    <w:rsid w:val="E769D9D9"/>
    <w:rsid w:val="E76D4A46"/>
    <w:rsid w:val="E772F4A5"/>
    <w:rsid w:val="E7735B26"/>
    <w:rsid w:val="E777B85D"/>
    <w:rsid w:val="E777CE3E"/>
    <w:rsid w:val="E77AD407"/>
    <w:rsid w:val="E77BDD79"/>
    <w:rsid w:val="E77D81BE"/>
    <w:rsid w:val="E77F64D4"/>
    <w:rsid w:val="E77F6A46"/>
    <w:rsid w:val="E78AD130"/>
    <w:rsid w:val="E78B3AD5"/>
    <w:rsid w:val="E79B56B0"/>
    <w:rsid w:val="E79D2BB9"/>
    <w:rsid w:val="E7A753DA"/>
    <w:rsid w:val="E7ACEC5C"/>
    <w:rsid w:val="E7AF5150"/>
    <w:rsid w:val="E7BB6347"/>
    <w:rsid w:val="E7BBC293"/>
    <w:rsid w:val="E7BBE8A1"/>
    <w:rsid w:val="E7BCEC0F"/>
    <w:rsid w:val="E7BD13DB"/>
    <w:rsid w:val="E7BD16A7"/>
    <w:rsid w:val="E7BE00D6"/>
    <w:rsid w:val="E7CB5D09"/>
    <w:rsid w:val="E7D964A6"/>
    <w:rsid w:val="E7DCEC7C"/>
    <w:rsid w:val="E7DEAF7E"/>
    <w:rsid w:val="E7DF22B8"/>
    <w:rsid w:val="E7E5462E"/>
    <w:rsid w:val="E7E71DAE"/>
    <w:rsid w:val="E7E73733"/>
    <w:rsid w:val="E7EB43A2"/>
    <w:rsid w:val="E7EE1887"/>
    <w:rsid w:val="E7EF75A2"/>
    <w:rsid w:val="E7EFC4BE"/>
    <w:rsid w:val="E7F021EB"/>
    <w:rsid w:val="E7F35565"/>
    <w:rsid w:val="E7F79327"/>
    <w:rsid w:val="E7F7C333"/>
    <w:rsid w:val="E7F9EDC7"/>
    <w:rsid w:val="E7FB29DD"/>
    <w:rsid w:val="E7FB4869"/>
    <w:rsid w:val="E7FCDD4D"/>
    <w:rsid w:val="E7FD4ABF"/>
    <w:rsid w:val="E7FD8121"/>
    <w:rsid w:val="E7FD863A"/>
    <w:rsid w:val="E7FDF347"/>
    <w:rsid w:val="E7FED3ED"/>
    <w:rsid w:val="E7FF29DD"/>
    <w:rsid w:val="E7FF5CE4"/>
    <w:rsid w:val="E7FF6DF7"/>
    <w:rsid w:val="E7FF7EC0"/>
    <w:rsid w:val="E7FF99E1"/>
    <w:rsid w:val="E7FFAD2F"/>
    <w:rsid w:val="E7FFAFF7"/>
    <w:rsid w:val="E7FFB88B"/>
    <w:rsid w:val="E7FFD252"/>
    <w:rsid w:val="E7FFD33C"/>
    <w:rsid w:val="E7FFF133"/>
    <w:rsid w:val="E832C1C4"/>
    <w:rsid w:val="E85EE5A0"/>
    <w:rsid w:val="E87C2DD7"/>
    <w:rsid w:val="E87DDFF4"/>
    <w:rsid w:val="E8BD37DC"/>
    <w:rsid w:val="E8D98B77"/>
    <w:rsid w:val="E8EBB4B4"/>
    <w:rsid w:val="E8FEBD62"/>
    <w:rsid w:val="E8FFD978"/>
    <w:rsid w:val="E8FFF535"/>
    <w:rsid w:val="E92B1532"/>
    <w:rsid w:val="E972F262"/>
    <w:rsid w:val="E97B6405"/>
    <w:rsid w:val="E97F21CB"/>
    <w:rsid w:val="E9A5F0AD"/>
    <w:rsid w:val="E9A6B4F7"/>
    <w:rsid w:val="E9AF4601"/>
    <w:rsid w:val="E9BFB063"/>
    <w:rsid w:val="E9DF448F"/>
    <w:rsid w:val="E9F71EFB"/>
    <w:rsid w:val="E9FB2F63"/>
    <w:rsid w:val="E9FCA477"/>
    <w:rsid w:val="E9FE202B"/>
    <w:rsid w:val="E9FF2D06"/>
    <w:rsid w:val="E9FF3317"/>
    <w:rsid w:val="E9FF6551"/>
    <w:rsid w:val="E9FFD83D"/>
    <w:rsid w:val="EA269726"/>
    <w:rsid w:val="EA7F4999"/>
    <w:rsid w:val="EA7F8CEC"/>
    <w:rsid w:val="EA7FAC20"/>
    <w:rsid w:val="EA8A5301"/>
    <w:rsid w:val="EA9F605C"/>
    <w:rsid w:val="EAB92488"/>
    <w:rsid w:val="EABF9AF8"/>
    <w:rsid w:val="EABFCAC8"/>
    <w:rsid w:val="EADAF39D"/>
    <w:rsid w:val="EAEB56E3"/>
    <w:rsid w:val="EAEE8709"/>
    <w:rsid w:val="EAEF3585"/>
    <w:rsid w:val="EAF7A134"/>
    <w:rsid w:val="EAF9403F"/>
    <w:rsid w:val="EAFA3F93"/>
    <w:rsid w:val="EAFBB28E"/>
    <w:rsid w:val="EAFE2BDF"/>
    <w:rsid w:val="EAFE6F13"/>
    <w:rsid w:val="EAFECD5D"/>
    <w:rsid w:val="EAFF4821"/>
    <w:rsid w:val="EAFF6293"/>
    <w:rsid w:val="EAFF6317"/>
    <w:rsid w:val="EAFF63A3"/>
    <w:rsid w:val="EAFF78A1"/>
    <w:rsid w:val="EB1F6071"/>
    <w:rsid w:val="EB2D5D56"/>
    <w:rsid w:val="EB39E8A1"/>
    <w:rsid w:val="EB4C2105"/>
    <w:rsid w:val="EB4DBFB7"/>
    <w:rsid w:val="EB541220"/>
    <w:rsid w:val="EB5D26A5"/>
    <w:rsid w:val="EB5D3DB5"/>
    <w:rsid w:val="EB5EFD86"/>
    <w:rsid w:val="EB5F0D1E"/>
    <w:rsid w:val="EB67ACE4"/>
    <w:rsid w:val="EB6BD3C2"/>
    <w:rsid w:val="EB6CD605"/>
    <w:rsid w:val="EB6D8945"/>
    <w:rsid w:val="EB6DBBCA"/>
    <w:rsid w:val="EB6F22AA"/>
    <w:rsid w:val="EB732B86"/>
    <w:rsid w:val="EB772182"/>
    <w:rsid w:val="EB7795DB"/>
    <w:rsid w:val="EB7A2FFF"/>
    <w:rsid w:val="EB7BDD08"/>
    <w:rsid w:val="EB7C10AF"/>
    <w:rsid w:val="EB7D0A62"/>
    <w:rsid w:val="EB7D0E32"/>
    <w:rsid w:val="EB7F7067"/>
    <w:rsid w:val="EB8B2E52"/>
    <w:rsid w:val="EB8DC890"/>
    <w:rsid w:val="EB8FC7E6"/>
    <w:rsid w:val="EB9D80CD"/>
    <w:rsid w:val="EB9FF3D6"/>
    <w:rsid w:val="EBAB102D"/>
    <w:rsid w:val="EBAD621B"/>
    <w:rsid w:val="EBB72038"/>
    <w:rsid w:val="EBB759A1"/>
    <w:rsid w:val="EBB7ADFE"/>
    <w:rsid w:val="EBBC0EF2"/>
    <w:rsid w:val="EBBF88B2"/>
    <w:rsid w:val="EBBF8C13"/>
    <w:rsid w:val="EBBF8D4D"/>
    <w:rsid w:val="EBC3111C"/>
    <w:rsid w:val="EBCEA9D6"/>
    <w:rsid w:val="EBD42306"/>
    <w:rsid w:val="EBD925B5"/>
    <w:rsid w:val="EBD9E155"/>
    <w:rsid w:val="EBDE3AB0"/>
    <w:rsid w:val="EBDF2B88"/>
    <w:rsid w:val="EBEAD5F4"/>
    <w:rsid w:val="EBEC7508"/>
    <w:rsid w:val="EBEC96BF"/>
    <w:rsid w:val="EBEF2C8F"/>
    <w:rsid w:val="EBEF2ECF"/>
    <w:rsid w:val="EBEF8F4F"/>
    <w:rsid w:val="EBEFBF65"/>
    <w:rsid w:val="EBF1941C"/>
    <w:rsid w:val="EBF30419"/>
    <w:rsid w:val="EBF641E2"/>
    <w:rsid w:val="EBF77332"/>
    <w:rsid w:val="EBFBF2C8"/>
    <w:rsid w:val="EBFE167A"/>
    <w:rsid w:val="EBFE6459"/>
    <w:rsid w:val="EBFF2E40"/>
    <w:rsid w:val="EBFF485C"/>
    <w:rsid w:val="EBFF5536"/>
    <w:rsid w:val="EBFF66AE"/>
    <w:rsid w:val="EBFF6ACF"/>
    <w:rsid w:val="EBFF92D1"/>
    <w:rsid w:val="EBFFB92F"/>
    <w:rsid w:val="EBFFEF55"/>
    <w:rsid w:val="EC5F30E9"/>
    <w:rsid w:val="EC67BBBB"/>
    <w:rsid w:val="EC6F42E7"/>
    <w:rsid w:val="EC7B3B33"/>
    <w:rsid w:val="EC7E1816"/>
    <w:rsid w:val="EC812DE8"/>
    <w:rsid w:val="EC8B62B4"/>
    <w:rsid w:val="EC9F1524"/>
    <w:rsid w:val="EC9FDB74"/>
    <w:rsid w:val="ECAE8611"/>
    <w:rsid w:val="ECAF5580"/>
    <w:rsid w:val="ECB53291"/>
    <w:rsid w:val="ECBDBEDF"/>
    <w:rsid w:val="ECBF8A5E"/>
    <w:rsid w:val="ECC949F4"/>
    <w:rsid w:val="ECCF5816"/>
    <w:rsid w:val="ECCF89DA"/>
    <w:rsid w:val="ECD72DA3"/>
    <w:rsid w:val="ECDF6B1C"/>
    <w:rsid w:val="ECDFD509"/>
    <w:rsid w:val="ECEF931C"/>
    <w:rsid w:val="ECF6CBFD"/>
    <w:rsid w:val="ECF735BC"/>
    <w:rsid w:val="ECFB6C87"/>
    <w:rsid w:val="ECFF50CE"/>
    <w:rsid w:val="ECFF99C1"/>
    <w:rsid w:val="ED3DD075"/>
    <w:rsid w:val="ED5FEC22"/>
    <w:rsid w:val="ED5FFE23"/>
    <w:rsid w:val="ED67F3C2"/>
    <w:rsid w:val="ED6FA167"/>
    <w:rsid w:val="ED709D68"/>
    <w:rsid w:val="ED759696"/>
    <w:rsid w:val="ED773353"/>
    <w:rsid w:val="ED778CAE"/>
    <w:rsid w:val="ED78ED7C"/>
    <w:rsid w:val="ED7D6BB9"/>
    <w:rsid w:val="ED7DE42C"/>
    <w:rsid w:val="ED7EB483"/>
    <w:rsid w:val="ED7F0AB2"/>
    <w:rsid w:val="ED7FDEF3"/>
    <w:rsid w:val="ED851421"/>
    <w:rsid w:val="ED9DDCEA"/>
    <w:rsid w:val="ED9FA1F7"/>
    <w:rsid w:val="EDAB3A96"/>
    <w:rsid w:val="EDAF18EE"/>
    <w:rsid w:val="EDAF4982"/>
    <w:rsid w:val="EDAF5EBB"/>
    <w:rsid w:val="EDAF62E2"/>
    <w:rsid w:val="EDAFF810"/>
    <w:rsid w:val="EDB36FFF"/>
    <w:rsid w:val="EDB3DA1C"/>
    <w:rsid w:val="EDB7E3DF"/>
    <w:rsid w:val="EDBDCA2F"/>
    <w:rsid w:val="EDBF17FC"/>
    <w:rsid w:val="EDCB4464"/>
    <w:rsid w:val="EDCC4C70"/>
    <w:rsid w:val="EDCD6489"/>
    <w:rsid w:val="EDCFADB8"/>
    <w:rsid w:val="EDCFD7D2"/>
    <w:rsid w:val="EDD53B94"/>
    <w:rsid w:val="EDD594CA"/>
    <w:rsid w:val="EDD76A76"/>
    <w:rsid w:val="EDD7C73D"/>
    <w:rsid w:val="EDDB21B4"/>
    <w:rsid w:val="EDDB3664"/>
    <w:rsid w:val="EDDBE6CD"/>
    <w:rsid w:val="EDDDAB04"/>
    <w:rsid w:val="EDDF155B"/>
    <w:rsid w:val="EDDF3550"/>
    <w:rsid w:val="EDDFED59"/>
    <w:rsid w:val="EDDFFF57"/>
    <w:rsid w:val="EDE61F6D"/>
    <w:rsid w:val="EDE80DF5"/>
    <w:rsid w:val="EDEA5D73"/>
    <w:rsid w:val="EDEEC156"/>
    <w:rsid w:val="EDEF2327"/>
    <w:rsid w:val="EDEF728D"/>
    <w:rsid w:val="EDEF893E"/>
    <w:rsid w:val="EDEF9687"/>
    <w:rsid w:val="EDEFE015"/>
    <w:rsid w:val="EDF26F17"/>
    <w:rsid w:val="EDF3143F"/>
    <w:rsid w:val="EDF43ADB"/>
    <w:rsid w:val="EDF76549"/>
    <w:rsid w:val="EDF95146"/>
    <w:rsid w:val="EDF956BC"/>
    <w:rsid w:val="EDF9957C"/>
    <w:rsid w:val="EDFCC914"/>
    <w:rsid w:val="EDFD312E"/>
    <w:rsid w:val="EDFD931C"/>
    <w:rsid w:val="EDFDC2E4"/>
    <w:rsid w:val="EDFF257C"/>
    <w:rsid w:val="EDFF3402"/>
    <w:rsid w:val="EDFF8455"/>
    <w:rsid w:val="EDFF8E10"/>
    <w:rsid w:val="EDFF9C00"/>
    <w:rsid w:val="EDFFAA21"/>
    <w:rsid w:val="EDFFEB6A"/>
    <w:rsid w:val="EDFFFCED"/>
    <w:rsid w:val="EE1F63A5"/>
    <w:rsid w:val="EE2197D1"/>
    <w:rsid w:val="EE2E6BC4"/>
    <w:rsid w:val="EE333CFC"/>
    <w:rsid w:val="EE375989"/>
    <w:rsid w:val="EE3D321F"/>
    <w:rsid w:val="EE3D93E7"/>
    <w:rsid w:val="EE3EB453"/>
    <w:rsid w:val="EE4F2873"/>
    <w:rsid w:val="EE4F7F10"/>
    <w:rsid w:val="EE5EA162"/>
    <w:rsid w:val="EE5F8FCC"/>
    <w:rsid w:val="EE63E4ED"/>
    <w:rsid w:val="EE6D2F97"/>
    <w:rsid w:val="EE6D81E8"/>
    <w:rsid w:val="EE6F0E41"/>
    <w:rsid w:val="EE6F95AF"/>
    <w:rsid w:val="EE771911"/>
    <w:rsid w:val="EE7CD22E"/>
    <w:rsid w:val="EE7D9E93"/>
    <w:rsid w:val="EE7F0896"/>
    <w:rsid w:val="EE7F5C99"/>
    <w:rsid w:val="EE7FB41C"/>
    <w:rsid w:val="EE7FB57D"/>
    <w:rsid w:val="EE7FB97D"/>
    <w:rsid w:val="EE7FDA8B"/>
    <w:rsid w:val="EE7FE91A"/>
    <w:rsid w:val="EE8F180C"/>
    <w:rsid w:val="EE8F990B"/>
    <w:rsid w:val="EE93A29A"/>
    <w:rsid w:val="EE9FA6D0"/>
    <w:rsid w:val="EEABD31A"/>
    <w:rsid w:val="EEB53E56"/>
    <w:rsid w:val="EEBBFC0C"/>
    <w:rsid w:val="EEBD343C"/>
    <w:rsid w:val="EEBE1964"/>
    <w:rsid w:val="EEC42099"/>
    <w:rsid w:val="EEC76218"/>
    <w:rsid w:val="EECA16E4"/>
    <w:rsid w:val="EECF0057"/>
    <w:rsid w:val="EECF951D"/>
    <w:rsid w:val="EED6A1BF"/>
    <w:rsid w:val="EED7A4FC"/>
    <w:rsid w:val="EED7AE6E"/>
    <w:rsid w:val="EEDA7991"/>
    <w:rsid w:val="EEDE80F3"/>
    <w:rsid w:val="EEDEFB22"/>
    <w:rsid w:val="EEE24ADB"/>
    <w:rsid w:val="EEE4B49B"/>
    <w:rsid w:val="EEE71A68"/>
    <w:rsid w:val="EEEAC818"/>
    <w:rsid w:val="EEEB5DB2"/>
    <w:rsid w:val="EEED05F9"/>
    <w:rsid w:val="EEF32D55"/>
    <w:rsid w:val="EEF3E258"/>
    <w:rsid w:val="EEF6DF70"/>
    <w:rsid w:val="EEF7C27B"/>
    <w:rsid w:val="EEF94DD6"/>
    <w:rsid w:val="EEFA76F0"/>
    <w:rsid w:val="EEFB9A03"/>
    <w:rsid w:val="EEFBA2C8"/>
    <w:rsid w:val="EEFBE1A2"/>
    <w:rsid w:val="EEFBE6AE"/>
    <w:rsid w:val="EEFC2A90"/>
    <w:rsid w:val="EEFDA814"/>
    <w:rsid w:val="EEFE18DC"/>
    <w:rsid w:val="EEFEAAB5"/>
    <w:rsid w:val="EEFF287E"/>
    <w:rsid w:val="EEFF478E"/>
    <w:rsid w:val="EEFF9C12"/>
    <w:rsid w:val="EEFFA513"/>
    <w:rsid w:val="EEFFADA4"/>
    <w:rsid w:val="EEFFAF0D"/>
    <w:rsid w:val="EEFFCADF"/>
    <w:rsid w:val="EEFFD3BA"/>
    <w:rsid w:val="EEFFED9A"/>
    <w:rsid w:val="EF13C05E"/>
    <w:rsid w:val="EF143548"/>
    <w:rsid w:val="EF1F4175"/>
    <w:rsid w:val="EF25B9B7"/>
    <w:rsid w:val="EF27C4B2"/>
    <w:rsid w:val="EF2E7204"/>
    <w:rsid w:val="EF33D010"/>
    <w:rsid w:val="EF360AD2"/>
    <w:rsid w:val="EF3DFE3F"/>
    <w:rsid w:val="EF3E2CED"/>
    <w:rsid w:val="EF3E5AA3"/>
    <w:rsid w:val="EF4BC36B"/>
    <w:rsid w:val="EF5ACD3F"/>
    <w:rsid w:val="EF5B4879"/>
    <w:rsid w:val="EF5E03FE"/>
    <w:rsid w:val="EF5E2EE1"/>
    <w:rsid w:val="EF5EC204"/>
    <w:rsid w:val="EF62A161"/>
    <w:rsid w:val="EF64D835"/>
    <w:rsid w:val="EF655688"/>
    <w:rsid w:val="EF6AEBFB"/>
    <w:rsid w:val="EF6FAA2F"/>
    <w:rsid w:val="EF7429A9"/>
    <w:rsid w:val="EF771BD0"/>
    <w:rsid w:val="EF7728C9"/>
    <w:rsid w:val="EF77486F"/>
    <w:rsid w:val="EF78A42B"/>
    <w:rsid w:val="EF79B398"/>
    <w:rsid w:val="EF7A0BE2"/>
    <w:rsid w:val="EF7A9F4A"/>
    <w:rsid w:val="EF7B2BC5"/>
    <w:rsid w:val="EF7BB2DB"/>
    <w:rsid w:val="EF7C78B7"/>
    <w:rsid w:val="EF7E5D43"/>
    <w:rsid w:val="EF7EA8D4"/>
    <w:rsid w:val="EF7F3D72"/>
    <w:rsid w:val="EF7F680B"/>
    <w:rsid w:val="EF7FA449"/>
    <w:rsid w:val="EF7FC2EE"/>
    <w:rsid w:val="EF7FD99D"/>
    <w:rsid w:val="EF857295"/>
    <w:rsid w:val="EF8BA135"/>
    <w:rsid w:val="EF8CE750"/>
    <w:rsid w:val="EF8FB65B"/>
    <w:rsid w:val="EF9B5BC5"/>
    <w:rsid w:val="EF9BD442"/>
    <w:rsid w:val="EF9D3B7C"/>
    <w:rsid w:val="EF9E1EEC"/>
    <w:rsid w:val="EF9F0D5D"/>
    <w:rsid w:val="EF9FD2F3"/>
    <w:rsid w:val="EFA3F03D"/>
    <w:rsid w:val="EFAB6527"/>
    <w:rsid w:val="EFADBC84"/>
    <w:rsid w:val="EFAE6F29"/>
    <w:rsid w:val="EFAEC649"/>
    <w:rsid w:val="EFAF6965"/>
    <w:rsid w:val="EFAFDCD6"/>
    <w:rsid w:val="EFB254D5"/>
    <w:rsid w:val="EFB711E0"/>
    <w:rsid w:val="EFB92EF7"/>
    <w:rsid w:val="EFBD476A"/>
    <w:rsid w:val="EFBDC0A2"/>
    <w:rsid w:val="EFBDD01C"/>
    <w:rsid w:val="EFBEB629"/>
    <w:rsid w:val="EFBF2111"/>
    <w:rsid w:val="EFBF3961"/>
    <w:rsid w:val="EFBF41CA"/>
    <w:rsid w:val="EFBF8076"/>
    <w:rsid w:val="EFBF9CF3"/>
    <w:rsid w:val="EFBFA404"/>
    <w:rsid w:val="EFBFE9E2"/>
    <w:rsid w:val="EFC7DB66"/>
    <w:rsid w:val="EFC95776"/>
    <w:rsid w:val="EFC9DB9F"/>
    <w:rsid w:val="EFCBC9B5"/>
    <w:rsid w:val="EFCEEE42"/>
    <w:rsid w:val="EFCF0A16"/>
    <w:rsid w:val="EFCF8863"/>
    <w:rsid w:val="EFCF961B"/>
    <w:rsid w:val="EFCF98B5"/>
    <w:rsid w:val="EFCFB2EB"/>
    <w:rsid w:val="EFCFB3C4"/>
    <w:rsid w:val="EFD414AB"/>
    <w:rsid w:val="EFD432C4"/>
    <w:rsid w:val="EFD49262"/>
    <w:rsid w:val="EFD622DD"/>
    <w:rsid w:val="EFD9DF07"/>
    <w:rsid w:val="EFDA7514"/>
    <w:rsid w:val="EFDB09E1"/>
    <w:rsid w:val="EFDB0DFB"/>
    <w:rsid w:val="EFDBF9E2"/>
    <w:rsid w:val="EFDC071D"/>
    <w:rsid w:val="EFDC58BB"/>
    <w:rsid w:val="EFDDA5BC"/>
    <w:rsid w:val="EFDE6CF6"/>
    <w:rsid w:val="EFDF0221"/>
    <w:rsid w:val="EFDF6665"/>
    <w:rsid w:val="EFDF779C"/>
    <w:rsid w:val="EFDF80A5"/>
    <w:rsid w:val="EFDF9592"/>
    <w:rsid w:val="EFDFB724"/>
    <w:rsid w:val="EFE33BDB"/>
    <w:rsid w:val="EFE33DF3"/>
    <w:rsid w:val="EFE6136B"/>
    <w:rsid w:val="EFE66850"/>
    <w:rsid w:val="EFE69BA8"/>
    <w:rsid w:val="EFE69BD1"/>
    <w:rsid w:val="EFEB9936"/>
    <w:rsid w:val="EFEF0821"/>
    <w:rsid w:val="EFEF10E2"/>
    <w:rsid w:val="EFEF3E0B"/>
    <w:rsid w:val="EFEF60FF"/>
    <w:rsid w:val="EFEF8002"/>
    <w:rsid w:val="EFEFD532"/>
    <w:rsid w:val="EFF08EB2"/>
    <w:rsid w:val="EFF0AECF"/>
    <w:rsid w:val="EFF20C1F"/>
    <w:rsid w:val="EFF34EB9"/>
    <w:rsid w:val="EFF37D2B"/>
    <w:rsid w:val="EFF3A647"/>
    <w:rsid w:val="EFF42356"/>
    <w:rsid w:val="EFF43B8D"/>
    <w:rsid w:val="EFF545BE"/>
    <w:rsid w:val="EFF58C2D"/>
    <w:rsid w:val="EFF5970D"/>
    <w:rsid w:val="EFF5E7F1"/>
    <w:rsid w:val="EFF61A7A"/>
    <w:rsid w:val="EFF6240B"/>
    <w:rsid w:val="EFF65C0A"/>
    <w:rsid w:val="EFF6B523"/>
    <w:rsid w:val="EFF6E081"/>
    <w:rsid w:val="EFF6ED26"/>
    <w:rsid w:val="EFF712BA"/>
    <w:rsid w:val="EFF7242D"/>
    <w:rsid w:val="EFF72CA9"/>
    <w:rsid w:val="EFF735CE"/>
    <w:rsid w:val="EFF75187"/>
    <w:rsid w:val="EFF774DA"/>
    <w:rsid w:val="EFF7DA41"/>
    <w:rsid w:val="EFF7F7FA"/>
    <w:rsid w:val="EFF7FE69"/>
    <w:rsid w:val="EFF8CDDD"/>
    <w:rsid w:val="EFF8EEE6"/>
    <w:rsid w:val="EFF933DE"/>
    <w:rsid w:val="EFF99FFB"/>
    <w:rsid w:val="EFFA2A33"/>
    <w:rsid w:val="EFFAB8CF"/>
    <w:rsid w:val="EFFB1D7B"/>
    <w:rsid w:val="EFFB2C65"/>
    <w:rsid w:val="EFFB8516"/>
    <w:rsid w:val="EFFB8633"/>
    <w:rsid w:val="EFFBA2FA"/>
    <w:rsid w:val="EFFBA88A"/>
    <w:rsid w:val="EFFBD43A"/>
    <w:rsid w:val="EFFBEBEC"/>
    <w:rsid w:val="EFFC925A"/>
    <w:rsid w:val="EFFCBEA6"/>
    <w:rsid w:val="EFFD131B"/>
    <w:rsid w:val="EFFD5388"/>
    <w:rsid w:val="EFFD9B3B"/>
    <w:rsid w:val="EFFDCF2F"/>
    <w:rsid w:val="EFFDEB49"/>
    <w:rsid w:val="EFFE0F21"/>
    <w:rsid w:val="EFFE8F20"/>
    <w:rsid w:val="EFFEBE4F"/>
    <w:rsid w:val="EFFED77A"/>
    <w:rsid w:val="EFFF02B5"/>
    <w:rsid w:val="EFFF07C5"/>
    <w:rsid w:val="EFFF3720"/>
    <w:rsid w:val="EFFF525B"/>
    <w:rsid w:val="EFFF6A63"/>
    <w:rsid w:val="EFFF736E"/>
    <w:rsid w:val="EFFF91B0"/>
    <w:rsid w:val="EFFF9889"/>
    <w:rsid w:val="EFFFAE0B"/>
    <w:rsid w:val="EFFFB175"/>
    <w:rsid w:val="EFFFB2A9"/>
    <w:rsid w:val="EFFFC603"/>
    <w:rsid w:val="EFFFC83F"/>
    <w:rsid w:val="EFFFCA04"/>
    <w:rsid w:val="EFFFD1AF"/>
    <w:rsid w:val="EFFFD2C1"/>
    <w:rsid w:val="EFFFDA27"/>
    <w:rsid w:val="EFFFDC7D"/>
    <w:rsid w:val="EFFFEE47"/>
    <w:rsid w:val="EFFFFCFD"/>
    <w:rsid w:val="F04FC9C8"/>
    <w:rsid w:val="F09CD96D"/>
    <w:rsid w:val="F0AF59DC"/>
    <w:rsid w:val="F0B20CB5"/>
    <w:rsid w:val="F0EF8EA8"/>
    <w:rsid w:val="F0F8F85C"/>
    <w:rsid w:val="F10F4D90"/>
    <w:rsid w:val="F11E2761"/>
    <w:rsid w:val="F13DBAF8"/>
    <w:rsid w:val="F13F9466"/>
    <w:rsid w:val="F14E1DD5"/>
    <w:rsid w:val="F156E6C1"/>
    <w:rsid w:val="F176DA22"/>
    <w:rsid w:val="F17BA6C6"/>
    <w:rsid w:val="F17D55AD"/>
    <w:rsid w:val="F193B004"/>
    <w:rsid w:val="F19EC60A"/>
    <w:rsid w:val="F1AE2896"/>
    <w:rsid w:val="F1B0740A"/>
    <w:rsid w:val="F1D71358"/>
    <w:rsid w:val="F1D9A580"/>
    <w:rsid w:val="F1DD3B7D"/>
    <w:rsid w:val="F1DE6948"/>
    <w:rsid w:val="F1DE8D58"/>
    <w:rsid w:val="F1EA233B"/>
    <w:rsid w:val="F1EB3C6F"/>
    <w:rsid w:val="F1ED24DC"/>
    <w:rsid w:val="F1EDB219"/>
    <w:rsid w:val="F1EFBAC7"/>
    <w:rsid w:val="F1F28EB1"/>
    <w:rsid w:val="F1F717F1"/>
    <w:rsid w:val="F1FDB219"/>
    <w:rsid w:val="F1FDBB8A"/>
    <w:rsid w:val="F1FDDB38"/>
    <w:rsid w:val="F1FE1F1A"/>
    <w:rsid w:val="F1FE4708"/>
    <w:rsid w:val="F1FF5390"/>
    <w:rsid w:val="F1FFD708"/>
    <w:rsid w:val="F1FFEB69"/>
    <w:rsid w:val="F21C3C25"/>
    <w:rsid w:val="F21EF5C8"/>
    <w:rsid w:val="F247BFAC"/>
    <w:rsid w:val="F24F7FA4"/>
    <w:rsid w:val="F2573D5E"/>
    <w:rsid w:val="F25E79DD"/>
    <w:rsid w:val="F26F0AAA"/>
    <w:rsid w:val="F27BC1E5"/>
    <w:rsid w:val="F27DA8A6"/>
    <w:rsid w:val="F27EFCD5"/>
    <w:rsid w:val="F29F179E"/>
    <w:rsid w:val="F2B88E17"/>
    <w:rsid w:val="F2CFF906"/>
    <w:rsid w:val="F2DD9378"/>
    <w:rsid w:val="F2E7BFF0"/>
    <w:rsid w:val="F2EBEDAD"/>
    <w:rsid w:val="F2F9E9F8"/>
    <w:rsid w:val="F2FE371F"/>
    <w:rsid w:val="F2FF0814"/>
    <w:rsid w:val="F337BED3"/>
    <w:rsid w:val="F337D31B"/>
    <w:rsid w:val="F33D90D8"/>
    <w:rsid w:val="F33E0812"/>
    <w:rsid w:val="F33F1E71"/>
    <w:rsid w:val="F34ED2BF"/>
    <w:rsid w:val="F3571224"/>
    <w:rsid w:val="F35E1444"/>
    <w:rsid w:val="F36D0B32"/>
    <w:rsid w:val="F36D49D6"/>
    <w:rsid w:val="F36F3F99"/>
    <w:rsid w:val="F36FAE75"/>
    <w:rsid w:val="F377E303"/>
    <w:rsid w:val="F3790884"/>
    <w:rsid w:val="F37BF24F"/>
    <w:rsid w:val="F37D0922"/>
    <w:rsid w:val="F38D895D"/>
    <w:rsid w:val="F395740D"/>
    <w:rsid w:val="F395CBBD"/>
    <w:rsid w:val="F3979F33"/>
    <w:rsid w:val="F39D05F0"/>
    <w:rsid w:val="F39F56E9"/>
    <w:rsid w:val="F39F57F5"/>
    <w:rsid w:val="F39F6F13"/>
    <w:rsid w:val="F39FF812"/>
    <w:rsid w:val="F3AB6368"/>
    <w:rsid w:val="F3AD5B33"/>
    <w:rsid w:val="F3AFE710"/>
    <w:rsid w:val="F3B79C87"/>
    <w:rsid w:val="F3B7CCE4"/>
    <w:rsid w:val="F3B7F43C"/>
    <w:rsid w:val="F3BB29C7"/>
    <w:rsid w:val="F3BF1698"/>
    <w:rsid w:val="F3BFAF75"/>
    <w:rsid w:val="F3CB87B7"/>
    <w:rsid w:val="F3CDBE7C"/>
    <w:rsid w:val="F3CFDB7B"/>
    <w:rsid w:val="F3D78D34"/>
    <w:rsid w:val="F3DBA23B"/>
    <w:rsid w:val="F3DCE038"/>
    <w:rsid w:val="F3DD56E5"/>
    <w:rsid w:val="F3DE645F"/>
    <w:rsid w:val="F3DE8DBD"/>
    <w:rsid w:val="F3DF171E"/>
    <w:rsid w:val="F3DF4E8C"/>
    <w:rsid w:val="F3DFACE8"/>
    <w:rsid w:val="F3DFAFC6"/>
    <w:rsid w:val="F3DFC6EE"/>
    <w:rsid w:val="F3E15FC5"/>
    <w:rsid w:val="F3E8E6B3"/>
    <w:rsid w:val="F3E969B3"/>
    <w:rsid w:val="F3E97E4A"/>
    <w:rsid w:val="F3ED74D5"/>
    <w:rsid w:val="F3EDBD8E"/>
    <w:rsid w:val="F3EF23D2"/>
    <w:rsid w:val="F3EF7350"/>
    <w:rsid w:val="F3EFCD2C"/>
    <w:rsid w:val="F3F124A4"/>
    <w:rsid w:val="F3F47557"/>
    <w:rsid w:val="F3F50646"/>
    <w:rsid w:val="F3F54342"/>
    <w:rsid w:val="F3F5EC6E"/>
    <w:rsid w:val="F3F79B94"/>
    <w:rsid w:val="F3F7E5BF"/>
    <w:rsid w:val="F3F99B4D"/>
    <w:rsid w:val="F3FD660B"/>
    <w:rsid w:val="F3FDDA14"/>
    <w:rsid w:val="F3FEA6F0"/>
    <w:rsid w:val="F3FED09D"/>
    <w:rsid w:val="F3FED9AB"/>
    <w:rsid w:val="F3FF0A2B"/>
    <w:rsid w:val="F3FF1E88"/>
    <w:rsid w:val="F3FF3500"/>
    <w:rsid w:val="F3FF4AAE"/>
    <w:rsid w:val="F3FFED92"/>
    <w:rsid w:val="F44C5FAA"/>
    <w:rsid w:val="F45F09F1"/>
    <w:rsid w:val="F4753D38"/>
    <w:rsid w:val="F4773F8E"/>
    <w:rsid w:val="F47F5648"/>
    <w:rsid w:val="F49E7EA5"/>
    <w:rsid w:val="F4BC1A5F"/>
    <w:rsid w:val="F4BC3EF4"/>
    <w:rsid w:val="F4BF1094"/>
    <w:rsid w:val="F4CDC2FF"/>
    <w:rsid w:val="F4DA1C69"/>
    <w:rsid w:val="F4DF8CCD"/>
    <w:rsid w:val="F4E796B4"/>
    <w:rsid w:val="F4EABB02"/>
    <w:rsid w:val="F4F6F4FF"/>
    <w:rsid w:val="F4F7DC99"/>
    <w:rsid w:val="F4FB939B"/>
    <w:rsid w:val="F4FB9767"/>
    <w:rsid w:val="F4FC646B"/>
    <w:rsid w:val="F4FD4038"/>
    <w:rsid w:val="F4FF0C6F"/>
    <w:rsid w:val="F4FF64CA"/>
    <w:rsid w:val="F4FFB4C6"/>
    <w:rsid w:val="F4FFD5FE"/>
    <w:rsid w:val="F51E6B48"/>
    <w:rsid w:val="F5210E38"/>
    <w:rsid w:val="F557F9A0"/>
    <w:rsid w:val="F55F2D5D"/>
    <w:rsid w:val="F56BA3CF"/>
    <w:rsid w:val="F56D8933"/>
    <w:rsid w:val="F577660E"/>
    <w:rsid w:val="F57BAF33"/>
    <w:rsid w:val="F57BDD45"/>
    <w:rsid w:val="F57D7CB0"/>
    <w:rsid w:val="F57EB906"/>
    <w:rsid w:val="F5924CCD"/>
    <w:rsid w:val="F59F59DD"/>
    <w:rsid w:val="F5A84F6D"/>
    <w:rsid w:val="F5B34AC6"/>
    <w:rsid w:val="F5B96DF7"/>
    <w:rsid w:val="F5BB14BD"/>
    <w:rsid w:val="F5BBB8E8"/>
    <w:rsid w:val="F5BBE445"/>
    <w:rsid w:val="F5BE7233"/>
    <w:rsid w:val="F5D5FB43"/>
    <w:rsid w:val="F5D6FBE0"/>
    <w:rsid w:val="F5DB52DB"/>
    <w:rsid w:val="F5DC1D08"/>
    <w:rsid w:val="F5DDB28A"/>
    <w:rsid w:val="F5DE399D"/>
    <w:rsid w:val="F5DF230E"/>
    <w:rsid w:val="F5DFC456"/>
    <w:rsid w:val="F5E9AD39"/>
    <w:rsid w:val="F5EE0448"/>
    <w:rsid w:val="F5EF43F2"/>
    <w:rsid w:val="F5EF5ABC"/>
    <w:rsid w:val="F5EF8E4F"/>
    <w:rsid w:val="F5EFD771"/>
    <w:rsid w:val="F5EFE6B9"/>
    <w:rsid w:val="F5F20441"/>
    <w:rsid w:val="F5F64E53"/>
    <w:rsid w:val="F5F68019"/>
    <w:rsid w:val="F5FBF020"/>
    <w:rsid w:val="F5FBFEEA"/>
    <w:rsid w:val="F5FD0D1B"/>
    <w:rsid w:val="F5FD3377"/>
    <w:rsid w:val="F5FD4B93"/>
    <w:rsid w:val="F5FD5759"/>
    <w:rsid w:val="F5FD7897"/>
    <w:rsid w:val="F5FE3877"/>
    <w:rsid w:val="F5FE79D5"/>
    <w:rsid w:val="F5FECB1F"/>
    <w:rsid w:val="F5FF1246"/>
    <w:rsid w:val="F5FF6DEE"/>
    <w:rsid w:val="F5FF7FF9"/>
    <w:rsid w:val="F5FF97C5"/>
    <w:rsid w:val="F5FFB541"/>
    <w:rsid w:val="F5FFC33A"/>
    <w:rsid w:val="F61E63DF"/>
    <w:rsid w:val="F62FC072"/>
    <w:rsid w:val="F63B6E48"/>
    <w:rsid w:val="F63BE276"/>
    <w:rsid w:val="F64FA90D"/>
    <w:rsid w:val="F65FCD97"/>
    <w:rsid w:val="F66D6F34"/>
    <w:rsid w:val="F66E9715"/>
    <w:rsid w:val="F66FA157"/>
    <w:rsid w:val="F679CC60"/>
    <w:rsid w:val="F67BE9F2"/>
    <w:rsid w:val="F67DF34B"/>
    <w:rsid w:val="F67E732F"/>
    <w:rsid w:val="F67F16AE"/>
    <w:rsid w:val="F67F75A0"/>
    <w:rsid w:val="F67FBCED"/>
    <w:rsid w:val="F68D98C8"/>
    <w:rsid w:val="F6939F15"/>
    <w:rsid w:val="F696FD30"/>
    <w:rsid w:val="F697B5DE"/>
    <w:rsid w:val="F69AD314"/>
    <w:rsid w:val="F69FF92E"/>
    <w:rsid w:val="F6A75137"/>
    <w:rsid w:val="F6B2E9FD"/>
    <w:rsid w:val="F6B3BF57"/>
    <w:rsid w:val="F6B736D4"/>
    <w:rsid w:val="F6BA26BB"/>
    <w:rsid w:val="F6BB2251"/>
    <w:rsid w:val="F6BB369E"/>
    <w:rsid w:val="F6BF37C3"/>
    <w:rsid w:val="F6BF4CF5"/>
    <w:rsid w:val="F6BF6F1D"/>
    <w:rsid w:val="F6C4D90F"/>
    <w:rsid w:val="F6D65D69"/>
    <w:rsid w:val="F6DB30F8"/>
    <w:rsid w:val="F6DB69CF"/>
    <w:rsid w:val="F6DD37F8"/>
    <w:rsid w:val="F6DE2F96"/>
    <w:rsid w:val="F6DE5F8A"/>
    <w:rsid w:val="F6DF4FFB"/>
    <w:rsid w:val="F6DF80C7"/>
    <w:rsid w:val="F6DFAF63"/>
    <w:rsid w:val="F6E3C7A6"/>
    <w:rsid w:val="F6E51D3D"/>
    <w:rsid w:val="F6E622AB"/>
    <w:rsid w:val="F6E84BE1"/>
    <w:rsid w:val="F6E9D76E"/>
    <w:rsid w:val="F6EC478C"/>
    <w:rsid w:val="F6ED86CE"/>
    <w:rsid w:val="F6EE7D9F"/>
    <w:rsid w:val="F6EECA8D"/>
    <w:rsid w:val="F6EFF383"/>
    <w:rsid w:val="F6F2FDF5"/>
    <w:rsid w:val="F6F4E844"/>
    <w:rsid w:val="F6F5FFA6"/>
    <w:rsid w:val="F6F674A1"/>
    <w:rsid w:val="F6F71A36"/>
    <w:rsid w:val="F6F77B8E"/>
    <w:rsid w:val="F6F7850C"/>
    <w:rsid w:val="F6F7DA3C"/>
    <w:rsid w:val="F6FB054D"/>
    <w:rsid w:val="F6FC5A5B"/>
    <w:rsid w:val="F6FCC643"/>
    <w:rsid w:val="F6FD40A2"/>
    <w:rsid w:val="F6FD6DEE"/>
    <w:rsid w:val="F6FECA49"/>
    <w:rsid w:val="F6FF0136"/>
    <w:rsid w:val="F6FF1CC0"/>
    <w:rsid w:val="F6FF2F16"/>
    <w:rsid w:val="F6FF5462"/>
    <w:rsid w:val="F6FF63FF"/>
    <w:rsid w:val="F6FF649E"/>
    <w:rsid w:val="F6FF7466"/>
    <w:rsid w:val="F6FF7B2C"/>
    <w:rsid w:val="F6FFDDD0"/>
    <w:rsid w:val="F70D664A"/>
    <w:rsid w:val="F7123F69"/>
    <w:rsid w:val="F71A7F6B"/>
    <w:rsid w:val="F71C2EBE"/>
    <w:rsid w:val="F71E96AF"/>
    <w:rsid w:val="F7263EEB"/>
    <w:rsid w:val="F72B1B4B"/>
    <w:rsid w:val="F72FE846"/>
    <w:rsid w:val="F735FEB6"/>
    <w:rsid w:val="F73C4A01"/>
    <w:rsid w:val="F73D980E"/>
    <w:rsid w:val="F73F7DA9"/>
    <w:rsid w:val="F73FAEFC"/>
    <w:rsid w:val="F73FBD40"/>
    <w:rsid w:val="F74F3FE6"/>
    <w:rsid w:val="F757112E"/>
    <w:rsid w:val="F75746D4"/>
    <w:rsid w:val="F75DBB64"/>
    <w:rsid w:val="F75ED225"/>
    <w:rsid w:val="F75F5ABC"/>
    <w:rsid w:val="F75F739F"/>
    <w:rsid w:val="F7632E37"/>
    <w:rsid w:val="F767DA87"/>
    <w:rsid w:val="F76B120F"/>
    <w:rsid w:val="F76B6A98"/>
    <w:rsid w:val="F76CA525"/>
    <w:rsid w:val="F76D6835"/>
    <w:rsid w:val="F76ED46D"/>
    <w:rsid w:val="F76F04E6"/>
    <w:rsid w:val="F76FBEC2"/>
    <w:rsid w:val="F77644E3"/>
    <w:rsid w:val="F7777C61"/>
    <w:rsid w:val="F777B4A7"/>
    <w:rsid w:val="F777D6C6"/>
    <w:rsid w:val="F777EA97"/>
    <w:rsid w:val="F7782845"/>
    <w:rsid w:val="F7794634"/>
    <w:rsid w:val="F7799302"/>
    <w:rsid w:val="F77BF1D7"/>
    <w:rsid w:val="F77DC8A9"/>
    <w:rsid w:val="F77E5F01"/>
    <w:rsid w:val="F77F0DCF"/>
    <w:rsid w:val="F77F47F5"/>
    <w:rsid w:val="F77F49C6"/>
    <w:rsid w:val="F78311D6"/>
    <w:rsid w:val="F78356AA"/>
    <w:rsid w:val="F78F96E0"/>
    <w:rsid w:val="F78FBD41"/>
    <w:rsid w:val="F78FC810"/>
    <w:rsid w:val="F79B5A19"/>
    <w:rsid w:val="F79F2EAE"/>
    <w:rsid w:val="F79F4CFF"/>
    <w:rsid w:val="F79F6D88"/>
    <w:rsid w:val="F79FE9C1"/>
    <w:rsid w:val="F79FEFAC"/>
    <w:rsid w:val="F7A09FEE"/>
    <w:rsid w:val="F7A33FB4"/>
    <w:rsid w:val="F7A712CC"/>
    <w:rsid w:val="F7AD6C48"/>
    <w:rsid w:val="F7AF0FB4"/>
    <w:rsid w:val="F7B39176"/>
    <w:rsid w:val="F7B66252"/>
    <w:rsid w:val="F7B72F5E"/>
    <w:rsid w:val="F7B760AC"/>
    <w:rsid w:val="F7B7833A"/>
    <w:rsid w:val="F7B78FFD"/>
    <w:rsid w:val="F7B79686"/>
    <w:rsid w:val="F7B8A899"/>
    <w:rsid w:val="F7BA3746"/>
    <w:rsid w:val="F7BAEF4F"/>
    <w:rsid w:val="F7BB1B2E"/>
    <w:rsid w:val="F7BB3E5F"/>
    <w:rsid w:val="F7BB44AD"/>
    <w:rsid w:val="F7BB68EB"/>
    <w:rsid w:val="F7BDF02B"/>
    <w:rsid w:val="F7BDFF01"/>
    <w:rsid w:val="F7BF731F"/>
    <w:rsid w:val="F7BF7694"/>
    <w:rsid w:val="F7BFAD22"/>
    <w:rsid w:val="F7BFD039"/>
    <w:rsid w:val="F7C771A5"/>
    <w:rsid w:val="F7CA8AEA"/>
    <w:rsid w:val="F7CD5997"/>
    <w:rsid w:val="F7CD856A"/>
    <w:rsid w:val="F7CD8E09"/>
    <w:rsid w:val="F7CE2AB7"/>
    <w:rsid w:val="F7CF4DAA"/>
    <w:rsid w:val="F7CF532C"/>
    <w:rsid w:val="F7CF800A"/>
    <w:rsid w:val="F7CFAA01"/>
    <w:rsid w:val="F7D356BE"/>
    <w:rsid w:val="F7D3F462"/>
    <w:rsid w:val="F7D606E4"/>
    <w:rsid w:val="F7D72D77"/>
    <w:rsid w:val="F7D735B6"/>
    <w:rsid w:val="F7D73A7C"/>
    <w:rsid w:val="F7D78D58"/>
    <w:rsid w:val="F7D7E80A"/>
    <w:rsid w:val="F7D8A95A"/>
    <w:rsid w:val="F7DA3477"/>
    <w:rsid w:val="F7DAE3F1"/>
    <w:rsid w:val="F7DCBFCF"/>
    <w:rsid w:val="F7DCEFD3"/>
    <w:rsid w:val="F7DD1A9E"/>
    <w:rsid w:val="F7DE4332"/>
    <w:rsid w:val="F7DE50EB"/>
    <w:rsid w:val="F7DE691B"/>
    <w:rsid w:val="F7DE9932"/>
    <w:rsid w:val="F7DEBB90"/>
    <w:rsid w:val="F7DF1AAA"/>
    <w:rsid w:val="F7DF32D1"/>
    <w:rsid w:val="F7DF3D5D"/>
    <w:rsid w:val="F7DF4121"/>
    <w:rsid w:val="F7DF978B"/>
    <w:rsid w:val="F7DF9DF3"/>
    <w:rsid w:val="F7DFDAD1"/>
    <w:rsid w:val="F7E389CE"/>
    <w:rsid w:val="F7E3A69D"/>
    <w:rsid w:val="F7E463B4"/>
    <w:rsid w:val="F7E654A7"/>
    <w:rsid w:val="F7EB4AFF"/>
    <w:rsid w:val="F7EBEE45"/>
    <w:rsid w:val="F7ED2C0E"/>
    <w:rsid w:val="F7EE313B"/>
    <w:rsid w:val="F7EF00CF"/>
    <w:rsid w:val="F7EF30F4"/>
    <w:rsid w:val="F7EF3CC1"/>
    <w:rsid w:val="F7EF6E50"/>
    <w:rsid w:val="F7EF7506"/>
    <w:rsid w:val="F7EF7C40"/>
    <w:rsid w:val="F7EFEFC6"/>
    <w:rsid w:val="F7F0B7A3"/>
    <w:rsid w:val="F7F12421"/>
    <w:rsid w:val="F7F16733"/>
    <w:rsid w:val="F7F1BD14"/>
    <w:rsid w:val="F7F2DD67"/>
    <w:rsid w:val="F7F3201C"/>
    <w:rsid w:val="F7F4EF24"/>
    <w:rsid w:val="F7F509BC"/>
    <w:rsid w:val="F7F551B3"/>
    <w:rsid w:val="F7F5A2F1"/>
    <w:rsid w:val="F7F5BFE5"/>
    <w:rsid w:val="F7F606C4"/>
    <w:rsid w:val="F7F62D36"/>
    <w:rsid w:val="F7F65269"/>
    <w:rsid w:val="F7F70FE0"/>
    <w:rsid w:val="F7F74310"/>
    <w:rsid w:val="F7F765B5"/>
    <w:rsid w:val="F7F78220"/>
    <w:rsid w:val="F7F7A766"/>
    <w:rsid w:val="F7F7AD1B"/>
    <w:rsid w:val="F7F7D2A3"/>
    <w:rsid w:val="F7F7DC22"/>
    <w:rsid w:val="F7F8926C"/>
    <w:rsid w:val="F7F89D78"/>
    <w:rsid w:val="F7F8D10B"/>
    <w:rsid w:val="F7F906C3"/>
    <w:rsid w:val="F7F9ED45"/>
    <w:rsid w:val="F7F9FCBD"/>
    <w:rsid w:val="F7FA2EC1"/>
    <w:rsid w:val="F7FAF0B3"/>
    <w:rsid w:val="F7FB025C"/>
    <w:rsid w:val="F7FB3A45"/>
    <w:rsid w:val="F7FB7E85"/>
    <w:rsid w:val="F7FBC45E"/>
    <w:rsid w:val="F7FBCE19"/>
    <w:rsid w:val="F7FBDE75"/>
    <w:rsid w:val="F7FBFF29"/>
    <w:rsid w:val="F7FC7CBD"/>
    <w:rsid w:val="F7FCD0B9"/>
    <w:rsid w:val="F7FCEBFC"/>
    <w:rsid w:val="F7FD3EB5"/>
    <w:rsid w:val="F7FDB923"/>
    <w:rsid w:val="F7FDC5E3"/>
    <w:rsid w:val="F7FDE83E"/>
    <w:rsid w:val="F7FDF5FE"/>
    <w:rsid w:val="F7FDFCF0"/>
    <w:rsid w:val="F7FE1BF7"/>
    <w:rsid w:val="F7FE349D"/>
    <w:rsid w:val="F7FE4836"/>
    <w:rsid w:val="F7FE4A0A"/>
    <w:rsid w:val="F7FE6D17"/>
    <w:rsid w:val="F7FE72AE"/>
    <w:rsid w:val="F7FF0258"/>
    <w:rsid w:val="F7FF0C6E"/>
    <w:rsid w:val="F7FF1507"/>
    <w:rsid w:val="F7FF1D4A"/>
    <w:rsid w:val="F7FF281C"/>
    <w:rsid w:val="F7FF35EB"/>
    <w:rsid w:val="F7FF5008"/>
    <w:rsid w:val="F7FF51D9"/>
    <w:rsid w:val="F7FF5350"/>
    <w:rsid w:val="F7FF5780"/>
    <w:rsid w:val="F7FF57D4"/>
    <w:rsid w:val="F7FF6BA2"/>
    <w:rsid w:val="F7FF7452"/>
    <w:rsid w:val="F7FF791F"/>
    <w:rsid w:val="F7FF8A00"/>
    <w:rsid w:val="F7FF8F90"/>
    <w:rsid w:val="F7FF9978"/>
    <w:rsid w:val="F7FFA7C1"/>
    <w:rsid w:val="F7FFB091"/>
    <w:rsid w:val="F7FFD97B"/>
    <w:rsid w:val="F7FFE47B"/>
    <w:rsid w:val="F85FEFAC"/>
    <w:rsid w:val="F87068F1"/>
    <w:rsid w:val="F875E9E6"/>
    <w:rsid w:val="F877EC52"/>
    <w:rsid w:val="F87F60FA"/>
    <w:rsid w:val="F8B77B89"/>
    <w:rsid w:val="F8B7B719"/>
    <w:rsid w:val="F8BFEA4C"/>
    <w:rsid w:val="F8D7C93F"/>
    <w:rsid w:val="F8DBBE48"/>
    <w:rsid w:val="F8DF269E"/>
    <w:rsid w:val="F8ECFDAC"/>
    <w:rsid w:val="F8EE7E5C"/>
    <w:rsid w:val="F8F59BE9"/>
    <w:rsid w:val="F8F792E7"/>
    <w:rsid w:val="F8FCDBC6"/>
    <w:rsid w:val="F8FEF7F5"/>
    <w:rsid w:val="F8FF8F8D"/>
    <w:rsid w:val="F8FF94E6"/>
    <w:rsid w:val="F91371E5"/>
    <w:rsid w:val="F91BEA60"/>
    <w:rsid w:val="F9378F3C"/>
    <w:rsid w:val="F93AC5CD"/>
    <w:rsid w:val="F94BCE11"/>
    <w:rsid w:val="F95231C6"/>
    <w:rsid w:val="F95E8828"/>
    <w:rsid w:val="F96FCF8B"/>
    <w:rsid w:val="F9781A28"/>
    <w:rsid w:val="F979007C"/>
    <w:rsid w:val="F97B8108"/>
    <w:rsid w:val="F97BFB26"/>
    <w:rsid w:val="F97C4703"/>
    <w:rsid w:val="F97F0DCC"/>
    <w:rsid w:val="F97F29D3"/>
    <w:rsid w:val="F97F70F5"/>
    <w:rsid w:val="F98C4FCD"/>
    <w:rsid w:val="F98DF317"/>
    <w:rsid w:val="F99558C8"/>
    <w:rsid w:val="F996E1A1"/>
    <w:rsid w:val="F9B68B09"/>
    <w:rsid w:val="F9B71381"/>
    <w:rsid w:val="F9B7D93F"/>
    <w:rsid w:val="F9BB04DC"/>
    <w:rsid w:val="F9BB7293"/>
    <w:rsid w:val="F9BB864E"/>
    <w:rsid w:val="F9BDB264"/>
    <w:rsid w:val="F9BE6DA5"/>
    <w:rsid w:val="F9BF1615"/>
    <w:rsid w:val="F9BF6F26"/>
    <w:rsid w:val="F9BFAE84"/>
    <w:rsid w:val="F9CC7976"/>
    <w:rsid w:val="F9CF8CB2"/>
    <w:rsid w:val="F9D7213D"/>
    <w:rsid w:val="F9D9AF98"/>
    <w:rsid w:val="F9DCB717"/>
    <w:rsid w:val="F9DDF6FD"/>
    <w:rsid w:val="F9DE46A7"/>
    <w:rsid w:val="F9DE5372"/>
    <w:rsid w:val="F9DFE2E4"/>
    <w:rsid w:val="F9DFFC6E"/>
    <w:rsid w:val="F9E55D80"/>
    <w:rsid w:val="F9E7061E"/>
    <w:rsid w:val="F9E784E3"/>
    <w:rsid w:val="F9EC7A31"/>
    <w:rsid w:val="F9EDA0E5"/>
    <w:rsid w:val="F9EE052C"/>
    <w:rsid w:val="F9EE3EEB"/>
    <w:rsid w:val="F9EF3447"/>
    <w:rsid w:val="F9EF9E14"/>
    <w:rsid w:val="F9EFBA09"/>
    <w:rsid w:val="F9F36824"/>
    <w:rsid w:val="F9F583BD"/>
    <w:rsid w:val="F9F79916"/>
    <w:rsid w:val="F9F8315D"/>
    <w:rsid w:val="F9FAC184"/>
    <w:rsid w:val="F9FB7341"/>
    <w:rsid w:val="F9FB89AB"/>
    <w:rsid w:val="F9FBBCEC"/>
    <w:rsid w:val="F9FD22F3"/>
    <w:rsid w:val="F9FD545D"/>
    <w:rsid w:val="F9FDA2F6"/>
    <w:rsid w:val="F9FDA972"/>
    <w:rsid w:val="F9FDE09D"/>
    <w:rsid w:val="F9FE09FE"/>
    <w:rsid w:val="F9FEA4B0"/>
    <w:rsid w:val="F9FEACB9"/>
    <w:rsid w:val="F9FEC372"/>
    <w:rsid w:val="F9FF19B7"/>
    <w:rsid w:val="F9FF27A8"/>
    <w:rsid w:val="F9FF7BB5"/>
    <w:rsid w:val="F9FF9D40"/>
    <w:rsid w:val="F9FFA9C4"/>
    <w:rsid w:val="F9FFADBF"/>
    <w:rsid w:val="F9FFCB62"/>
    <w:rsid w:val="F9FFD755"/>
    <w:rsid w:val="FA1FC242"/>
    <w:rsid w:val="FA2B979E"/>
    <w:rsid w:val="FA3D9DD5"/>
    <w:rsid w:val="FA3F86E0"/>
    <w:rsid w:val="FA3F97E8"/>
    <w:rsid w:val="FA5AECEB"/>
    <w:rsid w:val="FA5BECF4"/>
    <w:rsid w:val="FA5D8240"/>
    <w:rsid w:val="FA5DA317"/>
    <w:rsid w:val="FA5E42F0"/>
    <w:rsid w:val="FA748B83"/>
    <w:rsid w:val="FA75E0B5"/>
    <w:rsid w:val="FA7A06FB"/>
    <w:rsid w:val="FA7B1E21"/>
    <w:rsid w:val="FA7D1A7B"/>
    <w:rsid w:val="FA7F95D4"/>
    <w:rsid w:val="FA7FA434"/>
    <w:rsid w:val="FA7FB0F0"/>
    <w:rsid w:val="FA85D4B1"/>
    <w:rsid w:val="FA973655"/>
    <w:rsid w:val="FA984A7F"/>
    <w:rsid w:val="FA9B3E9C"/>
    <w:rsid w:val="FA9F0AEB"/>
    <w:rsid w:val="FAA37592"/>
    <w:rsid w:val="FAAF7745"/>
    <w:rsid w:val="FAB785D7"/>
    <w:rsid w:val="FABD3C9D"/>
    <w:rsid w:val="FABF1784"/>
    <w:rsid w:val="FAC3DF2F"/>
    <w:rsid w:val="FACA3238"/>
    <w:rsid w:val="FAD39DC3"/>
    <w:rsid w:val="FAD68FF4"/>
    <w:rsid w:val="FAD6DAF0"/>
    <w:rsid w:val="FAD7C922"/>
    <w:rsid w:val="FADB9BB3"/>
    <w:rsid w:val="FADD731E"/>
    <w:rsid w:val="FADDC899"/>
    <w:rsid w:val="FADE67DD"/>
    <w:rsid w:val="FADE8751"/>
    <w:rsid w:val="FADED742"/>
    <w:rsid w:val="FADF3DC9"/>
    <w:rsid w:val="FADF634B"/>
    <w:rsid w:val="FADF7AD7"/>
    <w:rsid w:val="FAE51B0B"/>
    <w:rsid w:val="FAE57D0F"/>
    <w:rsid w:val="FAE7246E"/>
    <w:rsid w:val="FAE7BE04"/>
    <w:rsid w:val="FAEDE806"/>
    <w:rsid w:val="FAEEAF63"/>
    <w:rsid w:val="FAEED2FA"/>
    <w:rsid w:val="FAEF1209"/>
    <w:rsid w:val="FAF16694"/>
    <w:rsid w:val="FAF1CBC6"/>
    <w:rsid w:val="FAF41D82"/>
    <w:rsid w:val="FAF4D76D"/>
    <w:rsid w:val="FAF7C505"/>
    <w:rsid w:val="FAF7F176"/>
    <w:rsid w:val="FAFB2AD5"/>
    <w:rsid w:val="FAFBF072"/>
    <w:rsid w:val="FAFD0241"/>
    <w:rsid w:val="FAFDE5D8"/>
    <w:rsid w:val="FAFDEA8B"/>
    <w:rsid w:val="FAFE3806"/>
    <w:rsid w:val="FAFE5480"/>
    <w:rsid w:val="FAFF01A5"/>
    <w:rsid w:val="FAFF1230"/>
    <w:rsid w:val="FAFF230E"/>
    <w:rsid w:val="FAFF2C2D"/>
    <w:rsid w:val="FAFF554B"/>
    <w:rsid w:val="FAFF582F"/>
    <w:rsid w:val="FAFF6415"/>
    <w:rsid w:val="FAFF658B"/>
    <w:rsid w:val="FAFF85A8"/>
    <w:rsid w:val="FAFFA2D3"/>
    <w:rsid w:val="FAFFB513"/>
    <w:rsid w:val="FAFFC826"/>
    <w:rsid w:val="FB1E9CDC"/>
    <w:rsid w:val="FB1F122A"/>
    <w:rsid w:val="FB1FA8FA"/>
    <w:rsid w:val="FB23ACB3"/>
    <w:rsid w:val="FB278714"/>
    <w:rsid w:val="FB2B369B"/>
    <w:rsid w:val="FB2F2C93"/>
    <w:rsid w:val="FB2FA344"/>
    <w:rsid w:val="FB37076C"/>
    <w:rsid w:val="FB3AD717"/>
    <w:rsid w:val="FB3B5875"/>
    <w:rsid w:val="FB3BD7B7"/>
    <w:rsid w:val="FB3C95FE"/>
    <w:rsid w:val="FB3D219E"/>
    <w:rsid w:val="FB3E6B13"/>
    <w:rsid w:val="FB3F7A4F"/>
    <w:rsid w:val="FB4832AE"/>
    <w:rsid w:val="FB4EB25C"/>
    <w:rsid w:val="FB4F3702"/>
    <w:rsid w:val="FB4FB92D"/>
    <w:rsid w:val="FB53FE29"/>
    <w:rsid w:val="FB540516"/>
    <w:rsid w:val="FB552CCF"/>
    <w:rsid w:val="FB571B7D"/>
    <w:rsid w:val="FB593C44"/>
    <w:rsid w:val="FB5D54B8"/>
    <w:rsid w:val="FB5FA65D"/>
    <w:rsid w:val="FB5FC9D6"/>
    <w:rsid w:val="FB5FDBE2"/>
    <w:rsid w:val="FB654D2F"/>
    <w:rsid w:val="FB656EE2"/>
    <w:rsid w:val="FB670875"/>
    <w:rsid w:val="FB674953"/>
    <w:rsid w:val="FB67B66D"/>
    <w:rsid w:val="FB6D3FF3"/>
    <w:rsid w:val="FB6E079A"/>
    <w:rsid w:val="FB6F6401"/>
    <w:rsid w:val="FB6F73F5"/>
    <w:rsid w:val="FB724675"/>
    <w:rsid w:val="FB730FEA"/>
    <w:rsid w:val="FB74219C"/>
    <w:rsid w:val="FB75BDEA"/>
    <w:rsid w:val="FB76BCD5"/>
    <w:rsid w:val="FB76D412"/>
    <w:rsid w:val="FB77A118"/>
    <w:rsid w:val="FB7AB017"/>
    <w:rsid w:val="FB7B321F"/>
    <w:rsid w:val="FB7BDA9D"/>
    <w:rsid w:val="FB7CF7E7"/>
    <w:rsid w:val="FB7D0F5C"/>
    <w:rsid w:val="FB7D9BB4"/>
    <w:rsid w:val="FB7DFDA3"/>
    <w:rsid w:val="FB7E255A"/>
    <w:rsid w:val="FB7E6C45"/>
    <w:rsid w:val="FB7EB15A"/>
    <w:rsid w:val="FB7F0B9C"/>
    <w:rsid w:val="FB7F104B"/>
    <w:rsid w:val="FB7F2053"/>
    <w:rsid w:val="FB7F5DAB"/>
    <w:rsid w:val="FB7F981B"/>
    <w:rsid w:val="FB7FA8A1"/>
    <w:rsid w:val="FB7FB5CC"/>
    <w:rsid w:val="FB7FC5BD"/>
    <w:rsid w:val="FB7FC8E9"/>
    <w:rsid w:val="FB7FCD61"/>
    <w:rsid w:val="FB7FF451"/>
    <w:rsid w:val="FB8CC34D"/>
    <w:rsid w:val="FB8F19D9"/>
    <w:rsid w:val="FB96A212"/>
    <w:rsid w:val="FB97249A"/>
    <w:rsid w:val="FB975097"/>
    <w:rsid w:val="FB9B8DFE"/>
    <w:rsid w:val="FB9BA7F6"/>
    <w:rsid w:val="FB9DE3CB"/>
    <w:rsid w:val="FB9E1A57"/>
    <w:rsid w:val="FB9EF808"/>
    <w:rsid w:val="FB9FD18B"/>
    <w:rsid w:val="FBA10B0C"/>
    <w:rsid w:val="FBA51E77"/>
    <w:rsid w:val="FBA691CE"/>
    <w:rsid w:val="FBA707E1"/>
    <w:rsid w:val="FBA7F491"/>
    <w:rsid w:val="FBAFAFC2"/>
    <w:rsid w:val="FBAFCB47"/>
    <w:rsid w:val="FBB26FA6"/>
    <w:rsid w:val="FBB31586"/>
    <w:rsid w:val="FBB6FCB8"/>
    <w:rsid w:val="FBB7A818"/>
    <w:rsid w:val="FBBB2E22"/>
    <w:rsid w:val="FBBB5058"/>
    <w:rsid w:val="FBBCBC63"/>
    <w:rsid w:val="FBBD1DED"/>
    <w:rsid w:val="FBBE6C6C"/>
    <w:rsid w:val="FBBE91FD"/>
    <w:rsid w:val="FBBF11AA"/>
    <w:rsid w:val="FBBF2559"/>
    <w:rsid w:val="FBBF91BC"/>
    <w:rsid w:val="FBBFB0F0"/>
    <w:rsid w:val="FBC437DB"/>
    <w:rsid w:val="FBC650EF"/>
    <w:rsid w:val="FBCB0FBE"/>
    <w:rsid w:val="FBCB288E"/>
    <w:rsid w:val="FBCD225A"/>
    <w:rsid w:val="FBCEAD95"/>
    <w:rsid w:val="FBCF4E53"/>
    <w:rsid w:val="FBD1C88A"/>
    <w:rsid w:val="FBD5369F"/>
    <w:rsid w:val="FBD74D1F"/>
    <w:rsid w:val="FBD7787B"/>
    <w:rsid w:val="FBDBDEF0"/>
    <w:rsid w:val="FBDCB81B"/>
    <w:rsid w:val="FBDD3509"/>
    <w:rsid w:val="FBDD66D9"/>
    <w:rsid w:val="FBDDF043"/>
    <w:rsid w:val="FBDE2D94"/>
    <w:rsid w:val="FBDE81DB"/>
    <w:rsid w:val="FBDEEB40"/>
    <w:rsid w:val="FBDEFF8B"/>
    <w:rsid w:val="FBDF1F41"/>
    <w:rsid w:val="FBDF59E7"/>
    <w:rsid w:val="FBDF6717"/>
    <w:rsid w:val="FBE32ADB"/>
    <w:rsid w:val="FBE38B7F"/>
    <w:rsid w:val="FBEB0B13"/>
    <w:rsid w:val="FBED1DD2"/>
    <w:rsid w:val="FBED1E55"/>
    <w:rsid w:val="FBED4424"/>
    <w:rsid w:val="FBED7B07"/>
    <w:rsid w:val="FBEE2EBC"/>
    <w:rsid w:val="FBEE8E1D"/>
    <w:rsid w:val="FBEEA782"/>
    <w:rsid w:val="FBEEDAE8"/>
    <w:rsid w:val="FBEEE34A"/>
    <w:rsid w:val="FBEF020D"/>
    <w:rsid w:val="FBEF0B8D"/>
    <w:rsid w:val="FBEF5588"/>
    <w:rsid w:val="FBEF6316"/>
    <w:rsid w:val="FBEF79DD"/>
    <w:rsid w:val="FBEF8F4B"/>
    <w:rsid w:val="FBEF9C7F"/>
    <w:rsid w:val="FBEFCE30"/>
    <w:rsid w:val="FBF332AA"/>
    <w:rsid w:val="FBF3E5CD"/>
    <w:rsid w:val="FBF49F7F"/>
    <w:rsid w:val="FBF53473"/>
    <w:rsid w:val="FBF5648C"/>
    <w:rsid w:val="FBF58BE6"/>
    <w:rsid w:val="FBF59E55"/>
    <w:rsid w:val="FBF5D17A"/>
    <w:rsid w:val="FBF63293"/>
    <w:rsid w:val="FBF6A3E2"/>
    <w:rsid w:val="FBF77647"/>
    <w:rsid w:val="FBF7C381"/>
    <w:rsid w:val="FBF85CE5"/>
    <w:rsid w:val="FBF9888D"/>
    <w:rsid w:val="FBF99D40"/>
    <w:rsid w:val="FBFA3FB0"/>
    <w:rsid w:val="FBFAD0A6"/>
    <w:rsid w:val="FBFB7BAB"/>
    <w:rsid w:val="FBFB7CB2"/>
    <w:rsid w:val="FBFC64A0"/>
    <w:rsid w:val="FBFCB1D6"/>
    <w:rsid w:val="FBFCF3FF"/>
    <w:rsid w:val="FBFD305F"/>
    <w:rsid w:val="FBFD3627"/>
    <w:rsid w:val="FBFD6C3F"/>
    <w:rsid w:val="FBFDB771"/>
    <w:rsid w:val="FBFDBD84"/>
    <w:rsid w:val="FBFDD5E5"/>
    <w:rsid w:val="FBFDDB0A"/>
    <w:rsid w:val="FBFDFF0E"/>
    <w:rsid w:val="FBFE3068"/>
    <w:rsid w:val="FBFE4B3D"/>
    <w:rsid w:val="FBFE6E5D"/>
    <w:rsid w:val="FBFE8630"/>
    <w:rsid w:val="FBFE9AD3"/>
    <w:rsid w:val="FBFEB03F"/>
    <w:rsid w:val="FBFED34D"/>
    <w:rsid w:val="FBFF0525"/>
    <w:rsid w:val="FBFF2115"/>
    <w:rsid w:val="FBFF4C3D"/>
    <w:rsid w:val="FBFF5950"/>
    <w:rsid w:val="FBFF5A5B"/>
    <w:rsid w:val="FBFF5CA1"/>
    <w:rsid w:val="FBFF5D3B"/>
    <w:rsid w:val="FBFF6834"/>
    <w:rsid w:val="FBFF8B06"/>
    <w:rsid w:val="FBFF91DC"/>
    <w:rsid w:val="FBFF9273"/>
    <w:rsid w:val="FBFF95D1"/>
    <w:rsid w:val="FBFF983B"/>
    <w:rsid w:val="FBFF9880"/>
    <w:rsid w:val="FBFFA3AA"/>
    <w:rsid w:val="FBFFBB9F"/>
    <w:rsid w:val="FBFFC59A"/>
    <w:rsid w:val="FBFFCE5C"/>
    <w:rsid w:val="FBFFF6C0"/>
    <w:rsid w:val="FC01671C"/>
    <w:rsid w:val="FC1B8AD2"/>
    <w:rsid w:val="FC2FD086"/>
    <w:rsid w:val="FC2FEB83"/>
    <w:rsid w:val="FC3D8EDF"/>
    <w:rsid w:val="FC3EEEDE"/>
    <w:rsid w:val="FC3F8258"/>
    <w:rsid w:val="FC4E8D65"/>
    <w:rsid w:val="FC4F4D50"/>
    <w:rsid w:val="FC57D8B3"/>
    <w:rsid w:val="FC5D35EC"/>
    <w:rsid w:val="FC5F958F"/>
    <w:rsid w:val="FC74F1C7"/>
    <w:rsid w:val="FC75B20A"/>
    <w:rsid w:val="FC76A84B"/>
    <w:rsid w:val="FC7B6051"/>
    <w:rsid w:val="FC7D27EE"/>
    <w:rsid w:val="FC7E4108"/>
    <w:rsid w:val="FC7F2FDD"/>
    <w:rsid w:val="FC7F57E6"/>
    <w:rsid w:val="FC7F7389"/>
    <w:rsid w:val="FC7F8C08"/>
    <w:rsid w:val="FC8D9182"/>
    <w:rsid w:val="FC97FD67"/>
    <w:rsid w:val="FC9A1EE1"/>
    <w:rsid w:val="FC9E2B85"/>
    <w:rsid w:val="FC9F3E64"/>
    <w:rsid w:val="FCA8F78F"/>
    <w:rsid w:val="FCB6B66A"/>
    <w:rsid w:val="FCBB0478"/>
    <w:rsid w:val="FCBBBD32"/>
    <w:rsid w:val="FCBE70F8"/>
    <w:rsid w:val="FCBF0CB5"/>
    <w:rsid w:val="FCBF5808"/>
    <w:rsid w:val="FCBF9CA2"/>
    <w:rsid w:val="FCBFC9D2"/>
    <w:rsid w:val="FCC755FC"/>
    <w:rsid w:val="FCC7E2EA"/>
    <w:rsid w:val="FCD16E82"/>
    <w:rsid w:val="FCD78E7C"/>
    <w:rsid w:val="FCDB265E"/>
    <w:rsid w:val="FCDBEAEE"/>
    <w:rsid w:val="FCDDA4CD"/>
    <w:rsid w:val="FCDE4BB7"/>
    <w:rsid w:val="FCDF2DD3"/>
    <w:rsid w:val="FCDF3E6F"/>
    <w:rsid w:val="FCE709F3"/>
    <w:rsid w:val="FCE75C13"/>
    <w:rsid w:val="FCED8440"/>
    <w:rsid w:val="FCEEBF16"/>
    <w:rsid w:val="FCEF59C7"/>
    <w:rsid w:val="FCEF77F8"/>
    <w:rsid w:val="FCF53C45"/>
    <w:rsid w:val="FCF6E72E"/>
    <w:rsid w:val="FCF765F5"/>
    <w:rsid w:val="FCF76FB4"/>
    <w:rsid w:val="FCF9A1B0"/>
    <w:rsid w:val="FCFA5935"/>
    <w:rsid w:val="FCFB0C56"/>
    <w:rsid w:val="FCFB6663"/>
    <w:rsid w:val="FCFC8D80"/>
    <w:rsid w:val="FCFD0561"/>
    <w:rsid w:val="FCFD6362"/>
    <w:rsid w:val="FCFE499F"/>
    <w:rsid w:val="FCFEABB1"/>
    <w:rsid w:val="FCFEE72B"/>
    <w:rsid w:val="FCFEEF52"/>
    <w:rsid w:val="FCFF34AB"/>
    <w:rsid w:val="FCFF95E4"/>
    <w:rsid w:val="FCFFA353"/>
    <w:rsid w:val="FCFFC47D"/>
    <w:rsid w:val="FCFFD100"/>
    <w:rsid w:val="FCFFEBC8"/>
    <w:rsid w:val="FCFFF178"/>
    <w:rsid w:val="FD0ED4E3"/>
    <w:rsid w:val="FD1521C5"/>
    <w:rsid w:val="FD1AD7EE"/>
    <w:rsid w:val="FD338641"/>
    <w:rsid w:val="FD353EE7"/>
    <w:rsid w:val="FD366B3B"/>
    <w:rsid w:val="FD3986BB"/>
    <w:rsid w:val="FD3A65CF"/>
    <w:rsid w:val="FD3D6859"/>
    <w:rsid w:val="FD3DB8D3"/>
    <w:rsid w:val="FD3F2E0C"/>
    <w:rsid w:val="FD3FA8AF"/>
    <w:rsid w:val="FD4939DC"/>
    <w:rsid w:val="FD4F6863"/>
    <w:rsid w:val="FD5B0267"/>
    <w:rsid w:val="FD5B2B3B"/>
    <w:rsid w:val="FD5B7D17"/>
    <w:rsid w:val="FD5CA35F"/>
    <w:rsid w:val="FD5D633B"/>
    <w:rsid w:val="FD5E6685"/>
    <w:rsid w:val="FD5E6987"/>
    <w:rsid w:val="FD5EB244"/>
    <w:rsid w:val="FD5FFBCE"/>
    <w:rsid w:val="FD69439E"/>
    <w:rsid w:val="FD6C80F6"/>
    <w:rsid w:val="FD6D10ED"/>
    <w:rsid w:val="FD726C9C"/>
    <w:rsid w:val="FD7356C8"/>
    <w:rsid w:val="FD751FF8"/>
    <w:rsid w:val="FD76F2C9"/>
    <w:rsid w:val="FD7739E2"/>
    <w:rsid w:val="FD776A07"/>
    <w:rsid w:val="FD77ED0F"/>
    <w:rsid w:val="FD7B7290"/>
    <w:rsid w:val="FD7C22D6"/>
    <w:rsid w:val="FD7C2327"/>
    <w:rsid w:val="FD7CFF44"/>
    <w:rsid w:val="FD7E47AA"/>
    <w:rsid w:val="FD7E5E88"/>
    <w:rsid w:val="FD7E824E"/>
    <w:rsid w:val="FD7ED6E0"/>
    <w:rsid w:val="FD7EFEFB"/>
    <w:rsid w:val="FD7F548C"/>
    <w:rsid w:val="FD7F6C58"/>
    <w:rsid w:val="FD7F780A"/>
    <w:rsid w:val="FD7F78B2"/>
    <w:rsid w:val="FD7F7CE3"/>
    <w:rsid w:val="FD7F7DED"/>
    <w:rsid w:val="FD7F987E"/>
    <w:rsid w:val="FD7FABD0"/>
    <w:rsid w:val="FD7FECFF"/>
    <w:rsid w:val="FD869058"/>
    <w:rsid w:val="FD8F6B04"/>
    <w:rsid w:val="FD9D60CD"/>
    <w:rsid w:val="FD9D71D3"/>
    <w:rsid w:val="FD9ECB19"/>
    <w:rsid w:val="FD9F14D3"/>
    <w:rsid w:val="FD9F5D16"/>
    <w:rsid w:val="FD9FBCB2"/>
    <w:rsid w:val="FDA121C1"/>
    <w:rsid w:val="FDA838E5"/>
    <w:rsid w:val="FDA9F65F"/>
    <w:rsid w:val="FDAB7B52"/>
    <w:rsid w:val="FDABA8D4"/>
    <w:rsid w:val="FDADC339"/>
    <w:rsid w:val="FDAF77CB"/>
    <w:rsid w:val="FDB075F0"/>
    <w:rsid w:val="FDB341D6"/>
    <w:rsid w:val="FDB36823"/>
    <w:rsid w:val="FDB3A8A2"/>
    <w:rsid w:val="FDB4D18A"/>
    <w:rsid w:val="FDB635DA"/>
    <w:rsid w:val="FDB65FD9"/>
    <w:rsid w:val="FDB747D6"/>
    <w:rsid w:val="FDB78442"/>
    <w:rsid w:val="FDB7AC66"/>
    <w:rsid w:val="FDB958C4"/>
    <w:rsid w:val="FDBACBC1"/>
    <w:rsid w:val="FDBB10AE"/>
    <w:rsid w:val="FDBB6682"/>
    <w:rsid w:val="FDBB6B21"/>
    <w:rsid w:val="FDBB9F39"/>
    <w:rsid w:val="FDBE3E9D"/>
    <w:rsid w:val="FDBF00DF"/>
    <w:rsid w:val="FDBF017F"/>
    <w:rsid w:val="FDBF308F"/>
    <w:rsid w:val="FDBF72DC"/>
    <w:rsid w:val="FDBF7715"/>
    <w:rsid w:val="FDBF826F"/>
    <w:rsid w:val="FDBFD657"/>
    <w:rsid w:val="FDBFF85F"/>
    <w:rsid w:val="FDBFF994"/>
    <w:rsid w:val="FDC596DE"/>
    <w:rsid w:val="FDCBCAF2"/>
    <w:rsid w:val="FDCD0126"/>
    <w:rsid w:val="FDCF3A41"/>
    <w:rsid w:val="FDCF4DCE"/>
    <w:rsid w:val="FDCFAB48"/>
    <w:rsid w:val="FDD3575C"/>
    <w:rsid w:val="FDD3C97E"/>
    <w:rsid w:val="FDD430F2"/>
    <w:rsid w:val="FDD7A529"/>
    <w:rsid w:val="FDD9B2AF"/>
    <w:rsid w:val="FDDA74E7"/>
    <w:rsid w:val="FDDA8F11"/>
    <w:rsid w:val="FDDB2474"/>
    <w:rsid w:val="FDDB9D37"/>
    <w:rsid w:val="FDDBA1E6"/>
    <w:rsid w:val="FDDC8F70"/>
    <w:rsid w:val="FDDDA509"/>
    <w:rsid w:val="FDDDB91B"/>
    <w:rsid w:val="FDDE352B"/>
    <w:rsid w:val="FDDE8404"/>
    <w:rsid w:val="FDDEE25E"/>
    <w:rsid w:val="FDDF28A0"/>
    <w:rsid w:val="FDDF2BB9"/>
    <w:rsid w:val="FDDF2C03"/>
    <w:rsid w:val="FDDFA860"/>
    <w:rsid w:val="FDDFD73F"/>
    <w:rsid w:val="FDDFFCA9"/>
    <w:rsid w:val="FDE3C087"/>
    <w:rsid w:val="FDE5760E"/>
    <w:rsid w:val="FDE5E133"/>
    <w:rsid w:val="FDE6B1D0"/>
    <w:rsid w:val="FDEA2A97"/>
    <w:rsid w:val="FDEA6F6B"/>
    <w:rsid w:val="FDEB0802"/>
    <w:rsid w:val="FDEB84B9"/>
    <w:rsid w:val="FDEBB391"/>
    <w:rsid w:val="FDEBE044"/>
    <w:rsid w:val="FDEE4FB5"/>
    <w:rsid w:val="FDEE8E38"/>
    <w:rsid w:val="FDEE97DC"/>
    <w:rsid w:val="FDEEAE86"/>
    <w:rsid w:val="FDEEC2F3"/>
    <w:rsid w:val="FDEEE575"/>
    <w:rsid w:val="FDEF1CFD"/>
    <w:rsid w:val="FDEF501C"/>
    <w:rsid w:val="FDEF6816"/>
    <w:rsid w:val="FDEF791B"/>
    <w:rsid w:val="FDEFA5B8"/>
    <w:rsid w:val="FDEFA965"/>
    <w:rsid w:val="FDF0B278"/>
    <w:rsid w:val="FDF35862"/>
    <w:rsid w:val="FDF385F7"/>
    <w:rsid w:val="FDF3E930"/>
    <w:rsid w:val="FDF452CC"/>
    <w:rsid w:val="FDF48FBC"/>
    <w:rsid w:val="FDF5317B"/>
    <w:rsid w:val="FDF556C4"/>
    <w:rsid w:val="FDF591E1"/>
    <w:rsid w:val="FDF60058"/>
    <w:rsid w:val="FDF65301"/>
    <w:rsid w:val="FDF725E1"/>
    <w:rsid w:val="FDF777CE"/>
    <w:rsid w:val="FDF97CA0"/>
    <w:rsid w:val="FDFA3751"/>
    <w:rsid w:val="FDFB4DEB"/>
    <w:rsid w:val="FDFB970D"/>
    <w:rsid w:val="FDFB9866"/>
    <w:rsid w:val="FDFBC96E"/>
    <w:rsid w:val="FDFC2E65"/>
    <w:rsid w:val="FDFCF8A6"/>
    <w:rsid w:val="FDFD219F"/>
    <w:rsid w:val="FDFDAE00"/>
    <w:rsid w:val="FDFDBD3D"/>
    <w:rsid w:val="FDFE0401"/>
    <w:rsid w:val="FDFE3C79"/>
    <w:rsid w:val="FDFE4F45"/>
    <w:rsid w:val="FDFE7360"/>
    <w:rsid w:val="FDFE7417"/>
    <w:rsid w:val="FDFEA599"/>
    <w:rsid w:val="FDFEF0C3"/>
    <w:rsid w:val="FDFEF31C"/>
    <w:rsid w:val="FDFF131B"/>
    <w:rsid w:val="FDFF149F"/>
    <w:rsid w:val="FDFF2188"/>
    <w:rsid w:val="FDFF22DC"/>
    <w:rsid w:val="FDFF36D5"/>
    <w:rsid w:val="FDFF5398"/>
    <w:rsid w:val="FDFF5474"/>
    <w:rsid w:val="FDFF5EB3"/>
    <w:rsid w:val="FDFF6214"/>
    <w:rsid w:val="FDFF62C2"/>
    <w:rsid w:val="FDFF6780"/>
    <w:rsid w:val="FDFF7776"/>
    <w:rsid w:val="FDFF7FE8"/>
    <w:rsid w:val="FDFF8299"/>
    <w:rsid w:val="FDFF8603"/>
    <w:rsid w:val="FDFF86A0"/>
    <w:rsid w:val="FDFF927A"/>
    <w:rsid w:val="FDFF9C76"/>
    <w:rsid w:val="FDFFA57B"/>
    <w:rsid w:val="FDFFA622"/>
    <w:rsid w:val="FDFFAC57"/>
    <w:rsid w:val="FDFFC4CB"/>
    <w:rsid w:val="FDFFCDD9"/>
    <w:rsid w:val="FDFFD03D"/>
    <w:rsid w:val="FDFFE408"/>
    <w:rsid w:val="FDFFF19C"/>
    <w:rsid w:val="FDFFF8E1"/>
    <w:rsid w:val="FE1DE5AE"/>
    <w:rsid w:val="FE291D51"/>
    <w:rsid w:val="FE2AF07E"/>
    <w:rsid w:val="FE32E946"/>
    <w:rsid w:val="FE342427"/>
    <w:rsid w:val="FE39CC45"/>
    <w:rsid w:val="FE3D3F87"/>
    <w:rsid w:val="FE3D9C63"/>
    <w:rsid w:val="FE3F134A"/>
    <w:rsid w:val="FE3F6537"/>
    <w:rsid w:val="FE3F781B"/>
    <w:rsid w:val="FE3F7A2C"/>
    <w:rsid w:val="FE46CA79"/>
    <w:rsid w:val="FE4D1FA4"/>
    <w:rsid w:val="FE4D469F"/>
    <w:rsid w:val="FE4F7DCC"/>
    <w:rsid w:val="FE57709B"/>
    <w:rsid w:val="FE5BF1CE"/>
    <w:rsid w:val="FE5CCB1D"/>
    <w:rsid w:val="FE5D29A0"/>
    <w:rsid w:val="FE5DB422"/>
    <w:rsid w:val="FE5DBF95"/>
    <w:rsid w:val="FE5EC993"/>
    <w:rsid w:val="FE5FA881"/>
    <w:rsid w:val="FE5FFD76"/>
    <w:rsid w:val="FE6D4BEF"/>
    <w:rsid w:val="FE6F01E2"/>
    <w:rsid w:val="FE6F3C0D"/>
    <w:rsid w:val="FE734873"/>
    <w:rsid w:val="FE739E54"/>
    <w:rsid w:val="FE73A0E1"/>
    <w:rsid w:val="FE750428"/>
    <w:rsid w:val="FE75D1F6"/>
    <w:rsid w:val="FE761AF1"/>
    <w:rsid w:val="FE771F8C"/>
    <w:rsid w:val="FE7A8B73"/>
    <w:rsid w:val="FE7B7C6C"/>
    <w:rsid w:val="FE7B7CB0"/>
    <w:rsid w:val="FE7C3AC5"/>
    <w:rsid w:val="FE7CD6DD"/>
    <w:rsid w:val="FE7D0588"/>
    <w:rsid w:val="FE7D0DE4"/>
    <w:rsid w:val="FE7D1F8D"/>
    <w:rsid w:val="FE7D1FC5"/>
    <w:rsid w:val="FE7E2B87"/>
    <w:rsid w:val="FE7E6C54"/>
    <w:rsid w:val="FE7F2C53"/>
    <w:rsid w:val="FE7F3642"/>
    <w:rsid w:val="FE7F3724"/>
    <w:rsid w:val="FE7F79D9"/>
    <w:rsid w:val="FE7F92B4"/>
    <w:rsid w:val="FE7FAC5D"/>
    <w:rsid w:val="FE7FCF4C"/>
    <w:rsid w:val="FE875528"/>
    <w:rsid w:val="FE8F6E98"/>
    <w:rsid w:val="FE8F8CFB"/>
    <w:rsid w:val="FE91643B"/>
    <w:rsid w:val="FE9847E3"/>
    <w:rsid w:val="FE9BA276"/>
    <w:rsid w:val="FE9C986B"/>
    <w:rsid w:val="FE9CA6FD"/>
    <w:rsid w:val="FE9D58BE"/>
    <w:rsid w:val="FE9DA891"/>
    <w:rsid w:val="FE9DF3B4"/>
    <w:rsid w:val="FE9DF665"/>
    <w:rsid w:val="FE9F091F"/>
    <w:rsid w:val="FE9F13FA"/>
    <w:rsid w:val="FE9F5D0F"/>
    <w:rsid w:val="FEA1FFA5"/>
    <w:rsid w:val="FEAB64D2"/>
    <w:rsid w:val="FEABBF80"/>
    <w:rsid w:val="FEABE4B9"/>
    <w:rsid w:val="FEAD169A"/>
    <w:rsid w:val="FEADA432"/>
    <w:rsid w:val="FEAF2110"/>
    <w:rsid w:val="FEAF3F18"/>
    <w:rsid w:val="FEAF7B15"/>
    <w:rsid w:val="FEAF9145"/>
    <w:rsid w:val="FEAFAA09"/>
    <w:rsid w:val="FEAFAC10"/>
    <w:rsid w:val="FEAFCB7F"/>
    <w:rsid w:val="FEB325C4"/>
    <w:rsid w:val="FEB5C16F"/>
    <w:rsid w:val="FEB68B16"/>
    <w:rsid w:val="FEB72A27"/>
    <w:rsid w:val="FEB7462D"/>
    <w:rsid w:val="FEB7D87A"/>
    <w:rsid w:val="FEB7DEB5"/>
    <w:rsid w:val="FEB8A415"/>
    <w:rsid w:val="FEB92EDD"/>
    <w:rsid w:val="FEBB0E4E"/>
    <w:rsid w:val="FEBD1651"/>
    <w:rsid w:val="FEBD264E"/>
    <w:rsid w:val="FEBD3AB4"/>
    <w:rsid w:val="FEBD3C71"/>
    <w:rsid w:val="FEBF26B7"/>
    <w:rsid w:val="FEBF4158"/>
    <w:rsid w:val="FEBFAAC6"/>
    <w:rsid w:val="FEBFC76A"/>
    <w:rsid w:val="FEC55280"/>
    <w:rsid w:val="FEC78492"/>
    <w:rsid w:val="FECB905E"/>
    <w:rsid w:val="FECF4BAE"/>
    <w:rsid w:val="FED31082"/>
    <w:rsid w:val="FED36E07"/>
    <w:rsid w:val="FED62680"/>
    <w:rsid w:val="FED76520"/>
    <w:rsid w:val="FED7B038"/>
    <w:rsid w:val="FED919D3"/>
    <w:rsid w:val="FED95DAC"/>
    <w:rsid w:val="FED9EF3C"/>
    <w:rsid w:val="FEDA2DEC"/>
    <w:rsid w:val="FEDA9612"/>
    <w:rsid w:val="FEDBC291"/>
    <w:rsid w:val="FEDC78D9"/>
    <w:rsid w:val="FEDC96E1"/>
    <w:rsid w:val="FEDD2DEE"/>
    <w:rsid w:val="FEDD3BD2"/>
    <w:rsid w:val="FEDD89D5"/>
    <w:rsid w:val="FEDE08AF"/>
    <w:rsid w:val="FEDE92D5"/>
    <w:rsid w:val="FEDF1450"/>
    <w:rsid w:val="FEDF2EBA"/>
    <w:rsid w:val="FEDF3AD2"/>
    <w:rsid w:val="FEDF48A2"/>
    <w:rsid w:val="FEDF608A"/>
    <w:rsid w:val="FEDF6CF9"/>
    <w:rsid w:val="FEDF7944"/>
    <w:rsid w:val="FEDF882F"/>
    <w:rsid w:val="FEDFA4BB"/>
    <w:rsid w:val="FEDFE3EA"/>
    <w:rsid w:val="FEDFF3AC"/>
    <w:rsid w:val="FEDFFBE7"/>
    <w:rsid w:val="FEE3E615"/>
    <w:rsid w:val="FEE57FE4"/>
    <w:rsid w:val="FEE66B93"/>
    <w:rsid w:val="FEE7253F"/>
    <w:rsid w:val="FEE7328D"/>
    <w:rsid w:val="FEE76122"/>
    <w:rsid w:val="FEE7D4BC"/>
    <w:rsid w:val="FEEB23CC"/>
    <w:rsid w:val="FEEB6874"/>
    <w:rsid w:val="FEEB7C59"/>
    <w:rsid w:val="FEEBC550"/>
    <w:rsid w:val="FEEBE541"/>
    <w:rsid w:val="FEEBE9F8"/>
    <w:rsid w:val="FEEC0E51"/>
    <w:rsid w:val="FEECBF46"/>
    <w:rsid w:val="FEECF044"/>
    <w:rsid w:val="FEED57D3"/>
    <w:rsid w:val="FEEDD939"/>
    <w:rsid w:val="FEEE9332"/>
    <w:rsid w:val="FEEED3B4"/>
    <w:rsid w:val="FEEEDF45"/>
    <w:rsid w:val="FEEF25E4"/>
    <w:rsid w:val="FEEF34F4"/>
    <w:rsid w:val="FEEF80DC"/>
    <w:rsid w:val="FEEFAFB6"/>
    <w:rsid w:val="FEEFC99B"/>
    <w:rsid w:val="FEEFECF7"/>
    <w:rsid w:val="FEEFED83"/>
    <w:rsid w:val="FEEFF96D"/>
    <w:rsid w:val="FEF16509"/>
    <w:rsid w:val="FEF28487"/>
    <w:rsid w:val="FEF31033"/>
    <w:rsid w:val="FEF43CAA"/>
    <w:rsid w:val="FEF54F45"/>
    <w:rsid w:val="FEF57656"/>
    <w:rsid w:val="FEF5DC2B"/>
    <w:rsid w:val="FEF616DE"/>
    <w:rsid w:val="FEF68D4D"/>
    <w:rsid w:val="FEF6DF02"/>
    <w:rsid w:val="FEF6EC15"/>
    <w:rsid w:val="FEF70B8B"/>
    <w:rsid w:val="FEF720F5"/>
    <w:rsid w:val="FEF72A90"/>
    <w:rsid w:val="FEF74825"/>
    <w:rsid w:val="FEF75951"/>
    <w:rsid w:val="FEF78B60"/>
    <w:rsid w:val="FEF7A413"/>
    <w:rsid w:val="FEF7A540"/>
    <w:rsid w:val="FEF7ACF1"/>
    <w:rsid w:val="FEF7B1BF"/>
    <w:rsid w:val="FEF9015D"/>
    <w:rsid w:val="FEFB225E"/>
    <w:rsid w:val="FEFB476F"/>
    <w:rsid w:val="FEFB4F70"/>
    <w:rsid w:val="FEFB557D"/>
    <w:rsid w:val="FEFB89F9"/>
    <w:rsid w:val="FEFBB076"/>
    <w:rsid w:val="FEFBCA0A"/>
    <w:rsid w:val="FEFBDF1B"/>
    <w:rsid w:val="FEFC9589"/>
    <w:rsid w:val="FEFCAB22"/>
    <w:rsid w:val="FEFD0FA5"/>
    <w:rsid w:val="FEFD1778"/>
    <w:rsid w:val="FEFD3779"/>
    <w:rsid w:val="FEFD3815"/>
    <w:rsid w:val="FEFD97F8"/>
    <w:rsid w:val="FEFDC859"/>
    <w:rsid w:val="FEFDE54F"/>
    <w:rsid w:val="FEFE03AE"/>
    <w:rsid w:val="FEFE6C00"/>
    <w:rsid w:val="FEFF0CF2"/>
    <w:rsid w:val="FEFF151E"/>
    <w:rsid w:val="FEFF1BF5"/>
    <w:rsid w:val="FEFF20BC"/>
    <w:rsid w:val="FEFF22B5"/>
    <w:rsid w:val="FEFF2AC6"/>
    <w:rsid w:val="FEFF30F6"/>
    <w:rsid w:val="FEFF3DA1"/>
    <w:rsid w:val="FEFF43CD"/>
    <w:rsid w:val="FEFF61E4"/>
    <w:rsid w:val="FEFF7910"/>
    <w:rsid w:val="FEFF888B"/>
    <w:rsid w:val="FEFF9425"/>
    <w:rsid w:val="FEFF9C9E"/>
    <w:rsid w:val="FEFF9FD5"/>
    <w:rsid w:val="FEFFBD99"/>
    <w:rsid w:val="FEFFCD5F"/>
    <w:rsid w:val="FEFFCEDF"/>
    <w:rsid w:val="FEFFD2E5"/>
    <w:rsid w:val="FEFFF34C"/>
    <w:rsid w:val="FEFFF3EA"/>
    <w:rsid w:val="FEFFFC2A"/>
    <w:rsid w:val="FEFFFF22"/>
    <w:rsid w:val="FF07778D"/>
    <w:rsid w:val="FF07E44D"/>
    <w:rsid w:val="FF0B9AEE"/>
    <w:rsid w:val="FF0F41A5"/>
    <w:rsid w:val="FF0FC8E4"/>
    <w:rsid w:val="FF1183B8"/>
    <w:rsid w:val="FF1F6813"/>
    <w:rsid w:val="FF1FC69B"/>
    <w:rsid w:val="FF279297"/>
    <w:rsid w:val="FF2A2E3F"/>
    <w:rsid w:val="FF2C6BBE"/>
    <w:rsid w:val="FF2E777A"/>
    <w:rsid w:val="FF2F4882"/>
    <w:rsid w:val="FF2FA01A"/>
    <w:rsid w:val="FF355BCE"/>
    <w:rsid w:val="FF3593A4"/>
    <w:rsid w:val="FF3721CB"/>
    <w:rsid w:val="FF372A30"/>
    <w:rsid w:val="FF37B449"/>
    <w:rsid w:val="FF396446"/>
    <w:rsid w:val="FF3AC03C"/>
    <w:rsid w:val="FF3BBFF0"/>
    <w:rsid w:val="FF3BE605"/>
    <w:rsid w:val="FF3DCD82"/>
    <w:rsid w:val="FF3DD77C"/>
    <w:rsid w:val="FF3E6E82"/>
    <w:rsid w:val="FF3F288A"/>
    <w:rsid w:val="FF3F3455"/>
    <w:rsid w:val="FF3F5253"/>
    <w:rsid w:val="FF3F8633"/>
    <w:rsid w:val="FF3FA0AC"/>
    <w:rsid w:val="FF3FACC3"/>
    <w:rsid w:val="FF3FC2E8"/>
    <w:rsid w:val="FF3FEBD1"/>
    <w:rsid w:val="FF3FEEA0"/>
    <w:rsid w:val="FF3FFD77"/>
    <w:rsid w:val="FF46A45C"/>
    <w:rsid w:val="FF47AABB"/>
    <w:rsid w:val="FF485E19"/>
    <w:rsid w:val="FF4B2860"/>
    <w:rsid w:val="FF4B40FA"/>
    <w:rsid w:val="FF4BDA8A"/>
    <w:rsid w:val="FF4DCF5E"/>
    <w:rsid w:val="FF4E3391"/>
    <w:rsid w:val="FF4E7DE2"/>
    <w:rsid w:val="FF4EB47C"/>
    <w:rsid w:val="FF4F438E"/>
    <w:rsid w:val="FF4FC100"/>
    <w:rsid w:val="FF4FD9C5"/>
    <w:rsid w:val="FF51DF1D"/>
    <w:rsid w:val="FF542F6F"/>
    <w:rsid w:val="FF554009"/>
    <w:rsid w:val="FF5738ED"/>
    <w:rsid w:val="FF57EF2D"/>
    <w:rsid w:val="FF5995F8"/>
    <w:rsid w:val="FF5A98B5"/>
    <w:rsid w:val="FF5B7E9B"/>
    <w:rsid w:val="FF5B8058"/>
    <w:rsid w:val="FF5B9C7A"/>
    <w:rsid w:val="FF5C898C"/>
    <w:rsid w:val="FF5D7E54"/>
    <w:rsid w:val="FF5EB49E"/>
    <w:rsid w:val="FF5ECC8B"/>
    <w:rsid w:val="FF5EF8A7"/>
    <w:rsid w:val="FF5F0DEF"/>
    <w:rsid w:val="FF5F1A71"/>
    <w:rsid w:val="FF5F35C4"/>
    <w:rsid w:val="FF5F37FA"/>
    <w:rsid w:val="FF5FC369"/>
    <w:rsid w:val="FF5FCE60"/>
    <w:rsid w:val="FF638010"/>
    <w:rsid w:val="FF63C67B"/>
    <w:rsid w:val="FF652546"/>
    <w:rsid w:val="FF69C85F"/>
    <w:rsid w:val="FF6B1276"/>
    <w:rsid w:val="FF6CCEA1"/>
    <w:rsid w:val="FF6CEF00"/>
    <w:rsid w:val="FF6D2859"/>
    <w:rsid w:val="FF6DFD16"/>
    <w:rsid w:val="FF6E0D1B"/>
    <w:rsid w:val="FF6E2CD9"/>
    <w:rsid w:val="FF6EA571"/>
    <w:rsid w:val="FF6EB27E"/>
    <w:rsid w:val="FF6EFEE2"/>
    <w:rsid w:val="FF6F1F89"/>
    <w:rsid w:val="FF6F35ED"/>
    <w:rsid w:val="FF6F8BB8"/>
    <w:rsid w:val="FF6FB3FD"/>
    <w:rsid w:val="FF6FB7F6"/>
    <w:rsid w:val="FF6FCEE1"/>
    <w:rsid w:val="FF72E31B"/>
    <w:rsid w:val="FF73B063"/>
    <w:rsid w:val="FF754C5D"/>
    <w:rsid w:val="FF764627"/>
    <w:rsid w:val="FF774A82"/>
    <w:rsid w:val="FF7757D1"/>
    <w:rsid w:val="FF77C946"/>
    <w:rsid w:val="FF77D7E6"/>
    <w:rsid w:val="FF77DF1F"/>
    <w:rsid w:val="FF77E7D8"/>
    <w:rsid w:val="FF77F8A0"/>
    <w:rsid w:val="FF7893A6"/>
    <w:rsid w:val="FF78EBB3"/>
    <w:rsid w:val="FF792073"/>
    <w:rsid w:val="FF796467"/>
    <w:rsid w:val="FF798433"/>
    <w:rsid w:val="FF7AAA1F"/>
    <w:rsid w:val="FF7ACBEA"/>
    <w:rsid w:val="FF7AF2C4"/>
    <w:rsid w:val="FF7B0952"/>
    <w:rsid w:val="FF7B1FA2"/>
    <w:rsid w:val="FF7B2FAC"/>
    <w:rsid w:val="FF7B58B0"/>
    <w:rsid w:val="FF7B5BFE"/>
    <w:rsid w:val="FF7B75D4"/>
    <w:rsid w:val="FF7B845B"/>
    <w:rsid w:val="FF7B89E4"/>
    <w:rsid w:val="FF7BA902"/>
    <w:rsid w:val="FF7BEC76"/>
    <w:rsid w:val="FF7C3EE4"/>
    <w:rsid w:val="FF7C6499"/>
    <w:rsid w:val="FF7D2B0C"/>
    <w:rsid w:val="FF7D5C4D"/>
    <w:rsid w:val="FF7D888E"/>
    <w:rsid w:val="FF7DF746"/>
    <w:rsid w:val="FF7E0815"/>
    <w:rsid w:val="FF7E4151"/>
    <w:rsid w:val="FF7E79CC"/>
    <w:rsid w:val="FF7EB590"/>
    <w:rsid w:val="FF7F2B60"/>
    <w:rsid w:val="FF7F3BD8"/>
    <w:rsid w:val="FF7F3FE3"/>
    <w:rsid w:val="FF7F4756"/>
    <w:rsid w:val="FF7F54EA"/>
    <w:rsid w:val="FF7F60E0"/>
    <w:rsid w:val="FF7F6AFF"/>
    <w:rsid w:val="FF7F81F9"/>
    <w:rsid w:val="FF7F8EF5"/>
    <w:rsid w:val="FF7FA847"/>
    <w:rsid w:val="FF7FBF4F"/>
    <w:rsid w:val="FF7FC0F2"/>
    <w:rsid w:val="FF7FD350"/>
    <w:rsid w:val="FF7FFDFC"/>
    <w:rsid w:val="FF844511"/>
    <w:rsid w:val="FF84A7A5"/>
    <w:rsid w:val="FF8B0B1E"/>
    <w:rsid w:val="FF8E1BEF"/>
    <w:rsid w:val="FF8F9B6D"/>
    <w:rsid w:val="FF8FBD02"/>
    <w:rsid w:val="FF8FF403"/>
    <w:rsid w:val="FF963A9C"/>
    <w:rsid w:val="FF967E6A"/>
    <w:rsid w:val="FF9779D4"/>
    <w:rsid w:val="FF97BB16"/>
    <w:rsid w:val="FF97D4E6"/>
    <w:rsid w:val="FF97D646"/>
    <w:rsid w:val="FF990395"/>
    <w:rsid w:val="FF996704"/>
    <w:rsid w:val="FF998609"/>
    <w:rsid w:val="FF9B42F8"/>
    <w:rsid w:val="FF9B969A"/>
    <w:rsid w:val="FF9B97CB"/>
    <w:rsid w:val="FF9BA9BA"/>
    <w:rsid w:val="FF9C31D2"/>
    <w:rsid w:val="FF9CB3C6"/>
    <w:rsid w:val="FF9CE1DE"/>
    <w:rsid w:val="FF9D0348"/>
    <w:rsid w:val="FF9D1752"/>
    <w:rsid w:val="FF9D96C4"/>
    <w:rsid w:val="FF9F0D62"/>
    <w:rsid w:val="FF9F1F41"/>
    <w:rsid w:val="FF9F2983"/>
    <w:rsid w:val="FF9F374C"/>
    <w:rsid w:val="FF9F47A4"/>
    <w:rsid w:val="FF9F616F"/>
    <w:rsid w:val="FF9F6CFD"/>
    <w:rsid w:val="FF9F996B"/>
    <w:rsid w:val="FF9FDDBA"/>
    <w:rsid w:val="FF9FED5D"/>
    <w:rsid w:val="FFA271FD"/>
    <w:rsid w:val="FFA3A3AC"/>
    <w:rsid w:val="FFA5E928"/>
    <w:rsid w:val="FFA6992A"/>
    <w:rsid w:val="FFA70864"/>
    <w:rsid w:val="FFA788C5"/>
    <w:rsid w:val="FFAB29A9"/>
    <w:rsid w:val="FFAB98D7"/>
    <w:rsid w:val="FFAC1653"/>
    <w:rsid w:val="FFAD0287"/>
    <w:rsid w:val="FFAD20B4"/>
    <w:rsid w:val="FFAD94A3"/>
    <w:rsid w:val="FFAD96F7"/>
    <w:rsid w:val="FFADB115"/>
    <w:rsid w:val="FFAEDD35"/>
    <w:rsid w:val="FFAF06F3"/>
    <w:rsid w:val="FFAF6F79"/>
    <w:rsid w:val="FFAF742D"/>
    <w:rsid w:val="FFAFA869"/>
    <w:rsid w:val="FFAFAAF5"/>
    <w:rsid w:val="FFAFB53D"/>
    <w:rsid w:val="FFAFB82D"/>
    <w:rsid w:val="FFB3D983"/>
    <w:rsid w:val="FFB50504"/>
    <w:rsid w:val="FFB694F8"/>
    <w:rsid w:val="FFB6B09D"/>
    <w:rsid w:val="FFB6BE1E"/>
    <w:rsid w:val="FFB70647"/>
    <w:rsid w:val="FFB70D3D"/>
    <w:rsid w:val="FFB710F9"/>
    <w:rsid w:val="FFB7263C"/>
    <w:rsid w:val="FFB74393"/>
    <w:rsid w:val="FFB7451C"/>
    <w:rsid w:val="FFB762DD"/>
    <w:rsid w:val="FFB77A9C"/>
    <w:rsid w:val="FFB7AA0D"/>
    <w:rsid w:val="FFB7CD4D"/>
    <w:rsid w:val="FFB80B65"/>
    <w:rsid w:val="FFBACED2"/>
    <w:rsid w:val="FFBADB55"/>
    <w:rsid w:val="FFBAE5FF"/>
    <w:rsid w:val="FFBB98B1"/>
    <w:rsid w:val="FFBBA82C"/>
    <w:rsid w:val="FFBBEB13"/>
    <w:rsid w:val="FFBBF43E"/>
    <w:rsid w:val="FFBC0EB2"/>
    <w:rsid w:val="FFBC3E30"/>
    <w:rsid w:val="FFBC4474"/>
    <w:rsid w:val="FFBC783F"/>
    <w:rsid w:val="FFBCA102"/>
    <w:rsid w:val="FFBCB471"/>
    <w:rsid w:val="FFBD1E71"/>
    <w:rsid w:val="FFBD24B9"/>
    <w:rsid w:val="FFBD946E"/>
    <w:rsid w:val="FFBDB4A0"/>
    <w:rsid w:val="FFBDDFAF"/>
    <w:rsid w:val="FFBE2A70"/>
    <w:rsid w:val="FFBE3DAF"/>
    <w:rsid w:val="FFBE8490"/>
    <w:rsid w:val="FFBE900D"/>
    <w:rsid w:val="FFBECC56"/>
    <w:rsid w:val="FFBEF439"/>
    <w:rsid w:val="FFBF017D"/>
    <w:rsid w:val="FFBF0871"/>
    <w:rsid w:val="FFBF1B68"/>
    <w:rsid w:val="FFBF2920"/>
    <w:rsid w:val="FFBF2C49"/>
    <w:rsid w:val="FFBF45DD"/>
    <w:rsid w:val="FFBF5E19"/>
    <w:rsid w:val="FFBF6E99"/>
    <w:rsid w:val="FFBF78E1"/>
    <w:rsid w:val="FFBF86E7"/>
    <w:rsid w:val="FFBF96AF"/>
    <w:rsid w:val="FFBF98DA"/>
    <w:rsid w:val="FFBF9F81"/>
    <w:rsid w:val="FFBFA431"/>
    <w:rsid w:val="FFBFA6E3"/>
    <w:rsid w:val="FFBFCC96"/>
    <w:rsid w:val="FFBFD535"/>
    <w:rsid w:val="FFBFE80A"/>
    <w:rsid w:val="FFBFF01E"/>
    <w:rsid w:val="FFBFF8E4"/>
    <w:rsid w:val="FFBFFE09"/>
    <w:rsid w:val="FFBFFF8E"/>
    <w:rsid w:val="FFC35FC6"/>
    <w:rsid w:val="FFC57B8E"/>
    <w:rsid w:val="FFC7051A"/>
    <w:rsid w:val="FFC7F550"/>
    <w:rsid w:val="FFC8F963"/>
    <w:rsid w:val="FFCBA127"/>
    <w:rsid w:val="FFCD5016"/>
    <w:rsid w:val="FFCDBA59"/>
    <w:rsid w:val="FFCE16E9"/>
    <w:rsid w:val="FFCE26BE"/>
    <w:rsid w:val="FFCE8023"/>
    <w:rsid w:val="FFCE89D6"/>
    <w:rsid w:val="FFCEB720"/>
    <w:rsid w:val="FFCEC52E"/>
    <w:rsid w:val="FFCEDBEB"/>
    <w:rsid w:val="FFCF0DD2"/>
    <w:rsid w:val="FFCF4D43"/>
    <w:rsid w:val="FFCF6868"/>
    <w:rsid w:val="FFCFD3CF"/>
    <w:rsid w:val="FFCFEB5E"/>
    <w:rsid w:val="FFD2CBCF"/>
    <w:rsid w:val="FFD3FD7D"/>
    <w:rsid w:val="FFD549D2"/>
    <w:rsid w:val="FFD5844B"/>
    <w:rsid w:val="FFD5ED9B"/>
    <w:rsid w:val="FFD6954C"/>
    <w:rsid w:val="FFD6A1D0"/>
    <w:rsid w:val="FFD6B8D1"/>
    <w:rsid w:val="FFD74E61"/>
    <w:rsid w:val="FFD7AEF8"/>
    <w:rsid w:val="FFD7B3DC"/>
    <w:rsid w:val="FFD7BA67"/>
    <w:rsid w:val="FFD7DB27"/>
    <w:rsid w:val="FFD7F490"/>
    <w:rsid w:val="FFD90772"/>
    <w:rsid w:val="FFD90794"/>
    <w:rsid w:val="FFDA4CB5"/>
    <w:rsid w:val="FFDA9D9E"/>
    <w:rsid w:val="FFDAAD37"/>
    <w:rsid w:val="FFDB01FC"/>
    <w:rsid w:val="FFDB0B80"/>
    <w:rsid w:val="FFDB18AD"/>
    <w:rsid w:val="FFDB22CB"/>
    <w:rsid w:val="FFDB25DF"/>
    <w:rsid w:val="FFDB7B46"/>
    <w:rsid w:val="FFDB7DCE"/>
    <w:rsid w:val="FFDB8D1C"/>
    <w:rsid w:val="FFDB9CB7"/>
    <w:rsid w:val="FFDBAB26"/>
    <w:rsid w:val="FFDBB556"/>
    <w:rsid w:val="FFDBB679"/>
    <w:rsid w:val="FFDBCD89"/>
    <w:rsid w:val="FFDBCF4E"/>
    <w:rsid w:val="FFDBE076"/>
    <w:rsid w:val="FFDC0005"/>
    <w:rsid w:val="FFDD0C9D"/>
    <w:rsid w:val="FFDD453D"/>
    <w:rsid w:val="FFDD5C17"/>
    <w:rsid w:val="FFDD6D56"/>
    <w:rsid w:val="FFDDA418"/>
    <w:rsid w:val="FFDDD2A2"/>
    <w:rsid w:val="FFDDFFEC"/>
    <w:rsid w:val="FFDE0512"/>
    <w:rsid w:val="FFDE2E04"/>
    <w:rsid w:val="FFDEB68E"/>
    <w:rsid w:val="FFDEBD56"/>
    <w:rsid w:val="FFDEC2BD"/>
    <w:rsid w:val="FFDEC511"/>
    <w:rsid w:val="FFDF0048"/>
    <w:rsid w:val="FFDF0820"/>
    <w:rsid w:val="FFDF0904"/>
    <w:rsid w:val="FFDF0C88"/>
    <w:rsid w:val="FFDF1629"/>
    <w:rsid w:val="FFDF271B"/>
    <w:rsid w:val="FFDF31B6"/>
    <w:rsid w:val="FFDF3877"/>
    <w:rsid w:val="FFDF7796"/>
    <w:rsid w:val="FFDF7C4D"/>
    <w:rsid w:val="FFDF7F47"/>
    <w:rsid w:val="FFDF9AFF"/>
    <w:rsid w:val="FFDFBF17"/>
    <w:rsid w:val="FFDFC16A"/>
    <w:rsid w:val="FFDFCC1C"/>
    <w:rsid w:val="FFDFCD82"/>
    <w:rsid w:val="FFDFCF86"/>
    <w:rsid w:val="FFDFD336"/>
    <w:rsid w:val="FFDFD9FC"/>
    <w:rsid w:val="FFDFDC47"/>
    <w:rsid w:val="FFDFE7C3"/>
    <w:rsid w:val="FFDFE843"/>
    <w:rsid w:val="FFDFEC21"/>
    <w:rsid w:val="FFDFF03C"/>
    <w:rsid w:val="FFDFF200"/>
    <w:rsid w:val="FFE31282"/>
    <w:rsid w:val="FFE3EBD3"/>
    <w:rsid w:val="FFE52EC7"/>
    <w:rsid w:val="FFE60BE7"/>
    <w:rsid w:val="FFE65193"/>
    <w:rsid w:val="FFE70E3B"/>
    <w:rsid w:val="FFE711C5"/>
    <w:rsid w:val="FFE77C5D"/>
    <w:rsid w:val="FFE7AC05"/>
    <w:rsid w:val="FFE7AF1D"/>
    <w:rsid w:val="FFE7D486"/>
    <w:rsid w:val="FFE7E35A"/>
    <w:rsid w:val="FFE8636C"/>
    <w:rsid w:val="FFE8653A"/>
    <w:rsid w:val="FFE94E07"/>
    <w:rsid w:val="FFE997B7"/>
    <w:rsid w:val="FFE9B2FD"/>
    <w:rsid w:val="FFE9BFD3"/>
    <w:rsid w:val="FFE9CFA3"/>
    <w:rsid w:val="FFEA491B"/>
    <w:rsid w:val="FFEB0747"/>
    <w:rsid w:val="FFEB097E"/>
    <w:rsid w:val="FFEB2BAE"/>
    <w:rsid w:val="FFEB434F"/>
    <w:rsid w:val="FFEB6B02"/>
    <w:rsid w:val="FFEB79AD"/>
    <w:rsid w:val="FFEB7F53"/>
    <w:rsid w:val="FFEB8722"/>
    <w:rsid w:val="FFEBC943"/>
    <w:rsid w:val="FFEBE440"/>
    <w:rsid w:val="FFEC411E"/>
    <w:rsid w:val="FFEC8A13"/>
    <w:rsid w:val="FFED0AC3"/>
    <w:rsid w:val="FFED39BE"/>
    <w:rsid w:val="FFED78D0"/>
    <w:rsid w:val="FFED7A3C"/>
    <w:rsid w:val="FFED8EB6"/>
    <w:rsid w:val="FFEE13C4"/>
    <w:rsid w:val="FFEE2ACA"/>
    <w:rsid w:val="FFEE5211"/>
    <w:rsid w:val="FFEE66C0"/>
    <w:rsid w:val="FFEE8144"/>
    <w:rsid w:val="FFEEDB90"/>
    <w:rsid w:val="FFEF1B92"/>
    <w:rsid w:val="FFEF1D38"/>
    <w:rsid w:val="FFEF305F"/>
    <w:rsid w:val="FFEF521C"/>
    <w:rsid w:val="FFEF603D"/>
    <w:rsid w:val="FFEF6AD8"/>
    <w:rsid w:val="FFEF7F07"/>
    <w:rsid w:val="FFEF8367"/>
    <w:rsid w:val="FFEF89BE"/>
    <w:rsid w:val="FFEFA5A6"/>
    <w:rsid w:val="FFEFBD16"/>
    <w:rsid w:val="FFEFC28C"/>
    <w:rsid w:val="FFEFD1CD"/>
    <w:rsid w:val="FFEFDDE4"/>
    <w:rsid w:val="FFEFE6AB"/>
    <w:rsid w:val="FFEFEDD6"/>
    <w:rsid w:val="FFEFF21A"/>
    <w:rsid w:val="FFEFF840"/>
    <w:rsid w:val="FFEFFEFA"/>
    <w:rsid w:val="FFF1A4C4"/>
    <w:rsid w:val="FFF1CCA6"/>
    <w:rsid w:val="FFF1F94F"/>
    <w:rsid w:val="FFF22A26"/>
    <w:rsid w:val="FFF2B3A3"/>
    <w:rsid w:val="FFF3136B"/>
    <w:rsid w:val="FFF31495"/>
    <w:rsid w:val="FFF32335"/>
    <w:rsid w:val="FFF34F95"/>
    <w:rsid w:val="FFF3551C"/>
    <w:rsid w:val="FFF36AB2"/>
    <w:rsid w:val="FFF36CC3"/>
    <w:rsid w:val="FFF37C4B"/>
    <w:rsid w:val="FFF3F2F9"/>
    <w:rsid w:val="FFF3FC5A"/>
    <w:rsid w:val="FFF442B2"/>
    <w:rsid w:val="FFF4644F"/>
    <w:rsid w:val="FFF4900A"/>
    <w:rsid w:val="FFF492EC"/>
    <w:rsid w:val="FFF49EA9"/>
    <w:rsid w:val="FFF549F1"/>
    <w:rsid w:val="FFF589FA"/>
    <w:rsid w:val="FFF59F23"/>
    <w:rsid w:val="FFF5BADE"/>
    <w:rsid w:val="FFF5EFE2"/>
    <w:rsid w:val="FFF5F31A"/>
    <w:rsid w:val="FFF611F0"/>
    <w:rsid w:val="FFF622FD"/>
    <w:rsid w:val="FFF629D3"/>
    <w:rsid w:val="FFF648F1"/>
    <w:rsid w:val="FFF66572"/>
    <w:rsid w:val="FFF66FE3"/>
    <w:rsid w:val="FFF678EA"/>
    <w:rsid w:val="FFF687CD"/>
    <w:rsid w:val="FFF68EBE"/>
    <w:rsid w:val="FFF6C09E"/>
    <w:rsid w:val="FFF6DE93"/>
    <w:rsid w:val="FFF70497"/>
    <w:rsid w:val="FFF7135B"/>
    <w:rsid w:val="FFF71F6D"/>
    <w:rsid w:val="FFF7235A"/>
    <w:rsid w:val="FFF72E5C"/>
    <w:rsid w:val="FFF73EC3"/>
    <w:rsid w:val="FFF7412A"/>
    <w:rsid w:val="FFF752A3"/>
    <w:rsid w:val="FFF76311"/>
    <w:rsid w:val="FFF77280"/>
    <w:rsid w:val="FFF775AC"/>
    <w:rsid w:val="FFF77A91"/>
    <w:rsid w:val="FFF79C73"/>
    <w:rsid w:val="FFF7A16E"/>
    <w:rsid w:val="FFF7A811"/>
    <w:rsid w:val="FFF7ABB5"/>
    <w:rsid w:val="FFF7B732"/>
    <w:rsid w:val="FFF7BDA5"/>
    <w:rsid w:val="FFF7BE04"/>
    <w:rsid w:val="FFF7C16A"/>
    <w:rsid w:val="FFF7EE7B"/>
    <w:rsid w:val="FFF85D70"/>
    <w:rsid w:val="FFF8699A"/>
    <w:rsid w:val="FFF87145"/>
    <w:rsid w:val="FFF93735"/>
    <w:rsid w:val="FFF949BE"/>
    <w:rsid w:val="FFF9CDA0"/>
    <w:rsid w:val="FFF9E322"/>
    <w:rsid w:val="FFFA1B99"/>
    <w:rsid w:val="FFFA4EAA"/>
    <w:rsid w:val="FFFA63CE"/>
    <w:rsid w:val="FFFA6970"/>
    <w:rsid w:val="FFFA7817"/>
    <w:rsid w:val="FFFA7C67"/>
    <w:rsid w:val="FFFAC339"/>
    <w:rsid w:val="FFFAEEF3"/>
    <w:rsid w:val="FFFAF690"/>
    <w:rsid w:val="FFFB0EF3"/>
    <w:rsid w:val="FFFB1182"/>
    <w:rsid w:val="FFFB218E"/>
    <w:rsid w:val="FFFB3039"/>
    <w:rsid w:val="FFFB4FF9"/>
    <w:rsid w:val="FFFB5B97"/>
    <w:rsid w:val="FFFB6182"/>
    <w:rsid w:val="FFFB68C3"/>
    <w:rsid w:val="FFFB775D"/>
    <w:rsid w:val="FFFB7E83"/>
    <w:rsid w:val="FFFB8577"/>
    <w:rsid w:val="FFFB90AD"/>
    <w:rsid w:val="FFFB93D5"/>
    <w:rsid w:val="FFFB987D"/>
    <w:rsid w:val="FFFBA18E"/>
    <w:rsid w:val="FFFBA26A"/>
    <w:rsid w:val="FFFBC27C"/>
    <w:rsid w:val="FFFBC9C0"/>
    <w:rsid w:val="FFFBD5FB"/>
    <w:rsid w:val="FFFBD760"/>
    <w:rsid w:val="FFFBEBDB"/>
    <w:rsid w:val="FFFC475B"/>
    <w:rsid w:val="FFFC8780"/>
    <w:rsid w:val="FFFCA039"/>
    <w:rsid w:val="FFFCE43A"/>
    <w:rsid w:val="FFFCE534"/>
    <w:rsid w:val="FFFCFF78"/>
    <w:rsid w:val="FFFD03B0"/>
    <w:rsid w:val="FFFD0D8E"/>
    <w:rsid w:val="FFFD1481"/>
    <w:rsid w:val="FFFD25EE"/>
    <w:rsid w:val="FFFD3FCA"/>
    <w:rsid w:val="FFFD4CC7"/>
    <w:rsid w:val="FFFD548A"/>
    <w:rsid w:val="FFFD57E0"/>
    <w:rsid w:val="FFFD5A89"/>
    <w:rsid w:val="FFFD5F5B"/>
    <w:rsid w:val="FFFD6F32"/>
    <w:rsid w:val="FFFD7A2A"/>
    <w:rsid w:val="FFFD7FF0"/>
    <w:rsid w:val="FFFD7FF8"/>
    <w:rsid w:val="FFFD8B94"/>
    <w:rsid w:val="FFFDA857"/>
    <w:rsid w:val="FFFDB6A2"/>
    <w:rsid w:val="FFFDB8BB"/>
    <w:rsid w:val="FFFDDC7A"/>
    <w:rsid w:val="FFFDF2C7"/>
    <w:rsid w:val="FFFDF762"/>
    <w:rsid w:val="FFFDF9E9"/>
    <w:rsid w:val="FFFE01CB"/>
    <w:rsid w:val="FFFE02E6"/>
    <w:rsid w:val="FFFE0801"/>
    <w:rsid w:val="FFFE1949"/>
    <w:rsid w:val="FFFE1A0C"/>
    <w:rsid w:val="FFFE6DF0"/>
    <w:rsid w:val="FFFE84EE"/>
    <w:rsid w:val="FFFE89A7"/>
    <w:rsid w:val="FFFE8BA6"/>
    <w:rsid w:val="FFFE9E79"/>
    <w:rsid w:val="FFFEB9C1"/>
    <w:rsid w:val="FFFED190"/>
    <w:rsid w:val="FFFED56D"/>
    <w:rsid w:val="FFFEF4C6"/>
    <w:rsid w:val="FFFEFD1E"/>
    <w:rsid w:val="FFFF01F4"/>
    <w:rsid w:val="FFFF0733"/>
    <w:rsid w:val="FFFF0AEB"/>
    <w:rsid w:val="FFFF1202"/>
    <w:rsid w:val="FFFF1650"/>
    <w:rsid w:val="FFFF186B"/>
    <w:rsid w:val="FFFF18B4"/>
    <w:rsid w:val="FFFF196F"/>
    <w:rsid w:val="FFFF1A63"/>
    <w:rsid w:val="FFFF1C74"/>
    <w:rsid w:val="FFFF1E8F"/>
    <w:rsid w:val="FFFF206A"/>
    <w:rsid w:val="FFFF22E2"/>
    <w:rsid w:val="FFFF2928"/>
    <w:rsid w:val="FFFF2A71"/>
    <w:rsid w:val="FFFF304F"/>
    <w:rsid w:val="FFFF30D7"/>
    <w:rsid w:val="FFFF32BB"/>
    <w:rsid w:val="FFFF33F3"/>
    <w:rsid w:val="FFFF3A12"/>
    <w:rsid w:val="FFFF3D74"/>
    <w:rsid w:val="FFFF41EC"/>
    <w:rsid w:val="FFFF48A0"/>
    <w:rsid w:val="FFFF61D6"/>
    <w:rsid w:val="FFFF622A"/>
    <w:rsid w:val="FFFF6C0D"/>
    <w:rsid w:val="FFFF7686"/>
    <w:rsid w:val="FFFF7935"/>
    <w:rsid w:val="FFFF8075"/>
    <w:rsid w:val="FFFF8173"/>
    <w:rsid w:val="FFFF857D"/>
    <w:rsid w:val="FFFF860A"/>
    <w:rsid w:val="FFFF8D88"/>
    <w:rsid w:val="FFFF8DA5"/>
    <w:rsid w:val="FFFF91B1"/>
    <w:rsid w:val="FFFF99A3"/>
    <w:rsid w:val="FFFFA477"/>
    <w:rsid w:val="FFFFAE8A"/>
    <w:rsid w:val="FFFFB19C"/>
    <w:rsid w:val="FFFFB822"/>
    <w:rsid w:val="FFFFC5BA"/>
    <w:rsid w:val="FFFFCC5E"/>
    <w:rsid w:val="FFFFCD0E"/>
    <w:rsid w:val="FFFFD5BF"/>
    <w:rsid w:val="FFFFD911"/>
    <w:rsid w:val="FFFFDC84"/>
    <w:rsid w:val="FFFFDDF0"/>
    <w:rsid w:val="FFFFE358"/>
    <w:rsid w:val="FFFFE94E"/>
    <w:rsid w:val="FFFFEA90"/>
    <w:rsid w:val="FFFFF0A1"/>
    <w:rsid w:val="FFFFF41A"/>
    <w:rsid w:val="FFFFFCA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iPriority="39"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30"/>
    <w:qFormat/>
    <w:uiPriority w:val="9"/>
    <w:pPr>
      <w:keepNext/>
      <w:keepLines/>
      <w:adjustRightInd w:val="0"/>
      <w:snapToGrid w:val="0"/>
      <w:spacing w:line="588" w:lineRule="exact"/>
      <w:jc w:val="center"/>
      <w:outlineLvl w:val="0"/>
    </w:pPr>
    <w:rPr>
      <w:rFonts w:ascii="Times New Roman" w:hAnsi="Times New Roman" w:eastAsia="黑体"/>
      <w:kern w:val="44"/>
      <w:sz w:val="30"/>
    </w:rPr>
  </w:style>
  <w:style w:type="paragraph" w:styleId="4">
    <w:name w:val="heading 2"/>
    <w:basedOn w:val="1"/>
    <w:next w:val="1"/>
    <w:link w:val="44"/>
    <w:qFormat/>
    <w:uiPriority w:val="9"/>
    <w:pPr>
      <w:adjustRightInd w:val="0"/>
      <w:snapToGrid w:val="0"/>
      <w:spacing w:line="588" w:lineRule="exact"/>
      <w:ind w:firstLine="602" w:firstLineChars="200"/>
      <w:outlineLvl w:val="1"/>
    </w:pPr>
    <w:rPr>
      <w:rFonts w:ascii="Times New Roman" w:hAnsi="Times New Roman" w:eastAsia="楷体"/>
      <w:b/>
      <w:sz w:val="30"/>
    </w:rPr>
  </w:style>
  <w:style w:type="paragraph" w:styleId="5">
    <w:name w:val="heading 3"/>
    <w:basedOn w:val="1"/>
    <w:next w:val="1"/>
    <w:unhideWhenUsed/>
    <w:qFormat/>
    <w:uiPriority w:val="0"/>
    <w:pPr>
      <w:keepNext w:val="0"/>
      <w:keepLines/>
      <w:widowControl w:val="0"/>
      <w:spacing w:line="578" w:lineRule="exact"/>
      <w:outlineLvl w:val="2"/>
    </w:pPr>
    <w:rPr>
      <w:rFonts w:eastAsia="楷体_GB2312" w:cs="Times New Roman"/>
      <w:bCs/>
      <w:szCs w:val="32"/>
    </w:rPr>
  </w:style>
  <w:style w:type="paragraph" w:styleId="2">
    <w:name w:val="heading 4"/>
    <w:basedOn w:val="1"/>
    <w:next w:val="1"/>
    <w:qFormat/>
    <w:uiPriority w:val="0"/>
    <w:pPr>
      <w:spacing w:before="100" w:beforeAutospacing="1" w:after="100" w:afterAutospacing="1"/>
      <w:jc w:val="left"/>
      <w:outlineLvl w:val="3"/>
    </w:pPr>
    <w:rPr>
      <w:rFonts w:hint="eastAsia" w:ascii="宋体" w:hAnsi="宋体"/>
      <w:b/>
      <w:kern w:val="0"/>
      <w:sz w:val="24"/>
    </w:rPr>
  </w:style>
  <w:style w:type="character" w:default="1" w:styleId="24">
    <w:name w:val="Default Paragraph Font"/>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spacing w:after="160" w:line="278" w:lineRule="auto"/>
      <w:ind w:left="2520" w:leftChars="1200"/>
      <w:jc w:val="left"/>
    </w:pPr>
    <w:rPr>
      <w:sz w:val="22"/>
    </w:rPr>
  </w:style>
  <w:style w:type="paragraph" w:styleId="7">
    <w:name w:val="annotation text"/>
    <w:basedOn w:val="1"/>
    <w:link w:val="48"/>
    <w:unhideWhenUsed/>
    <w:qFormat/>
    <w:uiPriority w:val="99"/>
    <w:pPr>
      <w:jc w:val="left"/>
    </w:pPr>
    <w:rPr>
      <w:sz w:val="22"/>
    </w:rPr>
  </w:style>
  <w:style w:type="paragraph" w:styleId="8">
    <w:name w:val="Salutation"/>
    <w:basedOn w:val="1"/>
    <w:next w:val="1"/>
    <w:unhideWhenUsed/>
    <w:qFormat/>
    <w:uiPriority w:val="99"/>
  </w:style>
  <w:style w:type="paragraph" w:styleId="9">
    <w:name w:val="Body Text"/>
    <w:basedOn w:val="1"/>
    <w:next w:val="10"/>
    <w:unhideWhenUsed/>
    <w:qFormat/>
    <w:uiPriority w:val="99"/>
    <w:pPr>
      <w:ind w:firstLine="200" w:firstLineChars="200"/>
    </w:pPr>
    <w:rPr>
      <w:rFonts w:eastAsia="仿宋"/>
      <w:sz w:val="32"/>
    </w:rPr>
  </w:style>
  <w:style w:type="paragraph" w:customStyle="1" w:styleId="10">
    <w:name w:val="Default"/>
    <w:next w:val="6"/>
    <w:qFormat/>
    <w:uiPriority w:val="0"/>
    <w:pPr>
      <w:widowControl w:val="0"/>
      <w:autoSpaceDE w:val="0"/>
      <w:autoSpaceDN w:val="0"/>
    </w:pPr>
    <w:rPr>
      <w:rFonts w:hint="eastAsia" w:ascii="Fang Song" w:hAnsi="Fang Song" w:eastAsia="Fang Song" w:cs="Times New Roman"/>
      <w:color w:val="000000"/>
      <w:sz w:val="24"/>
      <w:lang w:val="en-US" w:eastAsia="zh-CN" w:bidi="ar-SA"/>
    </w:rPr>
  </w:style>
  <w:style w:type="paragraph" w:styleId="11">
    <w:name w:val="Body Text Indent"/>
    <w:basedOn w:val="1"/>
    <w:qFormat/>
    <w:uiPriority w:val="0"/>
    <w:pPr>
      <w:ind w:firstLine="630"/>
    </w:pPr>
    <w:rPr>
      <w:rFonts w:ascii="仿宋_GB2312" w:hAnsi="Times New Roman" w:eastAsia="仿宋_GB2312"/>
      <w:sz w:val="32"/>
    </w:rPr>
  </w:style>
  <w:style w:type="paragraph" w:styleId="12">
    <w:name w:val="toc 3"/>
    <w:basedOn w:val="1"/>
    <w:next w:val="1"/>
    <w:qFormat/>
    <w:uiPriority w:val="0"/>
    <w:pPr>
      <w:ind w:left="840" w:leftChars="400"/>
    </w:pPr>
  </w:style>
  <w:style w:type="paragraph" w:styleId="13">
    <w:name w:val="endnote text"/>
    <w:basedOn w:val="1"/>
    <w:qFormat/>
    <w:uiPriority w:val="0"/>
    <w:pPr>
      <w:snapToGrid w:val="0"/>
      <w:jc w:val="left"/>
    </w:pPr>
  </w:style>
  <w:style w:type="paragraph" w:styleId="14">
    <w:name w:val="Balloon Text"/>
    <w:basedOn w:val="1"/>
    <w:link w:val="45"/>
    <w:qFormat/>
    <w:uiPriority w:val="0"/>
    <w:rPr>
      <w:sz w:val="18"/>
      <w:szCs w:val="18"/>
    </w:rPr>
  </w:style>
  <w:style w:type="paragraph" w:styleId="15">
    <w:name w:val="footer"/>
    <w:basedOn w:val="1"/>
    <w:unhideWhenUsed/>
    <w:qFormat/>
    <w:uiPriority w:val="99"/>
    <w:pPr>
      <w:tabs>
        <w:tab w:val="center" w:pos="4153"/>
        <w:tab w:val="right" w:pos="8306"/>
      </w:tabs>
      <w:snapToGrid w:val="0"/>
      <w:jc w:val="left"/>
    </w:pPr>
    <w:rPr>
      <w:sz w:val="18"/>
    </w:rPr>
  </w:style>
  <w:style w:type="paragraph" w:styleId="16">
    <w:name w:val="header"/>
    <w:basedOn w:val="1"/>
    <w:link w:val="43"/>
    <w:qFormat/>
    <w:uiPriority w:val="0"/>
    <w:pPr>
      <w:tabs>
        <w:tab w:val="center" w:pos="4153"/>
        <w:tab w:val="right" w:pos="8306"/>
      </w:tabs>
      <w:snapToGrid w:val="0"/>
      <w:jc w:val="center"/>
    </w:pPr>
    <w:rPr>
      <w:sz w:val="18"/>
      <w:szCs w:val="18"/>
    </w:rPr>
  </w:style>
  <w:style w:type="paragraph" w:styleId="17">
    <w:name w:val="toc 1"/>
    <w:basedOn w:val="1"/>
    <w:next w:val="1"/>
    <w:unhideWhenUsed/>
    <w:qFormat/>
    <w:uiPriority w:val="39"/>
    <w:pPr>
      <w:adjustRightInd w:val="0"/>
      <w:snapToGrid w:val="0"/>
      <w:spacing w:line="588" w:lineRule="exact"/>
    </w:pPr>
    <w:rPr>
      <w:rFonts w:ascii="Times New Roman" w:hAnsi="Times New Roman" w:eastAsia="黑体"/>
      <w:sz w:val="30"/>
    </w:rPr>
  </w:style>
  <w:style w:type="paragraph" w:styleId="18">
    <w:name w:val="footnote text"/>
    <w:basedOn w:val="1"/>
    <w:qFormat/>
    <w:uiPriority w:val="0"/>
    <w:pPr>
      <w:snapToGrid w:val="0"/>
      <w:jc w:val="left"/>
    </w:pPr>
    <w:rPr>
      <w:sz w:val="18"/>
    </w:rPr>
  </w:style>
  <w:style w:type="paragraph" w:styleId="19">
    <w:name w:val="toc 2"/>
    <w:basedOn w:val="1"/>
    <w:next w:val="1"/>
    <w:unhideWhenUsed/>
    <w:qFormat/>
    <w:uiPriority w:val="39"/>
    <w:pPr>
      <w:tabs>
        <w:tab w:val="right" w:leader="dot" w:pos="8296"/>
      </w:tabs>
      <w:adjustRightInd w:val="0"/>
      <w:snapToGrid w:val="0"/>
      <w:spacing w:line="588" w:lineRule="exact"/>
      <w:ind w:left="420" w:leftChars="200"/>
    </w:pPr>
    <w:rPr>
      <w:rFonts w:ascii="Times New Roman" w:hAnsi="Times New Roman" w:eastAsia="楷体"/>
      <w:sz w:val="30"/>
    </w:rPr>
  </w:style>
  <w:style w:type="paragraph" w:styleId="20">
    <w:name w:val="Normal (Web)"/>
    <w:unhideWhenUsed/>
    <w:qFormat/>
    <w:uiPriority w:val="99"/>
    <w:pPr>
      <w:widowControl w:val="0"/>
      <w:spacing w:beforeAutospacing="1" w:after="100" w:afterAutospacing="1" w:line="278" w:lineRule="auto"/>
    </w:pPr>
    <w:rPr>
      <w:rFonts w:ascii="Calibri" w:hAnsi="Calibri" w:eastAsia="宋体" w:cs="Times New Roman"/>
      <w:sz w:val="24"/>
      <w:szCs w:val="22"/>
      <w:lang w:val="en-US" w:eastAsia="zh-CN" w:bidi="ar-SA"/>
    </w:rPr>
  </w:style>
  <w:style w:type="paragraph" w:styleId="21">
    <w:name w:val="Body Text First Indent 2"/>
    <w:basedOn w:val="11"/>
    <w:next w:val="1"/>
    <w:qFormat/>
    <w:uiPriority w:val="0"/>
    <w:pPr>
      <w:spacing w:after="120"/>
      <w:ind w:left="420" w:leftChars="200" w:firstLine="200" w:firstLineChars="200"/>
      <w:jc w:val="left"/>
    </w:pPr>
    <w:rPr>
      <w:rFonts w:hAnsi="宋体"/>
    </w:rPr>
  </w:style>
  <w:style w:type="table" w:styleId="23">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5">
    <w:name w:val="endnote reference"/>
    <w:basedOn w:val="24"/>
    <w:qFormat/>
    <w:uiPriority w:val="0"/>
    <w:rPr>
      <w:vertAlign w:val="superscript"/>
    </w:rPr>
  </w:style>
  <w:style w:type="character" w:styleId="26">
    <w:name w:val="Emphasis"/>
    <w:basedOn w:val="24"/>
    <w:qFormat/>
    <w:uiPriority w:val="0"/>
    <w:rPr>
      <w:i/>
    </w:rPr>
  </w:style>
  <w:style w:type="character" w:styleId="27">
    <w:name w:val="Hyperlink"/>
    <w:basedOn w:val="24"/>
    <w:unhideWhenUsed/>
    <w:qFormat/>
    <w:uiPriority w:val="99"/>
    <w:rPr>
      <w:color w:val="0563C1" w:themeColor="hyperlink"/>
      <w:u w:val="single"/>
      <w14:textFill>
        <w14:solidFill>
          <w14:schemeClr w14:val="hlink"/>
        </w14:solidFill>
      </w14:textFill>
    </w:rPr>
  </w:style>
  <w:style w:type="character" w:styleId="28">
    <w:name w:val="annotation reference"/>
    <w:qFormat/>
    <w:uiPriority w:val="0"/>
    <w:rPr>
      <w:sz w:val="21"/>
      <w:szCs w:val="21"/>
    </w:rPr>
  </w:style>
  <w:style w:type="character" w:styleId="29">
    <w:name w:val="footnote reference"/>
    <w:basedOn w:val="24"/>
    <w:qFormat/>
    <w:uiPriority w:val="0"/>
    <w:rPr>
      <w:vertAlign w:val="superscript"/>
    </w:rPr>
  </w:style>
  <w:style w:type="character" w:customStyle="1" w:styleId="30">
    <w:name w:val="标题 1 字符"/>
    <w:link w:val="3"/>
    <w:qFormat/>
    <w:uiPriority w:val="0"/>
    <w:rPr>
      <w:rFonts w:ascii="Times New Roman" w:hAnsi="Times New Roman" w:eastAsia="黑体"/>
      <w:kern w:val="44"/>
      <w:sz w:val="30"/>
    </w:rPr>
  </w:style>
  <w:style w:type="paragraph" w:customStyle="1" w:styleId="31">
    <w:name w:val="报告正文"/>
    <w:basedOn w:val="1"/>
    <w:link w:val="51"/>
    <w:qFormat/>
    <w:uiPriority w:val="0"/>
    <w:pPr>
      <w:adjustRightInd w:val="0"/>
      <w:snapToGrid w:val="0"/>
      <w:spacing w:line="588" w:lineRule="exact"/>
      <w:ind w:firstLine="600" w:firstLineChars="200"/>
    </w:pPr>
    <w:rPr>
      <w:rFonts w:ascii="Times New Roman" w:hAnsi="Times New Roman" w:eastAsia="仿宋_GB2312"/>
      <w:sz w:val="30"/>
      <w:szCs w:val="30"/>
      <w:shd w:val="clear" w:color="auto" w:fill="FFFFFF"/>
    </w:rPr>
  </w:style>
  <w:style w:type="table" w:customStyle="1" w:styleId="32">
    <w:name w:val="网格型51"/>
    <w:qFormat/>
    <w:uiPriority w:val="39"/>
    <w:pPr>
      <w:spacing w:after="160" w:line="276"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customStyle="1" w:styleId="33">
    <w:name w:val="专栏文字"/>
    <w:basedOn w:val="1"/>
    <w:qFormat/>
    <w:uiPriority w:val="0"/>
    <w:pPr>
      <w:adjustRightInd w:val="0"/>
      <w:snapToGrid w:val="0"/>
      <w:spacing w:before="50" w:beforeLines="50" w:after="50" w:afterLines="50" w:line="276" w:lineRule="auto"/>
      <w:ind w:firstLine="200" w:firstLineChars="200"/>
      <w:contextualSpacing/>
    </w:pPr>
    <w:rPr>
      <w:rFonts w:ascii="Times New Roman" w:hAnsi="Times New Roman" w:eastAsia="楷体" w:cs="楷体"/>
      <w:sz w:val="28"/>
      <w:szCs w:val="28"/>
    </w:rPr>
  </w:style>
  <w:style w:type="table" w:customStyle="1" w:styleId="34">
    <w:name w:val="网格型8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35">
    <w:name w:val="网格型21"/>
    <w:basedOn w:val="2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style>
  <w:style w:type="table" w:customStyle="1" w:styleId="36">
    <w:name w:val="网格型91"/>
    <w:basedOn w:val="22"/>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style>
  <w:style w:type="table" w:customStyle="1" w:styleId="37">
    <w:name w:val="网格型10"/>
    <w:basedOn w:val="22"/>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style>
  <w:style w:type="table" w:customStyle="1" w:styleId="38">
    <w:name w:val="网格型3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customStyle="1" w:styleId="39">
    <w:name w:val="F标题3"/>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0" w:firstLineChars="200"/>
      <w:jc w:val="both"/>
    </w:pPr>
    <w:rPr>
      <w:rFonts w:ascii="楷体" w:hAnsi="楷体" w:eastAsia="仿宋" w:cs="楷体"/>
      <w:b/>
      <w:kern w:val="2"/>
      <w:sz w:val="32"/>
      <w:szCs w:val="32"/>
      <w:lang w:val="en-US" w:eastAsia="zh-CN" w:bidi="ar-SA"/>
    </w:rPr>
  </w:style>
  <w:style w:type="table" w:customStyle="1" w:styleId="40">
    <w:name w:val="网格型6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customStyle="1" w:styleId="41">
    <w:name w:val="报告正文 字符"/>
    <w:basedOn w:val="24"/>
    <w:qFormat/>
    <w:uiPriority w:val="0"/>
    <w:rPr>
      <w:rFonts w:hint="eastAsia" w:ascii="仿宋" w:hAnsi="仿宋" w:eastAsia="仿宋" w:cs="Times New Roman"/>
      <w:kern w:val="2"/>
      <w:sz w:val="30"/>
      <w:szCs w:val="24"/>
    </w:rPr>
  </w:style>
  <w:style w:type="paragraph" w:customStyle="1" w:styleId="42">
    <w:name w:val="Revision"/>
    <w:hidden/>
    <w:unhideWhenUsed/>
    <w:qFormat/>
    <w:uiPriority w:val="99"/>
    <w:rPr>
      <w:rFonts w:ascii="Calibri" w:hAnsi="Calibri" w:eastAsia="宋体" w:cs="Times New Roman"/>
      <w:kern w:val="2"/>
      <w:sz w:val="21"/>
      <w:szCs w:val="24"/>
      <w:lang w:val="en-US" w:eastAsia="zh-CN" w:bidi="ar-SA"/>
    </w:rPr>
  </w:style>
  <w:style w:type="character" w:customStyle="1" w:styleId="43">
    <w:name w:val="页眉 字符"/>
    <w:basedOn w:val="24"/>
    <w:link w:val="16"/>
    <w:qFormat/>
    <w:uiPriority w:val="0"/>
    <w:rPr>
      <w:rFonts w:ascii="Calibri" w:hAnsi="Calibri"/>
      <w:kern w:val="2"/>
      <w:sz w:val="18"/>
      <w:szCs w:val="18"/>
    </w:rPr>
  </w:style>
  <w:style w:type="character" w:customStyle="1" w:styleId="44">
    <w:name w:val="标题 2 字符"/>
    <w:link w:val="4"/>
    <w:qFormat/>
    <w:uiPriority w:val="9"/>
    <w:rPr>
      <w:rFonts w:eastAsia="楷体"/>
      <w:b/>
      <w:kern w:val="2"/>
      <w:sz w:val="30"/>
      <w:szCs w:val="24"/>
    </w:rPr>
  </w:style>
  <w:style w:type="character" w:customStyle="1" w:styleId="45">
    <w:name w:val="批注框文本 字符"/>
    <w:basedOn w:val="24"/>
    <w:link w:val="14"/>
    <w:qFormat/>
    <w:uiPriority w:val="0"/>
    <w:rPr>
      <w:rFonts w:ascii="Calibri" w:hAnsi="Calibri"/>
      <w:kern w:val="2"/>
      <w:sz w:val="18"/>
      <w:szCs w:val="18"/>
    </w:rPr>
  </w:style>
  <w:style w:type="table" w:customStyle="1" w:styleId="46">
    <w:name w:val="网格型211"/>
    <w:basedOn w:val="2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style>
  <w:style w:type="table" w:customStyle="1" w:styleId="47">
    <w:name w:val="网格型311"/>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customStyle="1" w:styleId="48">
    <w:name w:val="批注文字 字符"/>
    <w:basedOn w:val="24"/>
    <w:link w:val="7"/>
    <w:qFormat/>
    <w:uiPriority w:val="99"/>
    <w:rPr>
      <w:rFonts w:ascii="Calibri" w:hAnsi="Calibri"/>
      <w:kern w:val="2"/>
      <w:sz w:val="22"/>
      <w:szCs w:val="24"/>
    </w:rPr>
  </w:style>
  <w:style w:type="paragraph" w:styleId="49">
    <w:name w:val="List Paragraph"/>
    <w:basedOn w:val="1"/>
    <w:qFormat/>
    <w:uiPriority w:val="99"/>
    <w:pPr>
      <w:ind w:firstLine="420" w:firstLineChars="200"/>
    </w:pPr>
  </w:style>
  <w:style w:type="table" w:customStyle="1" w:styleId="50">
    <w:name w:val="网格型3111"/>
    <w:qFormat/>
    <w:uiPriority w:val="39"/>
    <w:pPr>
      <w:spacing w:after="160" w:line="278" w:lineRule="auto"/>
    </w:pPr>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customStyle="1" w:styleId="51">
    <w:name w:val="报告正文 Char"/>
    <w:link w:val="31"/>
    <w:qFormat/>
    <w:uiPriority w:val="0"/>
    <w:rPr>
      <w:rFonts w:ascii="Times New Roman" w:hAnsi="Times New Roman" w:eastAsia="仿宋_GB2312"/>
      <w:sz w:val="30"/>
      <w:szCs w:val="30"/>
      <w:shd w:val="clear" w:color="auto" w:fill="FFFFFF"/>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112</Pages>
  <Words>14952</Words>
  <Characters>15402</Characters>
  <Lines>491</Lines>
  <Paragraphs>138</Paragraphs>
  <TotalTime>39</TotalTime>
  <ScaleCrop>false</ScaleCrop>
  <LinksUpToDate>false</LinksUpToDate>
  <CharactersWithSpaces>15582</CharactersWithSpaces>
  <Application>WPS Office_11.8.2.9864_F1E327BC-269C-435d-A152-05C5408002CA</Application>
  <DocSecurity>1</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2025-12-19T13:55:00Z</dcterms:created>
  <dc:creator>Administrator</dc:creator>
  <cp:lastModifiedBy>朱震东</cp:lastModifiedBy>
  <cp:lastPrinted>2026-02-01T22:03:00Z</cp:lastPrinted>
  <dcterms:modified xsi:type="dcterms:W3CDTF">2026-04-13T09:58:52Z</dcterms:modified>
  <dc:title>附件2</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KSOTemplateDocerSaveRecord">
    <vt:lpwstr>eyJoZGlkIjoiM2JkY2QyNjVmODBjY2EzYzQ5ZWQ5ZmZjZDAxY2Y0YWMiLCJ1c2VySWQiOiIzMzI4MjgyNzgifQ==</vt:lpwstr>
  </property>
  <property fmtid="{D5CDD505-2E9C-101B-9397-08002B2CF9AE}" pid="4" name="ICV">
    <vt:lpwstr>96D11ACCB0BA4D1B8C31F95047E4D3E1_13</vt:lpwstr>
  </property>
</Properties>
</file>