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jc w:val="center"/>
        <w:rPr>
          <w:rFonts w:ascii="Times New Roman" w:hAnsi="Times New Roman" w:eastAsia="华文中宋" w:cs="Times New Roman"/>
          <w:sz w:val="44"/>
          <w:szCs w:val="44"/>
        </w:rPr>
      </w:pPr>
      <w:bookmarkStart w:id="0" w:name="_Hlk190957425"/>
    </w:p>
    <w:p>
      <w:pPr>
        <w:spacing w:after="0" w:line="560" w:lineRule="exact"/>
        <w:jc w:val="center"/>
        <w:rPr>
          <w:rFonts w:ascii="Times New Roman" w:hAnsi="Times New Roman" w:eastAsia="华文中宋" w:cs="Times New Roman"/>
          <w:sz w:val="44"/>
          <w:szCs w:val="44"/>
        </w:rPr>
      </w:pPr>
    </w:p>
    <w:p>
      <w:pPr>
        <w:spacing w:after="0" w:line="560" w:lineRule="exact"/>
        <w:jc w:val="center"/>
        <w:rPr>
          <w:rFonts w:ascii="Times New Roman" w:hAnsi="Times New Roman" w:eastAsia="华文中宋" w:cs="Times New Roman"/>
          <w:sz w:val="44"/>
          <w:szCs w:val="44"/>
        </w:rPr>
      </w:pPr>
    </w:p>
    <w:p>
      <w:pPr>
        <w:spacing w:after="0" w:line="560" w:lineRule="exact"/>
        <w:jc w:val="center"/>
        <w:rPr>
          <w:rFonts w:ascii="Times New Roman" w:hAnsi="Times New Roman" w:eastAsia="华文中宋" w:cs="Times New Roman"/>
          <w:sz w:val="44"/>
          <w:szCs w:val="44"/>
        </w:rPr>
      </w:pPr>
    </w:p>
    <w:p>
      <w:pPr>
        <w:adjustRightInd w:val="0"/>
        <w:snapToGrid w:val="0"/>
        <w:spacing w:after="0" w:line="560" w:lineRule="exact"/>
        <w:jc w:val="center"/>
        <w:rPr>
          <w:rFonts w:hint="eastAsia" w:ascii="黑体" w:hAnsi="黑体" w:eastAsia="黑体" w:cs="黑体"/>
          <w:sz w:val="48"/>
          <w:szCs w:val="48"/>
        </w:rPr>
      </w:pPr>
      <w:r>
        <w:rPr>
          <w:rFonts w:hint="eastAsia" w:ascii="黑体" w:hAnsi="黑体" w:eastAsia="黑体" w:cs="黑体"/>
          <w:sz w:val="48"/>
          <w:szCs w:val="48"/>
        </w:rPr>
        <w:t>三亚市“十五五”应急管理规划</w:t>
      </w:r>
    </w:p>
    <w:bookmarkEnd w:id="0"/>
    <w:p>
      <w:pPr>
        <w:spacing w:after="0" w:line="560" w:lineRule="exact"/>
        <w:jc w:val="center"/>
        <w:rPr>
          <w:rFonts w:ascii="Times New Roman" w:hAnsi="Times New Roman" w:eastAsia="宋体" w:cs="Times New Roman"/>
          <w:sz w:val="32"/>
          <w:szCs w:val="32"/>
        </w:rPr>
      </w:pPr>
    </w:p>
    <w:p>
      <w:pPr>
        <w:spacing w:after="0" w:line="560" w:lineRule="exact"/>
        <w:jc w:val="center"/>
        <w:rPr>
          <w:rFonts w:ascii="Times New Roman" w:hAnsi="Times New Roman" w:eastAsia="宋体" w:cs="Times New Roman"/>
          <w:sz w:val="32"/>
          <w:szCs w:val="32"/>
        </w:rPr>
      </w:pPr>
    </w:p>
    <w:p>
      <w:pPr>
        <w:spacing w:after="0" w:line="560" w:lineRule="exact"/>
        <w:jc w:val="center"/>
        <w:rPr>
          <w:rFonts w:ascii="Times New Roman" w:hAnsi="Times New Roman" w:eastAsia="宋体" w:cs="Times New Roman"/>
          <w:sz w:val="32"/>
          <w:szCs w:val="32"/>
        </w:rPr>
      </w:pPr>
    </w:p>
    <w:p>
      <w:pPr>
        <w:spacing w:after="0" w:line="560" w:lineRule="exact"/>
        <w:jc w:val="center"/>
        <w:rPr>
          <w:rFonts w:ascii="Times New Roman" w:hAnsi="Times New Roman" w:eastAsia="宋体" w:cs="Times New Roman"/>
          <w:sz w:val="32"/>
          <w:szCs w:val="32"/>
        </w:rPr>
      </w:pPr>
    </w:p>
    <w:p>
      <w:pPr>
        <w:spacing w:after="0" w:line="560" w:lineRule="exact"/>
        <w:jc w:val="center"/>
        <w:rPr>
          <w:rFonts w:ascii="Times New Roman" w:hAnsi="Times New Roman" w:eastAsia="宋体" w:cs="Times New Roman"/>
          <w:sz w:val="32"/>
          <w:szCs w:val="32"/>
        </w:rPr>
      </w:pPr>
    </w:p>
    <w:p>
      <w:pPr>
        <w:spacing w:after="0" w:line="560" w:lineRule="exact"/>
        <w:jc w:val="center"/>
        <w:rPr>
          <w:rFonts w:ascii="Times New Roman" w:hAnsi="Times New Roman" w:eastAsia="宋体" w:cs="Times New Roman"/>
          <w:sz w:val="32"/>
          <w:szCs w:val="32"/>
        </w:rPr>
      </w:pPr>
    </w:p>
    <w:p>
      <w:pPr>
        <w:spacing w:after="0" w:line="560" w:lineRule="exact"/>
        <w:jc w:val="center"/>
        <w:rPr>
          <w:rFonts w:ascii="Times New Roman" w:hAnsi="Times New Roman" w:eastAsia="宋体" w:cs="Times New Roman"/>
          <w:sz w:val="32"/>
          <w:szCs w:val="32"/>
        </w:rPr>
      </w:pPr>
    </w:p>
    <w:p>
      <w:pPr>
        <w:spacing w:after="0" w:line="560" w:lineRule="exact"/>
        <w:jc w:val="center"/>
        <w:rPr>
          <w:rFonts w:ascii="Times New Roman" w:hAnsi="Times New Roman" w:eastAsia="宋体" w:cs="Times New Roman"/>
          <w:sz w:val="32"/>
          <w:szCs w:val="32"/>
        </w:rPr>
      </w:pPr>
    </w:p>
    <w:p>
      <w:pPr>
        <w:pStyle w:val="12"/>
      </w:pPr>
    </w:p>
    <w:p>
      <w:pPr>
        <w:rPr>
          <w:rFonts w:hint="eastAsia"/>
        </w:rPr>
      </w:pPr>
    </w:p>
    <w:p>
      <w:pPr>
        <w:spacing w:after="0" w:line="560" w:lineRule="exact"/>
        <w:jc w:val="center"/>
        <w:rPr>
          <w:rFonts w:ascii="Times New Roman" w:hAnsi="Times New Roman" w:eastAsia="宋体" w:cs="Times New Roman"/>
          <w:sz w:val="32"/>
          <w:szCs w:val="32"/>
        </w:rPr>
      </w:pPr>
    </w:p>
    <w:p>
      <w:pPr>
        <w:pStyle w:val="12"/>
        <w:spacing w:line="560" w:lineRule="exact"/>
        <w:rPr>
          <w:rFonts w:ascii="Times New Roman" w:hAnsi="Times New Roman" w:cs="Times New Roman"/>
        </w:rPr>
      </w:pPr>
    </w:p>
    <w:p>
      <w:pPr>
        <w:adjustRightInd w:val="0"/>
        <w:snapToGrid w:val="0"/>
        <w:spacing w:after="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三亚市应急管理局</w:t>
      </w:r>
    </w:p>
    <w:p>
      <w:pPr>
        <w:adjustRightInd w:val="0"/>
        <w:snapToGrid w:val="0"/>
        <w:spacing w:after="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w:t>
      </w:r>
      <w:r>
        <w:rPr>
          <w:rFonts w:hint="default" w:ascii="仿宋_GB2312" w:hAnsi="仿宋_GB2312" w:eastAsia="仿宋_GB2312" w:cs="仿宋_GB2312"/>
          <w:sz w:val="32"/>
          <w:szCs w:val="32"/>
          <w:lang w:val="en"/>
        </w:rPr>
        <w:t>6</w:t>
      </w:r>
      <w:r>
        <w:rPr>
          <w:rFonts w:hint="eastAsia" w:ascii="仿宋_GB2312" w:hAnsi="仿宋_GB2312" w:eastAsia="仿宋_GB2312" w:cs="仿宋_GB2312"/>
          <w:sz w:val="32"/>
          <w:szCs w:val="32"/>
        </w:rPr>
        <w:t>月</w:t>
      </w:r>
    </w:p>
    <w:p>
      <w:pPr>
        <w:spacing w:after="0" w:line="560" w:lineRule="exact"/>
        <w:jc w:val="center"/>
        <w:rPr>
          <w:rFonts w:ascii="Times New Roman" w:hAnsi="Times New Roman" w:eastAsia="宋体" w:cs="Times New Roman"/>
          <w:sz w:val="32"/>
          <w:szCs w:val="32"/>
        </w:rPr>
        <w:sectPr>
          <w:pgSz w:w="11906" w:h="16838"/>
          <w:pgMar w:top="2098" w:right="1474" w:bottom="1985" w:left="1588" w:header="851" w:footer="992" w:gutter="0"/>
          <w:pgNumType w:fmt="decimal"/>
          <w:cols w:space="425" w:num="1"/>
          <w:docGrid w:type="lines" w:linePitch="312" w:charSpace="0"/>
        </w:sectPr>
      </w:pPr>
    </w:p>
    <w:sdt>
      <w:sdtPr>
        <w:rPr>
          <w:rFonts w:ascii="Times New Roman" w:hAnsi="Times New Roman" w:eastAsia="宋体" w:cs="Times New Roman"/>
          <w:sz w:val="21"/>
        </w:rPr>
        <w:id w:val="147471306"/>
        <w15:color w:val="DBDBDB"/>
        <w:docPartObj>
          <w:docPartGallery w:val="Table of Contents"/>
          <w:docPartUnique/>
        </w:docPartObj>
      </w:sdtPr>
      <w:sdtEndPr>
        <w:rPr>
          <w:rFonts w:ascii="Times New Roman" w:hAnsi="Times New Roman" w:eastAsia="宋体" w:cs="Times New Roman"/>
          <w:sz w:val="22"/>
          <w:szCs w:val="22"/>
          <w:lang w:bidi="ar"/>
        </w:rPr>
      </w:sdtEndPr>
      <w:sdtContent>
        <w:p>
          <w:pPr>
            <w:spacing w:after="0" w:line="560" w:lineRule="exact"/>
            <w:jc w:val="center"/>
            <w:rPr>
              <w:rFonts w:ascii="Times New Roman" w:hAnsi="Times New Roman" w:eastAsia="黑体" w:cs="Times New Roman"/>
              <w:sz w:val="44"/>
              <w:szCs w:val="44"/>
            </w:rPr>
          </w:pPr>
          <w:r>
            <w:rPr>
              <w:rFonts w:ascii="Times New Roman" w:hAnsi="Times New Roman" w:eastAsia="黑体" w:cs="Times New Roman"/>
              <w:sz w:val="44"/>
              <w:szCs w:val="44"/>
            </w:rPr>
            <w:t>目录</w:t>
          </w:r>
        </w:p>
        <w:p>
          <w:pPr>
            <w:pStyle w:val="16"/>
            <w:tabs>
              <w:tab w:val="right" w:leader="dot" w:pos="8834"/>
            </w:tabs>
            <w:adjustRightInd w:val="0"/>
            <w:snapToGrid w:val="0"/>
            <w:spacing w:after="0" w:line="360" w:lineRule="auto"/>
            <w:rPr>
              <w:rFonts w:ascii="Times New Roman" w:hAnsi="Times New Roman" w:cs="Times New Roman"/>
              <w:sz w:val="28"/>
              <w:szCs w:val="28"/>
            </w:rPr>
          </w:pPr>
          <w:r>
            <w:rPr>
              <w:rFonts w:ascii="Times New Roman" w:hAnsi="Times New Roman" w:eastAsia="宋体" w:cs="Times New Roman"/>
              <w:sz w:val="28"/>
              <w:szCs w:val="28"/>
              <w:lang w:bidi="ar"/>
            </w:rPr>
            <w:fldChar w:fldCharType="begin"/>
          </w:r>
          <w:r>
            <w:rPr>
              <w:rFonts w:ascii="Times New Roman" w:hAnsi="Times New Roman" w:eastAsia="宋体" w:cs="Times New Roman"/>
              <w:sz w:val="28"/>
              <w:szCs w:val="28"/>
              <w:lang w:bidi="ar"/>
            </w:rPr>
            <w:instrText xml:space="preserve"> TOC \o "1-2" \h \z \u </w:instrText>
          </w:r>
          <w:r>
            <w:rPr>
              <w:rFonts w:ascii="Times New Roman" w:hAnsi="Times New Roman" w:eastAsia="宋体" w:cs="Times New Roman"/>
              <w:sz w:val="28"/>
              <w:szCs w:val="28"/>
              <w:lang w:bidi="ar"/>
            </w:rPr>
            <w:fldChar w:fldCharType="separate"/>
          </w:r>
          <w:r>
            <w:fldChar w:fldCharType="begin"/>
          </w:r>
          <w:r>
            <w:instrText xml:space="preserve"> HYPERLINK \l "_Toc224486061" </w:instrText>
          </w:r>
          <w:r>
            <w:fldChar w:fldCharType="separate"/>
          </w:r>
          <w:r>
            <w:rPr>
              <w:rStyle w:val="28"/>
              <w:rFonts w:ascii="Times New Roman" w:hAnsi="Times New Roman" w:eastAsia="黑体" w:cs="Times New Roman"/>
              <w:kern w:val="44"/>
              <w:sz w:val="28"/>
              <w:szCs w:val="28"/>
            </w:rPr>
            <w:t>一、现状与形势</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_Toc224486061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"_Toc224486062" </w:instrText>
          </w:r>
          <w:r>
            <w:fldChar w:fldCharType="separate"/>
          </w:r>
          <w:r>
            <w:rPr>
              <w:rStyle w:val="28"/>
              <w:rFonts w:ascii="Times New Roman" w:hAnsi="Times New Roman" w:eastAsia="楷体_GB2312" w:cs="Times New Roman"/>
              <w:sz w:val="28"/>
              <w:szCs w:val="28"/>
            </w:rPr>
            <w:t>（一）“十四五”工作成效</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_Toc224486062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"_Toc224486063" </w:instrText>
          </w:r>
          <w:r>
            <w:fldChar w:fldCharType="separate"/>
          </w:r>
          <w:r>
            <w:rPr>
              <w:rStyle w:val="28"/>
              <w:rFonts w:ascii="Times New Roman" w:hAnsi="Times New Roman" w:eastAsia="楷体_GB2312" w:cs="Times New Roman"/>
              <w:sz w:val="28"/>
              <w:szCs w:val="28"/>
            </w:rPr>
            <w:t>（二）“十五五”面临挑战</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_Toc224486063 \h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"_Toc224486064" </w:instrText>
          </w:r>
          <w:r>
            <w:fldChar w:fldCharType="separate"/>
          </w:r>
          <w:r>
            <w:rPr>
              <w:rStyle w:val="28"/>
              <w:rFonts w:ascii="Times New Roman" w:hAnsi="Times New Roman" w:eastAsia="楷体_GB2312" w:cs="Times New Roman"/>
              <w:sz w:val="28"/>
              <w:szCs w:val="28"/>
            </w:rPr>
            <w:t>（三）“十五五”发展机遇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_Toc224486064 \h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6"/>
            <w:tabs>
              <w:tab w:val="right" w:leader="dot" w:pos="8834"/>
            </w:tabs>
            <w:adjustRightInd w:val="0"/>
            <w:snapToGrid w:val="0"/>
            <w:spacing w:after="0" w:line="360" w:lineRule="auto"/>
            <w:rPr>
              <w:rFonts w:ascii="Times New Roman" w:hAnsi="Times New Roman" w:cs="Times New Roman"/>
              <w:sz w:val="28"/>
              <w:szCs w:val="28"/>
            </w:rPr>
          </w:pPr>
          <w:r>
            <w:fldChar w:fldCharType="begin"/>
          </w:r>
          <w:r>
            <w:instrText xml:space="preserve"> HYPERLINK \l "_Toc224486065" </w:instrText>
          </w:r>
          <w:r>
            <w:fldChar w:fldCharType="separate"/>
          </w:r>
          <w:r>
            <w:rPr>
              <w:rStyle w:val="28"/>
              <w:rFonts w:ascii="Times New Roman" w:hAnsi="Times New Roman" w:eastAsia="黑体" w:cs="Times New Roman"/>
              <w:kern w:val="44"/>
              <w:sz w:val="28"/>
              <w:szCs w:val="28"/>
            </w:rPr>
            <w:t>二、总体要求</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_Toc224486065 \h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"_Toc224486066" </w:instrText>
          </w:r>
          <w:r>
            <w:fldChar w:fldCharType="separate"/>
          </w:r>
          <w:r>
            <w:rPr>
              <w:rStyle w:val="28"/>
              <w:rFonts w:ascii="Times New Roman" w:hAnsi="Times New Roman" w:eastAsia="楷体_GB2312" w:cs="Times New Roman"/>
              <w:sz w:val="28"/>
              <w:szCs w:val="28"/>
            </w:rPr>
            <w:t>（一）指导思想</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_Toc224486066 \h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"_Toc224486067" </w:instrText>
          </w:r>
          <w:r>
            <w:fldChar w:fldCharType="separate"/>
          </w:r>
          <w:r>
            <w:rPr>
              <w:rStyle w:val="28"/>
              <w:rFonts w:ascii="Times New Roman" w:hAnsi="Times New Roman" w:eastAsia="楷体_GB2312" w:cs="Times New Roman"/>
              <w:sz w:val="28"/>
              <w:szCs w:val="28"/>
            </w:rPr>
            <w:t>（二）基本原则</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_Toc224486067 \h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"_Toc224486068" </w:instrText>
          </w:r>
          <w:r>
            <w:fldChar w:fldCharType="separate"/>
          </w:r>
          <w:r>
            <w:rPr>
              <w:rStyle w:val="28"/>
              <w:rFonts w:ascii="Times New Roman" w:hAnsi="Times New Roman" w:eastAsia="楷体_GB2312" w:cs="Times New Roman"/>
              <w:sz w:val="28"/>
              <w:szCs w:val="28"/>
            </w:rPr>
            <w:t>（三）主要目标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_Toc224486068 \h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6"/>
            <w:tabs>
              <w:tab w:val="right" w:leader="dot" w:pos="8834"/>
            </w:tabs>
            <w:adjustRightInd w:val="0"/>
            <w:snapToGrid w:val="0"/>
            <w:spacing w:after="0" w:line="360" w:lineRule="auto"/>
            <w:rPr>
              <w:rFonts w:ascii="Times New Roman" w:hAnsi="Times New Roman" w:cs="Times New Roman"/>
              <w:sz w:val="28"/>
              <w:szCs w:val="28"/>
            </w:rPr>
          </w:pPr>
          <w:r>
            <w:fldChar w:fldCharType="begin"/>
          </w:r>
          <w:r>
            <w:instrText xml:space="preserve"> HYPERLINK \l "_Toc224486069" </w:instrText>
          </w:r>
          <w:r>
            <w:fldChar w:fldCharType="separate"/>
          </w:r>
          <w:r>
            <w:rPr>
              <w:rStyle w:val="28"/>
              <w:rFonts w:ascii="Times New Roman" w:hAnsi="Times New Roman" w:eastAsia="黑体" w:cs="Times New Roman"/>
              <w:kern w:val="44"/>
              <w:sz w:val="28"/>
              <w:szCs w:val="28"/>
            </w:rPr>
            <w:t>三、主要任务</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_Toc224486069 \h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"_Toc224486070" </w:instrText>
          </w:r>
          <w:r>
            <w:fldChar w:fldCharType="separate"/>
          </w:r>
          <w:r>
            <w:rPr>
              <w:rStyle w:val="28"/>
              <w:rFonts w:ascii="Times New Roman" w:hAnsi="Times New Roman" w:eastAsia="楷体_GB2312" w:cs="Times New Roman"/>
              <w:sz w:val="28"/>
              <w:szCs w:val="28"/>
            </w:rPr>
            <w:t>（一）完善应急管理体制机制，提升依法治理能力</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_Toc224486070 \h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"_Toc224486071" </w:instrText>
          </w:r>
          <w:r>
            <w:fldChar w:fldCharType="separate"/>
          </w:r>
          <w:r>
            <w:rPr>
              <w:rStyle w:val="28"/>
              <w:rFonts w:ascii="Times New Roman" w:hAnsi="Times New Roman" w:eastAsia="楷体_GB2312" w:cs="Times New Roman"/>
              <w:sz w:val="28"/>
              <w:szCs w:val="28"/>
            </w:rPr>
            <w:t>（</w:t>
          </w:r>
          <w:r>
            <w:rPr>
              <w:rStyle w:val="28"/>
              <w:rFonts w:hint="eastAsia" w:ascii="Times New Roman" w:hAnsi="Times New Roman" w:eastAsia="楷体_GB2312" w:cs="Times New Roman"/>
              <w:sz w:val="28"/>
              <w:szCs w:val="28"/>
            </w:rPr>
            <w:t>二</w:t>
          </w:r>
          <w:r>
            <w:rPr>
              <w:rStyle w:val="28"/>
              <w:rFonts w:ascii="Times New Roman" w:hAnsi="Times New Roman" w:eastAsia="楷体_GB2312" w:cs="Times New Roman"/>
              <w:sz w:val="28"/>
              <w:szCs w:val="28"/>
            </w:rPr>
            <w:t>）健全风险源头防控体系，提升防范化解能力</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_Toc224486071 \h </w:instrText>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"_Toc224486072" </w:instrText>
          </w:r>
          <w:r>
            <w:fldChar w:fldCharType="separate"/>
          </w:r>
          <w:r>
            <w:rPr>
              <w:rStyle w:val="28"/>
              <w:rFonts w:ascii="Times New Roman" w:hAnsi="Times New Roman" w:eastAsia="楷体_GB2312" w:cs="Times New Roman"/>
              <w:sz w:val="28"/>
              <w:szCs w:val="28"/>
            </w:rPr>
            <w:t>（三）优化应急处置保障体系，提升应急救援能力</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_Toc224486072 \h </w:instrText>
          </w:r>
          <w:r>
            <w:rPr>
              <w:rFonts w:ascii="Times New Roman" w:hAnsi="Times New Roman" w:cs="Times New Roman"/>
              <w:sz w:val="28"/>
              <w:szCs w:val="28"/>
            </w:rPr>
            <w:fldChar w:fldCharType="separate"/>
          </w:r>
          <w:r>
            <w:rPr>
              <w:rFonts w:ascii="Times New Roman" w:hAnsi="Times New Roman" w:cs="Times New Roman"/>
              <w:sz w:val="28"/>
              <w:szCs w:val="28"/>
            </w:rPr>
            <w:t>15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"_Toc224486073" </w:instrText>
          </w:r>
          <w:r>
            <w:fldChar w:fldCharType="separate"/>
          </w:r>
          <w:r>
            <w:rPr>
              <w:rStyle w:val="28"/>
              <w:rFonts w:ascii="Times New Roman" w:hAnsi="Times New Roman" w:eastAsia="楷体_GB2312" w:cs="Times New Roman"/>
              <w:sz w:val="28"/>
              <w:szCs w:val="28"/>
            </w:rPr>
            <w:t>（四）打造安全韧性城市，增强防灾减灾救灾能力</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_Toc224486073 \h </w:instrText>
          </w:r>
          <w:r>
            <w:rPr>
              <w:rFonts w:ascii="Times New Roman" w:hAnsi="Times New Roman" w:cs="Times New Roman"/>
              <w:sz w:val="28"/>
              <w:szCs w:val="28"/>
            </w:rPr>
            <w:fldChar w:fldCharType="separate"/>
          </w:r>
          <w:r>
            <w:rPr>
              <w:rFonts w:ascii="Times New Roman" w:hAnsi="Times New Roman" w:cs="Times New Roman"/>
              <w:sz w:val="28"/>
              <w:szCs w:val="28"/>
            </w:rPr>
            <w:t>18</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"_Toc224486074" </w:instrText>
          </w:r>
          <w:r>
            <w:fldChar w:fldCharType="separate"/>
          </w:r>
          <w:r>
            <w:rPr>
              <w:rStyle w:val="28"/>
              <w:rFonts w:ascii="Times New Roman" w:hAnsi="Times New Roman" w:eastAsia="楷体_GB2312" w:cs="Times New Roman"/>
              <w:sz w:val="28"/>
              <w:szCs w:val="28"/>
            </w:rPr>
            <w:t>（五）夯实基层应急基础，提升基层应急响应能力</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_Toc224486074 \h </w:instrText>
          </w:r>
          <w:r>
            <w:rPr>
              <w:rFonts w:ascii="Times New Roman" w:hAnsi="Times New Roman" w:cs="Times New Roman"/>
              <w:sz w:val="28"/>
              <w:szCs w:val="28"/>
            </w:rPr>
            <w:fldChar w:fldCharType="separate"/>
          </w:r>
          <w:r>
            <w:rPr>
              <w:rFonts w:ascii="Times New Roman" w:hAnsi="Times New Roman" w:cs="Times New Roman"/>
              <w:sz w:val="28"/>
              <w:szCs w:val="28"/>
            </w:rPr>
            <w:t>20</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"_Toc224486075" </w:instrText>
          </w:r>
          <w:r>
            <w:fldChar w:fldCharType="separate"/>
          </w:r>
          <w:r>
            <w:rPr>
              <w:rStyle w:val="28"/>
              <w:rFonts w:ascii="Times New Roman" w:hAnsi="Times New Roman" w:eastAsia="楷体_GB2312" w:cs="Times New Roman"/>
              <w:sz w:val="28"/>
              <w:szCs w:val="28"/>
            </w:rPr>
            <w:t>（六）构建社会共治格局，提升应急协同联动能力</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_Toc224486075 \h </w:instrText>
          </w:r>
          <w:r>
            <w:rPr>
              <w:rFonts w:ascii="Times New Roman" w:hAnsi="Times New Roman" w:cs="Times New Roman"/>
              <w:sz w:val="28"/>
              <w:szCs w:val="28"/>
            </w:rPr>
            <w:fldChar w:fldCharType="separate"/>
          </w:r>
          <w:r>
            <w:rPr>
              <w:rFonts w:ascii="Times New Roman" w:hAnsi="Times New Roman" w:cs="Times New Roman"/>
              <w:sz w:val="28"/>
              <w:szCs w:val="28"/>
            </w:rPr>
            <w:t>22</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6"/>
            <w:tabs>
              <w:tab w:val="right" w:leader="dot" w:pos="8834"/>
            </w:tabs>
            <w:adjustRightInd w:val="0"/>
            <w:snapToGrid w:val="0"/>
            <w:spacing w:after="0" w:line="360" w:lineRule="auto"/>
            <w:rPr>
              <w:rFonts w:ascii="Times New Roman" w:hAnsi="Times New Roman" w:cs="Times New Roman"/>
              <w:sz w:val="28"/>
              <w:szCs w:val="28"/>
            </w:rPr>
          </w:pPr>
          <w:r>
            <w:fldChar w:fldCharType="begin"/>
          </w:r>
          <w:r>
            <w:instrText xml:space="preserve"> HYPERLINK \l "_Toc224486076" </w:instrText>
          </w:r>
          <w:r>
            <w:fldChar w:fldCharType="separate"/>
          </w:r>
          <w:r>
            <w:rPr>
              <w:rStyle w:val="28"/>
              <w:rFonts w:ascii="Times New Roman" w:hAnsi="Times New Roman" w:eastAsia="黑体" w:cs="Times New Roman"/>
              <w:kern w:val="44"/>
              <w:sz w:val="28"/>
              <w:szCs w:val="28"/>
            </w:rPr>
            <w:t>四、重点工程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_Toc224486076 \h </w:instrText>
          </w:r>
          <w:r>
            <w:rPr>
              <w:rFonts w:ascii="Times New Roman" w:hAnsi="Times New Roman" w:cs="Times New Roman"/>
              <w:sz w:val="28"/>
              <w:szCs w:val="28"/>
            </w:rPr>
            <w:fldChar w:fldCharType="separate"/>
          </w:r>
          <w:r>
            <w:rPr>
              <w:rFonts w:ascii="Times New Roman" w:hAnsi="Times New Roman" w:cs="Times New Roman"/>
              <w:sz w:val="28"/>
              <w:szCs w:val="28"/>
            </w:rPr>
            <w:t>23</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"_Toc224486077" </w:instrText>
          </w:r>
          <w:r>
            <w:fldChar w:fldCharType="separate"/>
          </w:r>
          <w:r>
            <w:rPr>
              <w:rStyle w:val="28"/>
              <w:rFonts w:ascii="Times New Roman" w:hAnsi="Times New Roman" w:eastAsia="楷体_GB2312" w:cs="Times New Roman"/>
              <w:sz w:val="28"/>
              <w:szCs w:val="28"/>
            </w:rPr>
            <w:t>（一）应急管理效能提升工程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_Toc224486077 \h </w:instrText>
          </w:r>
          <w:r>
            <w:rPr>
              <w:rFonts w:ascii="Times New Roman" w:hAnsi="Times New Roman" w:cs="Times New Roman"/>
              <w:sz w:val="28"/>
              <w:szCs w:val="28"/>
            </w:rPr>
            <w:fldChar w:fldCharType="separate"/>
          </w:r>
          <w:r>
            <w:rPr>
              <w:rFonts w:ascii="Times New Roman" w:hAnsi="Times New Roman" w:cs="Times New Roman"/>
              <w:sz w:val="28"/>
              <w:szCs w:val="28"/>
            </w:rPr>
            <w:t>23</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"_Toc224486078" </w:instrText>
          </w:r>
          <w:r>
            <w:fldChar w:fldCharType="separate"/>
          </w:r>
          <w:r>
            <w:rPr>
              <w:rStyle w:val="28"/>
              <w:rFonts w:ascii="Times New Roman" w:hAnsi="Times New Roman" w:eastAsia="楷体_GB2312" w:cs="Times New Roman"/>
              <w:sz w:val="28"/>
              <w:szCs w:val="28"/>
            </w:rPr>
            <w:t>（二）事前预防能力提升工程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_Toc224486078 \h </w:instrText>
          </w:r>
          <w:r>
            <w:rPr>
              <w:rFonts w:ascii="Times New Roman" w:hAnsi="Times New Roman" w:cs="Times New Roman"/>
              <w:sz w:val="28"/>
              <w:szCs w:val="28"/>
            </w:rPr>
            <w:fldChar w:fldCharType="separate"/>
          </w:r>
          <w:r>
            <w:rPr>
              <w:rFonts w:ascii="Times New Roman" w:hAnsi="Times New Roman" w:cs="Times New Roman"/>
              <w:sz w:val="28"/>
              <w:szCs w:val="28"/>
            </w:rPr>
            <w:t>24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"_Toc224486079" </w:instrText>
          </w:r>
          <w:r>
            <w:fldChar w:fldCharType="separate"/>
          </w:r>
          <w:r>
            <w:rPr>
              <w:rStyle w:val="28"/>
              <w:rFonts w:ascii="Times New Roman" w:hAnsi="Times New Roman" w:eastAsia="楷体_GB2312" w:cs="Times New Roman"/>
              <w:sz w:val="28"/>
              <w:szCs w:val="28"/>
            </w:rPr>
            <w:t>（三）关键救援能力提升工程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_Toc224486079 \h </w:instrText>
          </w:r>
          <w:r>
            <w:rPr>
              <w:rFonts w:ascii="Times New Roman" w:hAnsi="Times New Roman" w:cs="Times New Roman"/>
              <w:sz w:val="28"/>
              <w:szCs w:val="28"/>
            </w:rPr>
            <w:fldChar w:fldCharType="separate"/>
          </w:r>
          <w:r>
            <w:rPr>
              <w:rFonts w:ascii="Times New Roman" w:hAnsi="Times New Roman" w:cs="Times New Roman"/>
              <w:sz w:val="28"/>
              <w:szCs w:val="28"/>
            </w:rPr>
            <w:t>27</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"_Toc224486080" </w:instrText>
          </w:r>
          <w:r>
            <w:fldChar w:fldCharType="separate"/>
          </w:r>
          <w:r>
            <w:rPr>
              <w:rStyle w:val="28"/>
              <w:rFonts w:ascii="Times New Roman" w:hAnsi="Times New Roman" w:eastAsia="楷体_GB2312" w:cs="Times New Roman"/>
              <w:sz w:val="28"/>
              <w:szCs w:val="28"/>
            </w:rPr>
            <w:t>（四）综合保障能力提升工程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_Toc224486080 \h </w:instrText>
          </w:r>
          <w:r>
            <w:rPr>
              <w:rFonts w:ascii="Times New Roman" w:hAnsi="Times New Roman" w:cs="Times New Roman"/>
              <w:sz w:val="28"/>
              <w:szCs w:val="28"/>
            </w:rPr>
            <w:fldChar w:fldCharType="separate"/>
          </w:r>
          <w:r>
            <w:rPr>
              <w:rFonts w:ascii="Times New Roman" w:hAnsi="Times New Roman" w:cs="Times New Roman"/>
              <w:sz w:val="28"/>
              <w:szCs w:val="28"/>
            </w:rPr>
            <w:t>29</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"_Toc224486081" </w:instrText>
          </w:r>
          <w:r>
            <w:fldChar w:fldCharType="separate"/>
          </w:r>
          <w:r>
            <w:rPr>
              <w:rStyle w:val="28"/>
              <w:rFonts w:ascii="Times New Roman" w:hAnsi="Times New Roman" w:eastAsia="楷体_GB2312" w:cs="Times New Roman"/>
              <w:sz w:val="28"/>
              <w:szCs w:val="28"/>
            </w:rPr>
            <w:t>（五）基层应急能力提升工程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_Toc224486081 \h </w:instrText>
          </w:r>
          <w:r>
            <w:rPr>
              <w:rFonts w:ascii="Times New Roman" w:hAnsi="Times New Roman" w:cs="Times New Roman"/>
              <w:sz w:val="28"/>
              <w:szCs w:val="28"/>
            </w:rPr>
            <w:fldChar w:fldCharType="separate"/>
          </w:r>
          <w:r>
            <w:rPr>
              <w:rFonts w:ascii="Times New Roman" w:hAnsi="Times New Roman" w:cs="Times New Roman"/>
              <w:sz w:val="28"/>
              <w:szCs w:val="28"/>
            </w:rPr>
            <w:t>29</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6"/>
            <w:tabs>
              <w:tab w:val="right" w:leader="dot" w:pos="8834"/>
            </w:tabs>
            <w:adjustRightInd w:val="0"/>
            <w:snapToGrid w:val="0"/>
            <w:spacing w:after="0" w:line="360" w:lineRule="auto"/>
            <w:rPr>
              <w:rFonts w:ascii="Times New Roman" w:hAnsi="Times New Roman" w:cs="Times New Roman"/>
              <w:sz w:val="28"/>
              <w:szCs w:val="28"/>
            </w:rPr>
          </w:pPr>
          <w:r>
            <w:fldChar w:fldCharType="begin"/>
          </w:r>
          <w:r>
            <w:instrText xml:space="preserve"> HYPERLINK \l "_Toc224486082" </w:instrText>
          </w:r>
          <w:r>
            <w:fldChar w:fldCharType="separate"/>
          </w:r>
          <w:r>
            <w:rPr>
              <w:rStyle w:val="28"/>
              <w:rFonts w:ascii="Times New Roman" w:hAnsi="Times New Roman" w:eastAsia="黑体" w:cs="Times New Roman"/>
              <w:kern w:val="44"/>
              <w:sz w:val="28"/>
              <w:szCs w:val="28"/>
            </w:rPr>
            <w:t>五、保障措施</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_Toc224486082 \h </w:instrText>
          </w:r>
          <w:r>
            <w:rPr>
              <w:rFonts w:ascii="Times New Roman" w:hAnsi="Times New Roman" w:cs="Times New Roman"/>
              <w:sz w:val="28"/>
              <w:szCs w:val="28"/>
            </w:rPr>
            <w:fldChar w:fldCharType="separate"/>
          </w:r>
          <w:r>
            <w:rPr>
              <w:rFonts w:ascii="Times New Roman" w:hAnsi="Times New Roman" w:cs="Times New Roman"/>
              <w:sz w:val="28"/>
              <w:szCs w:val="28"/>
            </w:rPr>
            <w:t>30</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sectPr>
              <w:footerReference r:id="rId5" w:type="default"/>
              <w:pgSz w:w="11906" w:h="16838"/>
              <w:pgMar w:top="2098" w:right="1474" w:bottom="1985" w:left="1588" w:header="851" w:footer="992" w:gutter="0"/>
              <w:pgNumType w:fmt="decimal" w:start="1"/>
              <w:cols w:space="425" w:num="1"/>
              <w:docGrid w:type="lines" w:linePitch="312" w:charSpace="0"/>
            </w:sectPr>
          </w:pP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"_Toc224486083" </w:instrText>
          </w:r>
          <w:r>
            <w:fldChar w:fldCharType="separate"/>
          </w:r>
          <w:r>
            <w:rPr>
              <w:rStyle w:val="28"/>
              <w:rFonts w:ascii="Times New Roman" w:hAnsi="Times New Roman" w:eastAsia="华文楷体" w:cs="Times New Roman"/>
              <w:sz w:val="28"/>
              <w:szCs w:val="28"/>
            </w:rPr>
            <w:t>（一）加强组织领导</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_Toc224486083 \h </w:instrText>
          </w:r>
          <w:r>
            <w:rPr>
              <w:rFonts w:ascii="Times New Roman" w:hAnsi="Times New Roman" w:cs="Times New Roman"/>
              <w:sz w:val="28"/>
              <w:szCs w:val="28"/>
            </w:rPr>
            <w:fldChar w:fldCharType="separate"/>
          </w:r>
          <w:r>
            <w:rPr>
              <w:rFonts w:ascii="Times New Roman" w:hAnsi="Times New Roman" w:cs="Times New Roman"/>
              <w:sz w:val="28"/>
              <w:szCs w:val="28"/>
            </w:rPr>
            <w:t>30</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"_Toc224486084" </w:instrText>
          </w:r>
          <w:r>
            <w:fldChar w:fldCharType="separate"/>
          </w:r>
          <w:r>
            <w:rPr>
              <w:rStyle w:val="28"/>
              <w:rFonts w:ascii="Times New Roman" w:hAnsi="Times New Roman" w:eastAsia="华文楷体" w:cs="Times New Roman"/>
              <w:sz w:val="28"/>
              <w:szCs w:val="28"/>
            </w:rPr>
            <w:t>（二）加强投入保障</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_Toc224486084 \h </w:instrText>
          </w:r>
          <w:r>
            <w:rPr>
              <w:rFonts w:ascii="Times New Roman" w:hAnsi="Times New Roman" w:cs="Times New Roman"/>
              <w:sz w:val="28"/>
              <w:szCs w:val="28"/>
            </w:rPr>
            <w:fldChar w:fldCharType="separate"/>
          </w:r>
          <w:r>
            <w:rPr>
              <w:rFonts w:ascii="Times New Roman" w:hAnsi="Times New Roman" w:cs="Times New Roman"/>
              <w:sz w:val="28"/>
              <w:szCs w:val="28"/>
            </w:rPr>
            <w:t>31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8"/>
            <w:tabs>
              <w:tab w:val="right" w:leader="dot" w:pos="8834"/>
            </w:tabs>
            <w:adjustRightInd w:val="0"/>
            <w:snapToGrid w:val="0"/>
            <w:spacing w:after="0" w:line="360" w:lineRule="auto"/>
            <w:ind w:left="440"/>
            <w:rPr>
              <w:rFonts w:ascii="Times New Roman" w:hAnsi="Times New Roman" w:cs="Times New Roman"/>
              <w:sz w:val="28"/>
              <w:szCs w:val="28"/>
            </w:rPr>
          </w:pPr>
          <w:r>
            <w:fldChar w:fldCharType="begin"/>
          </w:r>
          <w:r>
            <w:instrText xml:space="preserve"> HYPERLINK \l "_Toc224486085" </w:instrText>
          </w:r>
          <w:r>
            <w:fldChar w:fldCharType="separate"/>
          </w:r>
          <w:r>
            <w:rPr>
              <w:rStyle w:val="28"/>
              <w:rFonts w:ascii="Times New Roman" w:hAnsi="Times New Roman" w:eastAsia="华文楷体" w:cs="Times New Roman"/>
              <w:sz w:val="28"/>
              <w:szCs w:val="28"/>
            </w:rPr>
            <w:t>（三）加强监测评估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_Toc224486085 \h </w:instrText>
          </w:r>
          <w:r>
            <w:rPr>
              <w:rFonts w:ascii="Times New Roman" w:hAnsi="Times New Roman" w:cs="Times New Roman"/>
              <w:sz w:val="28"/>
              <w:szCs w:val="28"/>
            </w:rPr>
            <w:fldChar w:fldCharType="separate"/>
          </w:r>
          <w:r>
            <w:rPr>
              <w:rFonts w:ascii="Times New Roman" w:hAnsi="Times New Roman" w:cs="Times New Roman"/>
              <w:sz w:val="28"/>
              <w:szCs w:val="28"/>
            </w:rPr>
            <w:t>31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6"/>
            <w:tabs>
              <w:tab w:val="right" w:leader="dot" w:pos="8834"/>
            </w:tabs>
            <w:adjustRightInd w:val="0"/>
            <w:snapToGrid w:val="0"/>
            <w:spacing w:after="0" w:line="360" w:lineRule="auto"/>
            <w:rPr>
              <w:rFonts w:ascii="Times New Roman" w:hAnsi="Times New Roman" w:cs="Times New Roman"/>
              <w:sz w:val="28"/>
              <w:szCs w:val="28"/>
            </w:rPr>
          </w:pPr>
          <w:r>
            <w:fldChar w:fldCharType="begin"/>
          </w:r>
          <w:r>
            <w:instrText xml:space="preserve"> HYPERLINK \l "_Toc224486086" </w:instrText>
          </w:r>
          <w:r>
            <w:fldChar w:fldCharType="separate"/>
          </w:r>
          <w:r>
            <w:rPr>
              <w:rStyle w:val="28"/>
              <w:rFonts w:ascii="Times New Roman" w:hAnsi="Times New Roman" w:eastAsia="黑体" w:cs="Times New Roman"/>
              <w:kern w:val="44"/>
              <w:sz w:val="28"/>
              <w:szCs w:val="28"/>
            </w:rPr>
            <w:t>附件 重点工程项目表</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_Toc224486086 \h </w:instrText>
          </w:r>
          <w:r>
            <w:rPr>
              <w:rFonts w:ascii="Times New Roman" w:hAnsi="Times New Roman" w:cs="Times New Roman"/>
              <w:sz w:val="28"/>
              <w:szCs w:val="28"/>
            </w:rPr>
            <w:fldChar w:fldCharType="separate"/>
          </w:r>
          <w:r>
            <w:rPr>
              <w:rFonts w:ascii="Times New Roman" w:hAnsi="Times New Roman" w:cs="Times New Roman"/>
              <w:sz w:val="28"/>
              <w:szCs w:val="28"/>
            </w:rPr>
            <w:t>32</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tabs>
              <w:tab w:val="right" w:leader="dot" w:pos="8296"/>
            </w:tabs>
            <w:adjustRightInd w:val="0"/>
            <w:snapToGrid w:val="0"/>
            <w:spacing w:after="0" w:line="360" w:lineRule="auto"/>
            <w:jc w:val="both"/>
            <w:rPr>
              <w:rFonts w:ascii="Times New Roman" w:hAnsi="Times New Roman" w:eastAsia="宋体" w:cs="Times New Roman"/>
              <w:szCs w:val="22"/>
              <w:lang w:bidi="ar"/>
            </w:rPr>
          </w:pPr>
          <w:r>
            <w:rPr>
              <w:rFonts w:ascii="Times New Roman" w:hAnsi="Times New Roman" w:eastAsia="宋体" w:cs="Times New Roman"/>
              <w:sz w:val="28"/>
              <w:szCs w:val="28"/>
              <w:lang w:bidi="ar"/>
            </w:rPr>
            <w:fldChar w:fldCharType="end"/>
          </w:r>
        </w:p>
      </w:sdtContent>
    </w:sdt>
    <w:p>
      <w:pPr>
        <w:pStyle w:val="2"/>
        <w:adjustRightInd w:val="0"/>
        <w:snapToGrid w:val="0"/>
        <w:spacing w:before="0" w:after="0" w:line="560" w:lineRule="exact"/>
        <w:ind w:firstLine="640" w:firstLineChars="200"/>
        <w:jc w:val="both"/>
        <w:rPr>
          <w:rFonts w:ascii="Times New Roman" w:hAnsi="Times New Roman" w:eastAsia="黑体" w:cs="Times New Roman"/>
          <w:color w:val="auto"/>
          <w:kern w:val="44"/>
          <w:sz w:val="32"/>
          <w:szCs w:val="32"/>
        </w:rPr>
        <w:sectPr>
          <w:footerReference r:id="rId6" w:type="default"/>
          <w:pgSz w:w="11906" w:h="16838"/>
          <w:pgMar w:top="2098" w:right="1474" w:bottom="1985" w:left="1588" w:header="851" w:footer="992" w:gutter="0"/>
          <w:pgNumType w:fmt="decimal" w:start="1"/>
          <w:cols w:space="425" w:num="1"/>
          <w:docGrid w:type="lines" w:linePitch="312" w:charSpace="0"/>
        </w:sectPr>
      </w:pPr>
    </w:p>
    <w:p>
      <w:pPr>
        <w:pStyle w:val="2"/>
        <w:adjustRightInd w:val="0"/>
        <w:snapToGrid w:val="0"/>
        <w:spacing w:before="0" w:after="0" w:line="560" w:lineRule="exact"/>
        <w:ind w:firstLine="640" w:firstLineChars="200"/>
        <w:jc w:val="both"/>
        <w:rPr>
          <w:rFonts w:ascii="Times New Roman" w:hAnsi="Times New Roman" w:eastAsia="黑体" w:cs="Times New Roman"/>
          <w:color w:val="auto"/>
          <w:kern w:val="44"/>
          <w:sz w:val="32"/>
          <w:szCs w:val="32"/>
        </w:rPr>
      </w:pPr>
      <w:bookmarkStart w:id="1" w:name="_Toc224486061"/>
      <w:r>
        <w:rPr>
          <w:rFonts w:ascii="Times New Roman" w:hAnsi="Times New Roman" w:eastAsia="黑体" w:cs="Times New Roman"/>
          <w:color w:val="auto"/>
          <w:kern w:val="44"/>
          <w:sz w:val="32"/>
          <w:szCs w:val="32"/>
        </w:rPr>
        <w:t>一、现状与形势</w:t>
      </w:r>
      <w:bookmarkEnd w:id="1"/>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2" w:name="_Toc224486062"/>
      <w:r>
        <w:rPr>
          <w:rFonts w:hint="eastAsia" w:ascii="方正楷体_GBK" w:hAnsi="方正楷体_GBK" w:eastAsia="方正楷体_GBK" w:cs="方正楷体_GBK"/>
          <w:color w:val="auto"/>
          <w:sz w:val="32"/>
          <w:szCs w:val="32"/>
        </w:rPr>
        <w:t>（一）“十四五”工作成效</w:t>
      </w:r>
      <w:bookmarkEnd w:id="2"/>
    </w:p>
    <w:p>
      <w:pPr>
        <w:adjustRightInd w:val="0"/>
        <w:snapToGrid w:val="0"/>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应急管理体制机制不断优化。</w:t>
      </w:r>
      <w:r>
        <w:rPr>
          <w:rFonts w:hint="eastAsia" w:ascii="仿宋_GB2312" w:hAnsi="仿宋_GB2312" w:eastAsia="仿宋_GB2312" w:cs="仿宋_GB2312"/>
          <w:sz w:val="32"/>
          <w:szCs w:val="32"/>
        </w:rPr>
        <w:t>坚持党建引领，制定加强基层应急管理体系和能力建设工作方案，压紧压实党政领导干部及部门安全生产责</w:t>
      </w:r>
      <w:r>
        <w:rPr>
          <w:rFonts w:hint="eastAsia" w:ascii="仿宋_GB2312" w:hAnsi="仿宋_GB2312" w:eastAsia="仿宋_GB2312" w:cs="仿宋_GB2312"/>
          <w:sz w:val="32"/>
          <w:szCs w:val="32"/>
          <w:lang w:eastAsia="zh-CN"/>
        </w:rPr>
        <w:t>任</w:t>
      </w:r>
      <w:r>
        <w:rPr>
          <w:rFonts w:hint="eastAsia" w:ascii="仿宋_GB2312" w:hAnsi="仿宋_GB2312" w:eastAsia="仿宋_GB2312" w:cs="仿宋_GB2312"/>
          <w:sz w:val="32"/>
          <w:szCs w:val="32"/>
        </w:rPr>
        <w:t>。建立值班值守应急工作机制，开展应急值班规范创建活动。完善市安委会工作规则和运行机制，分设8个专业委员会。健全市、区两级突发事件联动响应与风险研判机制，定期组织开展系统性风险排查，精准识别风险隐患。开展全市安全生产工作体系现状评估，进一步完善安全生产责任体系。联合纪检监察、督查部门建立敏感时段及应急响应期间行政履职专项督查机制。推进应急预案体系标准化建设，构建“</w:t>
      </w:r>
      <w:r>
        <w:rPr>
          <w:rFonts w:hint="default" w:ascii="Times New Roman" w:hAnsi="Times New Roman" w:eastAsia="仿宋_GB2312" w:cs="Times New Roman"/>
          <w:sz w:val="32"/>
          <w:szCs w:val="32"/>
        </w:rPr>
        <w:t>1+61</w:t>
      </w:r>
      <w:r>
        <w:rPr>
          <w:rFonts w:hint="eastAsia" w:ascii="仿宋_GB2312" w:hAnsi="仿宋_GB2312" w:eastAsia="仿宋_GB2312" w:cs="仿宋_GB2312"/>
          <w:sz w:val="32"/>
          <w:szCs w:val="32"/>
        </w:rPr>
        <w:t>”应急预案体系。</w:t>
      </w:r>
    </w:p>
    <w:p>
      <w:pPr>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风险隐患防范成效初显。</w:t>
      </w:r>
      <w:r>
        <w:rPr>
          <w:rFonts w:hint="eastAsia" w:ascii="仿宋_GB2312" w:hAnsi="仿宋_GB2312" w:eastAsia="仿宋_GB2312" w:cs="仿宋_GB2312"/>
          <w:sz w:val="32"/>
          <w:szCs w:val="32"/>
        </w:rPr>
        <w:t>全面推动第一次全国自然灾害综合风险普查及全国综合减灾示范社区创建，建设</w:t>
      </w:r>
      <w:bookmarkStart w:id="3" w:name="_Hlk190785945"/>
      <w:r>
        <w:rPr>
          <w:rFonts w:hint="eastAsia" w:ascii="仿宋_GB2312" w:hAnsi="仿宋_GB2312" w:eastAsia="仿宋_GB2312" w:cs="仿宋_GB2312"/>
          <w:sz w:val="32"/>
          <w:szCs w:val="32"/>
        </w:rPr>
        <w:t>城市安全风险</w:t>
      </w:r>
      <w:bookmarkEnd w:id="3"/>
      <w:r>
        <w:rPr>
          <w:rFonts w:hint="eastAsia" w:ascii="仿宋_GB2312" w:hAnsi="仿宋_GB2312" w:eastAsia="仿宋_GB2312" w:cs="仿宋_GB2312"/>
          <w:sz w:val="32"/>
          <w:szCs w:val="32"/>
        </w:rPr>
        <w:t>信息管理系统，持续开展城市公共安全风险评估，完成“自然灾害综合风险调查评估系统”区划底图更新。扎实开展安全生产专项整治，累计排查各类企业场</w:t>
      </w:r>
      <w:r>
        <w:rPr>
          <w:rFonts w:hint="default" w:ascii="Times New Roman" w:hAnsi="Times New Roman" w:eastAsia="仿宋_GB2312" w:cs="Times New Roman"/>
          <w:sz w:val="32"/>
          <w:szCs w:val="32"/>
        </w:rPr>
        <w:t>所4.66万家次，整治隐患3.63万项，重点行业领域重大安全风险得到有效化解。自然灾害监测预警基础设施持续完善，增建自动气象监测站、微型站、积水站及村级单雨量站共277个。安装地震预警信息终端70套，完成东部地震观测台强震台建设及南滨地震观测台2号井并</w:t>
      </w:r>
      <w:r>
        <w:rPr>
          <w:rFonts w:hint="eastAsia" w:ascii="仿宋_GB2312" w:hAnsi="仿宋_GB2312" w:eastAsia="仿宋_GB2312" w:cs="仿宋_GB2312"/>
          <w:sz w:val="32"/>
          <w:szCs w:val="32"/>
        </w:rPr>
        <w:t>网。实施育才生态区森林火灾扑救直升机停机坪建设，强化野外火源管控与林区巡查，森林火灾发生率显著降低。</w:t>
      </w:r>
    </w:p>
    <w:p>
      <w:pPr>
        <w:adjustRightInd w:val="0"/>
        <w:snapToGrid w:val="0"/>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应急处置保障能力提升。</w:t>
      </w:r>
      <w:r>
        <w:rPr>
          <w:rFonts w:hint="eastAsia" w:ascii="仿宋_GB2312" w:hAnsi="仿宋_GB2312" w:eastAsia="仿宋_GB2312" w:cs="仿宋_GB2312"/>
          <w:sz w:val="32"/>
          <w:szCs w:val="32"/>
        </w:rPr>
        <w:t>推进市森林防火专业队伍正规化建设，完善与消防救援队伍共训共练机制，加强地震现场队伍建设和装备配备，积极推动航空应急力量建设。健全社会救援力量参与应急抢险救援工作联动机制。组织开展防汛防风、防震、森林防灭火等综合应急演练</w:t>
      </w:r>
      <w:r>
        <w:rPr>
          <w:rFonts w:hint="default" w:ascii="Times New Roman" w:hAnsi="Times New Roman" w:eastAsia="仿宋_GB2312" w:cs="Times New Roman"/>
          <w:sz w:val="32"/>
          <w:szCs w:val="32"/>
        </w:rPr>
        <w:t>。实施市物资储备中心仓库标准化改造，2个市级及9个区级防汛物资储</w:t>
      </w:r>
      <w:r>
        <w:rPr>
          <w:rFonts w:hint="eastAsia" w:ascii="仿宋_GB2312" w:hAnsi="仿宋_GB2312" w:eastAsia="仿宋_GB2312" w:cs="仿宋_GB2312"/>
          <w:sz w:val="32"/>
          <w:szCs w:val="32"/>
        </w:rPr>
        <w:t>备点物资数量与质量均满足救灾需求。</w:t>
      </w:r>
    </w:p>
    <w:p>
      <w:pPr>
        <w:adjustRightInd w:val="0"/>
        <w:snapToGrid w:val="0"/>
        <w:spacing w:after="0" w:line="560" w:lineRule="exact"/>
        <w:ind w:firstLine="642"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sz w:val="32"/>
          <w:szCs w:val="32"/>
        </w:rPr>
        <w:t>科技保障支撑能力提高。</w:t>
      </w:r>
      <w:r>
        <w:rPr>
          <w:rFonts w:hint="eastAsia" w:ascii="仿宋_GB2312" w:hAnsi="仿宋_GB2312" w:eastAsia="仿宋_GB2312" w:cs="仿宋_GB2312"/>
          <w:color w:val="000000" w:themeColor="text1"/>
          <w:sz w:val="32"/>
          <w:szCs w:val="32"/>
          <w14:textFill>
            <w14:solidFill>
              <w14:schemeClr w14:val="tx1"/>
            </w14:solidFill>
          </w14:textFill>
        </w:rPr>
        <w:t>接入</w:t>
      </w:r>
      <w:r>
        <w:rPr>
          <w:rFonts w:hint="default" w:ascii="Times New Roman" w:hAnsi="Times New Roman" w:eastAsia="仿宋_GB2312" w:cs="Times New Roman"/>
          <w:color w:val="000000" w:themeColor="text1"/>
          <w:sz w:val="32"/>
          <w:szCs w:val="32"/>
          <w14:textFill>
            <w14:solidFill>
              <w14:schemeClr w14:val="tx1"/>
            </w14:solidFill>
          </w14:textFill>
        </w:rPr>
        <w:t>12家单位17个平台系统，强化突发事件态势分析研判与处置。配发370MHz窄带通信对讲机347部、天通卫星电话19台、防汛应急电台52部</w:t>
      </w:r>
      <w:r>
        <w:rPr>
          <w:rFonts w:hint="eastAsia" w:ascii="仿宋_GB2312" w:hAnsi="仿宋_GB2312" w:eastAsia="仿宋_GB2312" w:cs="仿宋_GB2312"/>
          <w:color w:val="000000" w:themeColor="text1"/>
          <w:sz w:val="32"/>
          <w:szCs w:val="32"/>
          <w14:textFill>
            <w14:solidFill>
              <w14:schemeClr w14:val="tx1"/>
            </w14:solidFill>
          </w14:textFill>
        </w:rPr>
        <w:t>，应急通信保障水平显著提升。实现市、区（育才生态区）应急系统数据共享与互联互通，初步构建起覆盖两级的“监测预警、信息报送、会商研判、应急处置”实时联动指挥调度体系，应急信息化服务保障能力持续增强。</w:t>
      </w:r>
    </w:p>
    <w:p>
      <w:pPr>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安全文明意识持续提升。</w:t>
      </w:r>
      <w:r>
        <w:rPr>
          <w:rFonts w:hint="eastAsia" w:ascii="仿宋_GB2312" w:hAnsi="仿宋_GB2312" w:eastAsia="仿宋_GB2312" w:cs="仿宋_GB2312"/>
          <w:sz w:val="32"/>
          <w:szCs w:val="32"/>
        </w:rPr>
        <w:t>应急科普宣教深入开展，联合相关部门单位拓宽宣传渠道，普及公众应急知识，持续推进应急管理知识进企业、进社区、进学校、进农村、进家庭及“幸福集市”等活动。精心组织“</w:t>
      </w:r>
      <w:r>
        <w:rPr>
          <w:rFonts w:hint="default" w:ascii="Times New Roman" w:hAnsi="Times New Roman" w:eastAsia="仿宋_GB2312" w:cs="Times New Roman"/>
          <w:sz w:val="32"/>
          <w:szCs w:val="32"/>
        </w:rPr>
        <w:t>5·12防</w:t>
      </w:r>
      <w:r>
        <w:rPr>
          <w:rFonts w:hint="eastAsia" w:ascii="仿宋_GB2312" w:hAnsi="仿宋_GB2312" w:eastAsia="仿宋_GB2312" w:cs="仿宋_GB2312"/>
          <w:sz w:val="32"/>
          <w:szCs w:val="32"/>
        </w:rPr>
        <w:t>灾减灾日”“安全生产月”“</w:t>
      </w:r>
      <w:r>
        <w:rPr>
          <w:rFonts w:hint="default" w:ascii="Times New Roman" w:hAnsi="Times New Roman" w:eastAsia="仿宋_GB2312" w:cs="Times New Roman"/>
          <w:sz w:val="32"/>
          <w:szCs w:val="32"/>
        </w:rPr>
        <w:t>119</w:t>
      </w:r>
      <w:r>
        <w:rPr>
          <w:rFonts w:hint="eastAsia" w:ascii="仿宋_GB2312" w:hAnsi="仿宋_GB2312" w:eastAsia="仿宋_GB2312" w:cs="仿宋_GB2312"/>
          <w:sz w:val="32"/>
          <w:szCs w:val="32"/>
        </w:rPr>
        <w:t>消防宣传日”主题宣传及防震减灾科普讲解大赛，营造浓厚安全氛围。“十四五”期间，累计创建省级防震减灾科普示范学校</w:t>
      </w:r>
      <w:r>
        <w:rPr>
          <w:rFonts w:hint="default" w:ascii="Times New Roman" w:hAnsi="Times New Roman" w:eastAsia="仿宋_GB2312" w:cs="Times New Roman"/>
          <w:sz w:val="32"/>
          <w:szCs w:val="32"/>
        </w:rPr>
        <w:t>11所、国家级防震减灾科普示范学校及综合减灾示范社区2</w:t>
      </w:r>
      <w:r>
        <w:rPr>
          <w:rFonts w:hint="eastAsia" w:ascii="仿宋_GB2312" w:hAnsi="仿宋_GB2312" w:eastAsia="仿宋_GB2312" w:cs="仿宋_GB2312"/>
          <w:sz w:val="32"/>
          <w:szCs w:val="32"/>
        </w:rPr>
        <w:t>个，示范引领作用有效发挥。</w:t>
      </w:r>
    </w:p>
    <w:p>
      <w:pPr>
        <w:spacing w:after="0" w:line="560" w:lineRule="exact"/>
        <w:ind w:firstLine="642"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协同联动机制初步形成。</w:t>
      </w:r>
      <w:r>
        <w:rPr>
          <w:rFonts w:hint="eastAsia" w:ascii="仿宋_GB2312" w:hAnsi="仿宋_GB2312" w:eastAsia="仿宋_GB2312" w:cs="仿宋_GB2312"/>
          <w:sz w:val="32"/>
          <w:szCs w:val="32"/>
        </w:rPr>
        <w:t>建立健全安全生产案件线索移交、应急管理领域检察公益诉讼协调机制。加强与三亚海警局应急救援和处置协助配合。会同乐东、陵水、保亭、五指山制定《海南省第二联防区森林防灭火工作方案》及“大三亚”森林防灭火联防联控相关行动方案、会商研判机制，初步形成跨区域应急协调联动体系，实现救援资源、预警信息共享与区域优势互补。</w:t>
      </w:r>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4" w:name="_Toc224486063"/>
      <w:r>
        <w:rPr>
          <w:rFonts w:hint="eastAsia" w:ascii="方正楷体_GBK" w:hAnsi="方正楷体_GBK" w:eastAsia="方正楷体_GBK" w:cs="方正楷体_GBK"/>
          <w:color w:val="auto"/>
          <w:sz w:val="32"/>
          <w:szCs w:val="32"/>
        </w:rPr>
        <w:t>（二）</w:t>
      </w:r>
      <w:bookmarkStart w:id="5" w:name="_Hlk190961871"/>
      <w:r>
        <w:rPr>
          <w:rFonts w:hint="eastAsia" w:ascii="方正楷体_GBK" w:hAnsi="方正楷体_GBK" w:eastAsia="方正楷体_GBK" w:cs="方正楷体_GBK"/>
          <w:color w:val="auto"/>
          <w:sz w:val="32"/>
          <w:szCs w:val="32"/>
        </w:rPr>
        <w:t>“十五五”面临挑战</w:t>
      </w:r>
      <w:bookmarkEnd w:id="4"/>
    </w:p>
    <w:p>
      <w:pPr>
        <w:spacing w:after="0" w:line="560" w:lineRule="exact"/>
        <w:ind w:firstLine="642" w:firstLineChars="200"/>
        <w:jc w:val="both"/>
        <w:rPr>
          <w:rFonts w:hint="eastAsia" w:ascii="仿宋_GB2312" w:hAnsi="仿宋_GB2312" w:eastAsia="仿宋_GB2312" w:cs="仿宋_GB2312"/>
          <w:sz w:val="32"/>
          <w:szCs w:val="32"/>
        </w:rPr>
      </w:pPr>
      <w:bookmarkStart w:id="6" w:name="_Hlk190851454"/>
      <w:r>
        <w:rPr>
          <w:rFonts w:hint="eastAsia" w:ascii="仿宋_GB2312" w:hAnsi="仿宋_GB2312" w:eastAsia="仿宋_GB2312" w:cs="仿宋_GB2312"/>
          <w:b/>
          <w:bCs/>
          <w:sz w:val="32"/>
          <w:szCs w:val="32"/>
        </w:rPr>
        <w:t>体制机制运行不够顺畅。</w:t>
      </w:r>
      <w:r>
        <w:rPr>
          <w:rFonts w:hint="eastAsia" w:ascii="仿宋_GB2312" w:hAnsi="仿宋_GB2312" w:eastAsia="仿宋_GB2312" w:cs="仿宋_GB2312"/>
          <w:sz w:val="32"/>
          <w:szCs w:val="32"/>
        </w:rPr>
        <w:t>部门监管职责动态调整机制不完善，“防”与“救”责任链条需压紧压实。数据壁垒尚未打破，资源整合共享存在障碍。部门配合、条块结合、区域联合、军地融合等协调联动机制有待优化。基层执法力量及运用法治思维解决问题的能力仍需加强。</w:t>
      </w:r>
    </w:p>
    <w:bookmarkEnd w:id="6"/>
    <w:p>
      <w:pPr>
        <w:spacing w:after="0" w:line="560" w:lineRule="exact"/>
        <w:ind w:firstLine="642"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风险源头防控难度加大。</w:t>
      </w:r>
      <w:r>
        <w:rPr>
          <w:rFonts w:hint="eastAsia" w:ascii="仿宋_GB2312" w:hAnsi="仿宋_GB2312" w:eastAsia="仿宋_GB2312" w:cs="仿宋_GB2312"/>
          <w:b w:val="0"/>
          <w:bCs w:val="0"/>
          <w:sz w:val="32"/>
          <w:szCs w:val="32"/>
          <w:lang w:val="en-US" w:eastAsia="zh-CN"/>
        </w:rPr>
        <w:t>自由贸易港</w:t>
      </w:r>
      <w:r>
        <w:rPr>
          <w:rFonts w:hint="eastAsia" w:ascii="仿宋_GB2312" w:hAnsi="仿宋_GB2312" w:eastAsia="仿宋_GB2312" w:cs="仿宋_GB2312"/>
          <w:b w:val="0"/>
          <w:bCs w:val="0"/>
          <w:sz w:val="32"/>
          <w:szCs w:val="32"/>
        </w:rPr>
        <w:t>建设使人流物流激增，危化品跨境运输、邮轮游艇等非传统安全风险交织。林火监测与防灭火装备不足，西部北部山区及近海存在气象盲区，</w:t>
      </w:r>
      <w:r>
        <w:rPr>
          <w:rFonts w:hint="default" w:ascii="Times New Roman" w:hAnsi="Times New Roman" w:eastAsia="仿宋_GB2312" w:cs="Times New Roman"/>
          <w:b w:val="0"/>
          <w:bCs w:val="0"/>
          <w:sz w:val="32"/>
          <w:szCs w:val="32"/>
        </w:rPr>
        <w:t>全市91宗水库、51处地质灾害点、18处漫水桥（路、涵）、43处低洼易涝点、21处易受淹小区、19个景区景点</w:t>
      </w:r>
      <w:r>
        <w:rPr>
          <w:rFonts w:hint="eastAsia" w:ascii="仿宋_GB2312" w:hAnsi="仿宋_GB2312" w:eastAsia="仿宋_GB2312" w:cs="仿宋_GB2312"/>
          <w:b w:val="0"/>
          <w:bCs w:val="0"/>
          <w:sz w:val="32"/>
          <w:szCs w:val="32"/>
        </w:rPr>
        <w:t>等风险隐患在极端天气下管控难度大，新技术、新产业、新业态给城市建设管理带来新风险，对基础设施防灾能力提出更高要求。</w:t>
      </w:r>
    </w:p>
    <w:p>
      <w:pPr>
        <w:spacing w:after="0" w:line="560" w:lineRule="exact"/>
        <w:ind w:firstLine="642" w:firstLineChars="200"/>
        <w:jc w:val="both"/>
        <w:rPr>
          <w:rFonts w:ascii="Times New Roman" w:hAnsi="Times New Roman" w:eastAsia="仿宋" w:cs="Times New Roman"/>
          <w:sz w:val="32"/>
          <w:szCs w:val="32"/>
        </w:rPr>
      </w:pPr>
      <w:r>
        <w:rPr>
          <w:rFonts w:hint="eastAsia" w:ascii="仿宋_GB2312" w:hAnsi="仿宋_GB2312" w:eastAsia="仿宋_GB2312" w:cs="仿宋_GB2312"/>
          <w:b/>
          <w:bCs/>
          <w:sz w:val="32"/>
          <w:szCs w:val="32"/>
        </w:rPr>
        <w:t>企业主体责任落实不力。</w:t>
      </w:r>
      <w:r>
        <w:rPr>
          <w:rFonts w:hint="eastAsia" w:ascii="仿宋_GB2312" w:hAnsi="仿宋_GB2312" w:eastAsia="仿宋_GB2312" w:cs="仿宋_GB2312"/>
          <w:sz w:val="32"/>
          <w:szCs w:val="32"/>
        </w:rPr>
        <w:t>部分企业安全意识不强，风险管控主动性不高。</w:t>
      </w:r>
      <w:r>
        <w:rPr>
          <w:rFonts w:hint="eastAsia" w:ascii="仿宋_GB2312" w:hAnsi="仿宋_GB2312" w:eastAsia="仿宋_GB2312" w:cs="仿宋_GB2312"/>
          <w:sz w:val="32"/>
          <w:szCs w:val="32"/>
          <w:lang w:val="en-US" w:eastAsia="zh-CN"/>
        </w:rPr>
        <w:t>自由贸易港</w:t>
      </w:r>
      <w:r>
        <w:rPr>
          <w:rFonts w:hint="eastAsia" w:ascii="仿宋_GB2312" w:hAnsi="仿宋_GB2312" w:eastAsia="仿宋_GB2312" w:cs="仿宋_GB2312"/>
          <w:sz w:val="32"/>
          <w:szCs w:val="32"/>
        </w:rPr>
        <w:t>建设加速产业更迭，有些企业生产经营</w:t>
      </w:r>
      <w:r>
        <w:rPr>
          <w:rFonts w:ascii="Times New Roman" w:hAnsi="Times New Roman" w:eastAsia="仿宋_GB2312" w:cs="Times New Roman"/>
          <w:sz w:val="32"/>
          <w:szCs w:val="32"/>
        </w:rPr>
        <w:t>压力增大，企业安全投入动力不足，员工流动性大导致培训走过场。特别是小微企业在责任落实、隐患排查方面问题突出，内生安全动力亟待增强。</w:t>
      </w:r>
    </w:p>
    <w:p>
      <w:pPr>
        <w:spacing w:after="0" w:line="560" w:lineRule="exact"/>
        <w:ind w:firstLine="642"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应急救援能力仍有短板。</w:t>
      </w:r>
      <w:r>
        <w:rPr>
          <w:rFonts w:ascii="Times New Roman" w:hAnsi="Times New Roman" w:eastAsia="仿宋_GB2312" w:cs="Times New Roman"/>
          <w:sz w:val="32"/>
          <w:szCs w:val="32"/>
        </w:rPr>
        <w:t>应急预案实用性、操作性有待加强，力量布局与装备配备不够优化，联演联训机制不健全。基层先期处置能力不足，防震减灾、航空救援及海上搜救等专业力量匮乏。应急物资储备、运输通信保障水平不高，偏远岛屿救援响应时效有待提升。</w:t>
      </w:r>
    </w:p>
    <w:p>
      <w:pPr>
        <w:spacing w:after="0" w:line="560" w:lineRule="exact"/>
        <w:ind w:firstLine="642"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科技赋能支撑相对滞后。</w:t>
      </w:r>
      <w:r>
        <w:rPr>
          <w:rFonts w:ascii="Times New Roman" w:hAnsi="Times New Roman" w:eastAsia="仿宋_GB2312" w:cs="Times New Roman"/>
          <w:sz w:val="32"/>
          <w:szCs w:val="32"/>
        </w:rPr>
        <w:t>高端信息技术人才匮乏、应急管理科技自主创新水平不高，遥感监测、物联网、超前感知预警系统等科技手段应用水平不高，应急管理装备科技支撑不足。智慧应急存在瓶颈，难以满足新形势下精准防控、高效救援的实际需求。</w:t>
      </w:r>
    </w:p>
    <w:bookmarkEnd w:id="5"/>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7" w:name="_Toc224486064"/>
      <w:r>
        <w:rPr>
          <w:rFonts w:hint="eastAsia" w:ascii="方正楷体_GBK" w:hAnsi="方正楷体_GBK" w:eastAsia="方正楷体_GBK" w:cs="方正楷体_GBK"/>
          <w:color w:val="auto"/>
          <w:sz w:val="32"/>
          <w:szCs w:val="32"/>
        </w:rPr>
        <w:t>（三）“十五五”发展机遇</w:t>
      </w:r>
      <w:bookmarkEnd w:id="7"/>
    </w:p>
    <w:p>
      <w:pPr>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习近平总书记重要论述，引领应急管理事业新征程。</w:t>
      </w:r>
      <w:r>
        <w:rPr>
          <w:rFonts w:hint="eastAsia" w:ascii="仿宋_GB2312" w:hAnsi="仿宋_GB2312" w:eastAsia="仿宋_GB2312" w:cs="仿宋_GB2312"/>
          <w:sz w:val="32"/>
          <w:szCs w:val="32"/>
        </w:rPr>
        <w:t>习近平总书记关于应急管理工作的重要指示批示，深刻阐明了我国应急管理体制机制的特色优势，科学回答了事关应急管理工作全局的重大理论与现实问题，为应急管理事业发展提供了根本遵循，为三亚在新时代新征程上推动应急管理体系和能力现代化</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指明了前进方向与实施路径。</w:t>
      </w:r>
    </w:p>
    <w:p>
      <w:pPr>
        <w:pStyle w:val="20"/>
        <w:widowControl/>
        <w:shd w:val="clear" w:color="auto" w:fill="FFFFFF"/>
        <w:spacing w:beforeAutospacing="0" w:afterAutospacing="0" w:line="560" w:lineRule="exact"/>
        <w:ind w:firstLine="642"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经济社会高质量发展，为提升城市韧性提供保障条件。</w:t>
      </w:r>
      <w:r>
        <w:rPr>
          <w:rFonts w:hint="eastAsia" w:ascii="仿宋_GB2312" w:hAnsi="仿宋_GB2312" w:eastAsia="仿宋_GB2312" w:cs="仿宋_GB2312"/>
          <w:kern w:val="2"/>
          <w:sz w:val="32"/>
          <w:szCs w:val="32"/>
        </w:rPr>
        <w:t>“十五五”时期是三亚经济社会发展关键跃升期，产业结构的优化升级、现代服务业与高新技术产业的集聚，将倒逼旅游安全体系升级，推动景区智能化风险防控。国家关于提升基层应急能力、打造韧性城市及推进城市更新行动等一系列政策红利，为城市安全稳定与高质量发展提供了坚实保障。</w:t>
      </w:r>
    </w:p>
    <w:p>
      <w:pPr>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高科技赋能智慧应急，为防灾减灾救灾提供强大支撑。 </w:t>
      </w:r>
      <w:r>
        <w:rPr>
          <w:rFonts w:hint="eastAsia" w:ascii="仿宋_GB2312" w:hAnsi="仿宋_GB2312" w:eastAsia="仿宋_GB2312" w:cs="仿宋_GB2312"/>
          <w:sz w:val="32"/>
          <w:szCs w:val="32"/>
        </w:rPr>
        <w:t>随着高端科技创新人才的加速汇聚，智能化应急决策系统、先进救援装备及人工智能、大数据、物联网等新技术在风险管控、灾害预警和抢险救援中的深度应用，将为三亚应急管理的科技化、信息化跨越式发展注入强大动力。智慧城市与数字化转型成果的转化应用，将显著提升防灾减灾救灾的精准度与效能。</w:t>
      </w:r>
    </w:p>
    <w:p>
      <w:pPr>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自由贸易港政策红利，为应急管理创新发展提供政策支持。</w:t>
      </w:r>
      <w:r>
        <w:rPr>
          <w:rFonts w:hint="eastAsia" w:ascii="仿宋_GB2312" w:hAnsi="仿宋_GB2312" w:eastAsia="仿宋_GB2312" w:cs="仿宋_GB2312"/>
          <w:sz w:val="32"/>
          <w:szCs w:val="32"/>
        </w:rPr>
        <w:t>海南自由贸易港政策红利的持续释放，为三亚应急管理体系和能力现代化建设争取专项政策、资金和技术支持提供了宝贵契机。通过推动国家“智慧应急”战略与“智慧海南”建设的深度融合，推动三亚在应急管理领域开创性立法、法治建设及打造“韧性城市”标杆等方面取得突破，实现制度集成创新与安全能级提升的良性互动。</w:t>
      </w:r>
    </w:p>
    <w:p>
      <w:pPr>
        <w:spacing w:after="0" w:line="560" w:lineRule="exact"/>
        <w:ind w:firstLine="642" w:firstLineChars="200"/>
        <w:jc w:val="both"/>
        <w:rPr>
          <w:rFonts w:ascii="Times New Roman" w:hAnsi="Times New Roman" w:eastAsia="仿宋_GB2312" w:cs="Times New Roman"/>
          <w:sz w:val="32"/>
          <w:szCs w:val="32"/>
        </w:rPr>
      </w:pPr>
      <w:r>
        <w:rPr>
          <w:rFonts w:hint="eastAsia" w:ascii="仿宋_GB2312" w:hAnsi="仿宋_GB2312" w:eastAsia="仿宋_GB2312" w:cs="仿宋_GB2312"/>
          <w:b/>
          <w:bCs/>
          <w:sz w:val="32"/>
          <w:szCs w:val="32"/>
        </w:rPr>
        <w:t>拓展国际交流合作，为提升应急管理国际化水平提供条件。</w:t>
      </w:r>
      <w:r>
        <w:rPr>
          <w:rFonts w:hint="eastAsia" w:ascii="仿宋_GB2312" w:hAnsi="仿宋_GB2312" w:eastAsia="仿宋_GB2312" w:cs="仿宋_GB2312"/>
          <w:sz w:val="32"/>
          <w:szCs w:val="32"/>
        </w:rPr>
        <w:t>依托自由贸易港建设，三亚参与国际合作的广度与深度不断拓展。发挥“海上丝绸之路”节点城市的区位优势，深化与国际应急救援组织、东南亚地区及国际一流城市的交流协作，推动跨区域灾害联防联控、应急资源共享及先进经验互鉴，为三亚构建开放型应急管理体系、提升应急管理国际化水平营造了良好的外部环境</w:t>
      </w:r>
      <w:r>
        <w:rPr>
          <w:rFonts w:ascii="Times New Roman" w:hAnsi="Times New Roman" w:eastAsia="仿宋_GB2312" w:cs="Times New Roman"/>
          <w:sz w:val="32"/>
          <w:szCs w:val="32"/>
        </w:rPr>
        <w:t>。</w:t>
      </w:r>
    </w:p>
    <w:p>
      <w:pPr>
        <w:pStyle w:val="2"/>
        <w:adjustRightInd w:val="0"/>
        <w:snapToGrid w:val="0"/>
        <w:spacing w:before="0" w:after="0" w:line="560" w:lineRule="exact"/>
        <w:ind w:firstLine="640" w:firstLineChars="200"/>
        <w:jc w:val="both"/>
        <w:rPr>
          <w:rFonts w:ascii="Times New Roman" w:hAnsi="Times New Roman" w:eastAsia="黑体" w:cs="Times New Roman"/>
          <w:color w:val="auto"/>
          <w:kern w:val="44"/>
          <w:sz w:val="32"/>
          <w:szCs w:val="32"/>
        </w:rPr>
      </w:pPr>
      <w:bookmarkStart w:id="8" w:name="_Toc224486065"/>
      <w:r>
        <w:rPr>
          <w:rFonts w:ascii="Times New Roman" w:hAnsi="Times New Roman" w:eastAsia="黑体" w:cs="Times New Roman"/>
          <w:color w:val="auto"/>
          <w:kern w:val="44"/>
          <w:sz w:val="32"/>
          <w:szCs w:val="32"/>
        </w:rPr>
        <w:t>二、总体要求</w:t>
      </w:r>
      <w:bookmarkEnd w:id="8"/>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9" w:name="_Toc224486066"/>
      <w:r>
        <w:rPr>
          <w:rFonts w:hint="eastAsia" w:ascii="方正楷体_GBK" w:hAnsi="方正楷体_GBK" w:eastAsia="方正楷体_GBK" w:cs="方正楷体_GBK"/>
          <w:color w:val="auto"/>
          <w:sz w:val="32"/>
          <w:szCs w:val="32"/>
        </w:rPr>
        <w:t>（一）指导思想</w:t>
      </w:r>
      <w:bookmarkEnd w:id="9"/>
    </w:p>
    <w:p>
      <w:pPr>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习近平新时代中国特色社会主义思想为指导，深入贯彻习近平总书记关于应急管理的重要论述和重要指示批示精神，深入贯彻落实党的二十大和二十届历次全会精神，统筹发展和安全，坚持总体国家安全观，坚持人民至上、生命至上，把保护人民生命安全摆在首位，把安全发展贯穿经济社会发展各领域和全过程。紧密围绕海南自由贸易港建设的战略需求，以创新、协调、绿色、开放、共享的新发展理念为导向，全面构建全方位、多层次、立体化的应急管理体系，建立敏捷高效的应急响应机制，提升应急管理能力。有效防范化解重大安全风险，实现从注重灾后救助向注重灾前预防转变，从应对单一灾种向综合减灾转变，从减少灾害损失向减轻灾害风险转变，从“被动他律”向“主动自律”转变，为建设自由贸易港提供坚实稳固的安全保障。</w:t>
      </w:r>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10" w:name="_Toc224486067"/>
      <w:r>
        <w:rPr>
          <w:rFonts w:hint="eastAsia" w:ascii="方正楷体_GBK" w:hAnsi="方正楷体_GBK" w:eastAsia="方正楷体_GBK" w:cs="方正楷体_GBK"/>
          <w:color w:val="auto"/>
          <w:sz w:val="32"/>
          <w:szCs w:val="32"/>
        </w:rPr>
        <w:t>（二）基本原则</w:t>
      </w:r>
      <w:bookmarkEnd w:id="10"/>
    </w:p>
    <w:p>
      <w:pPr>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坚持党的领导，把牢应急管理政治方向。</w:t>
      </w:r>
      <w:r>
        <w:rPr>
          <w:rFonts w:hint="eastAsia" w:ascii="仿宋_GB2312" w:hAnsi="仿宋_GB2312" w:eastAsia="仿宋_GB2312" w:cs="仿宋_GB2312"/>
          <w:sz w:val="32"/>
          <w:szCs w:val="32"/>
        </w:rPr>
        <w:t>把党的领导贯穿应急管理全过程，发挥党总揽全局、协调各方的领导核心作用，确保正确政治方向。坚持人民至上、生命至上，以最大限度减少人员伤亡为首要目标，完善党委领导下的应急指挥体制，实现重大灾害事故统一指挥、快速响应。</w:t>
      </w:r>
    </w:p>
    <w:p>
      <w:pPr>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坚持预防为主，筑牢风险系统防控根基。</w:t>
      </w:r>
      <w:r>
        <w:rPr>
          <w:rFonts w:hint="eastAsia" w:ascii="仿宋_GB2312" w:hAnsi="仿宋_GB2312" w:eastAsia="仿宋_GB2312" w:cs="仿宋_GB2312"/>
          <w:sz w:val="32"/>
          <w:szCs w:val="32"/>
        </w:rPr>
        <w:t>把预防工作摆在首要位置，以全部风险要素为管理对象，分区域、分行业常态化开展风险管控和隐患排查。运用系统思维加强源头治理、综合治理、精准治理，实现安全要素管理全覆盖，切实将风险隐患消灭在萌芽状态。</w:t>
      </w:r>
    </w:p>
    <w:p>
      <w:pPr>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坚持依法应对，构建协同治理工作格局。</w:t>
      </w:r>
      <w:r>
        <w:rPr>
          <w:rFonts w:hint="eastAsia" w:ascii="仿宋_GB2312" w:hAnsi="仿宋_GB2312" w:eastAsia="仿宋_GB2312" w:cs="仿宋_GB2312"/>
          <w:sz w:val="32"/>
          <w:szCs w:val="32"/>
        </w:rPr>
        <w:t>运用法治思维构建适应三亚特色的应急管理法规标准体系，完善党委领导、政府负责、部门联动、军地联合、社会协同、公众参与的治理体系。建立信息共享、资源共用、力量共建的协同联动机制，形成安全治理新格局。</w:t>
      </w:r>
    </w:p>
    <w:p>
      <w:pPr>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坚持分类管理，健全分级负责责任体系。</w:t>
      </w:r>
      <w:r>
        <w:rPr>
          <w:rFonts w:hint="eastAsia" w:ascii="仿宋_GB2312" w:hAnsi="仿宋_GB2312" w:eastAsia="仿宋_GB2312" w:cs="仿宋_GB2312"/>
          <w:sz w:val="32"/>
          <w:szCs w:val="32"/>
        </w:rPr>
        <w:t>根据突发事件类型、性质、危害程度实行科学分类管理，制定针对性应急预案。按照各级政府、部门职责权限，健全分级负责、分级响应机制，完善责任落实评估考核和监督管理，确保应急管理工作有序有效开展。</w:t>
      </w:r>
    </w:p>
    <w:p>
      <w:pPr>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坚持战略适配，彰显三亚特色发展路径。</w:t>
      </w:r>
      <w:r>
        <w:rPr>
          <w:rFonts w:hint="eastAsia" w:ascii="仿宋_GB2312" w:hAnsi="仿宋_GB2312" w:eastAsia="仿宋_GB2312" w:cs="仿宋_GB2312"/>
          <w:sz w:val="32"/>
          <w:szCs w:val="32"/>
        </w:rPr>
        <w:t>紧紧围绕自由贸易港建设等重大战略部署，对接国家和海南应急管理规划目标。充分考虑三亚独特地理环境、气候特点、产业结构，为建设“三区一中心”提供强有力应急管理保障，走特色发展之路。</w:t>
      </w:r>
    </w:p>
    <w:p>
      <w:pPr>
        <w:spacing w:after="0" w:line="560" w:lineRule="exact"/>
        <w:ind w:firstLine="642" w:firstLineChars="200"/>
        <w:jc w:val="both"/>
        <w:rPr>
          <w:rFonts w:ascii="Times New Roman" w:hAnsi="Times New Roman" w:eastAsia="仿宋" w:cs="Times New Roman"/>
          <w:sz w:val="32"/>
          <w:szCs w:val="32"/>
        </w:rPr>
      </w:pPr>
      <w:r>
        <w:rPr>
          <w:rFonts w:hint="eastAsia" w:ascii="仿宋_GB2312" w:hAnsi="仿宋_GB2312" w:eastAsia="仿宋_GB2312" w:cs="仿宋_GB2312"/>
          <w:b/>
          <w:bCs/>
          <w:sz w:val="32"/>
          <w:szCs w:val="32"/>
        </w:rPr>
        <w:t>坚持创新驱动，强化科技赋能智慧支撑。</w:t>
      </w:r>
      <w:r>
        <w:rPr>
          <w:rFonts w:hint="eastAsia" w:ascii="仿宋_GB2312" w:hAnsi="仿宋_GB2312" w:eastAsia="仿宋_GB2312" w:cs="仿宋_GB2312"/>
          <w:sz w:val="32"/>
          <w:szCs w:val="32"/>
        </w:rPr>
        <w:t>发挥自由贸易港政策创新机制，鼓励应急管理理念、技术、机制创新。加大科研投入和人才培养力度，强化科技引领和支撑，用科技手段织牢风险防控网络，持续提升应急管理科学化、专业化、智能化水平。</w:t>
      </w:r>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11" w:name="_Toc224486068"/>
      <w:r>
        <w:rPr>
          <w:rFonts w:hint="eastAsia" w:ascii="方正楷体_GBK" w:hAnsi="方正楷体_GBK" w:eastAsia="方正楷体_GBK" w:cs="方正楷体_GBK"/>
          <w:color w:val="auto"/>
          <w:sz w:val="32"/>
          <w:szCs w:val="32"/>
        </w:rPr>
        <w:t>（三）主要目标</w:t>
      </w:r>
      <w:bookmarkEnd w:id="11"/>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1</w:t>
      </w:r>
      <w:r>
        <w:rPr>
          <w:rFonts w:hint="eastAsia" w:ascii="仿宋_GB2312" w:hAnsi="仿宋_GB2312" w:eastAsia="仿宋_GB2312" w:cs="仿宋_GB2312"/>
          <w:b/>
          <w:bCs/>
          <w:color w:val="auto"/>
        </w:rPr>
        <w:t>.总体目标</w:t>
      </w:r>
    </w:p>
    <w:p>
      <w:pPr>
        <w:spacing w:after="0" w:line="560" w:lineRule="exact"/>
        <w:ind w:firstLine="640" w:firstLineChars="200"/>
        <w:jc w:val="both"/>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到2030年，</w:t>
      </w:r>
      <w:r>
        <w:rPr>
          <w:rFonts w:hint="eastAsia" w:ascii="仿宋_GB2312" w:hAnsi="仿宋_GB2312" w:eastAsia="仿宋_GB2312" w:cs="仿宋_GB2312"/>
          <w:sz w:val="32"/>
          <w:szCs w:val="32"/>
        </w:rPr>
        <w:t>建成与海南自由贸易港相适应的现代化应急管理体系，应急管理能力显著提升，城市安全韧性水平明显增强，能够有效防范和应对各类突发事件，初步实现依法应急、科技应急、智慧应急，基本形成共建共治共享的应急管理新格局，切实保障人民群众生命财产安全和社会稳定。</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5954"/>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3"/>
            <w:tcBorders>
              <w:top w:val="single" w:color="auto" w:sz="4" w:space="0"/>
              <w:left w:val="single" w:color="auto" w:sz="4" w:space="0"/>
              <w:bottom w:val="single" w:color="auto" w:sz="4" w:space="0"/>
              <w:right w:val="single" w:color="auto" w:sz="4" w:space="0"/>
            </w:tcBorders>
          </w:tcPr>
          <w:p>
            <w:pPr>
              <w:spacing w:after="0" w:line="560" w:lineRule="exact"/>
              <w:jc w:val="center"/>
              <w:rPr>
                <w:rFonts w:hint="eastAsia" w:ascii="仿宋_GB2312" w:hAnsi="仿宋_GB2312" w:eastAsia="仿宋_GB2312" w:cs="仿宋_GB2312"/>
                <w:b/>
                <w:bCs/>
                <w:color w:val="000000" w:themeColor="text1"/>
                <w:sz w:val="30"/>
                <w:szCs w:val="30"/>
                <w14:textFill>
                  <w14:solidFill>
                    <w14:schemeClr w14:val="tx1"/>
                  </w14:solidFill>
                </w14:textFill>
              </w:rPr>
            </w:pPr>
            <w:r>
              <w:rPr>
                <w:rFonts w:hint="eastAsia" w:ascii="仿宋_GB2312" w:hAnsi="仿宋_GB2312" w:eastAsia="仿宋_GB2312" w:cs="仿宋_GB2312"/>
                <w:b/>
                <w:bCs/>
                <w:color w:val="000000" w:themeColor="text1"/>
                <w:sz w:val="30"/>
                <w:szCs w:val="30"/>
                <w:lang w:bidi="ar"/>
                <w14:textFill>
                  <w14:solidFill>
                    <w14:schemeClr w14:val="tx1"/>
                  </w14:solidFill>
                </w14:textFill>
              </w:rPr>
              <w:t>“十五五”时期主要指标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lang w:bidi="ar"/>
                <w14:textFill>
                  <w14:solidFill>
                    <w14:schemeClr w14:val="tx1"/>
                  </w14:solidFill>
                </w14:textFill>
              </w:rPr>
              <w:t>序号</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lang w:bidi="ar"/>
                <w14:textFill>
                  <w14:solidFill>
                    <w14:schemeClr w14:val="tx1"/>
                  </w14:solidFill>
                </w14:textFill>
              </w:rPr>
              <w:t>指标内容</w:t>
            </w:r>
          </w:p>
        </w:tc>
        <w:tc>
          <w:tcPr>
            <w:tcW w:w="1751"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lang w:bidi="ar"/>
                <w14:textFill>
                  <w14:solidFill>
                    <w14:schemeClr w14:val="tx1"/>
                  </w14:solidFill>
                </w14:textFill>
              </w:rPr>
              <w:t>预期值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3"/>
            <w:tcBorders>
              <w:top w:val="single" w:color="auto" w:sz="4" w:space="0"/>
              <w:left w:val="single" w:color="auto" w:sz="4" w:space="0"/>
              <w:bottom w:val="single" w:color="auto" w:sz="4" w:space="0"/>
              <w:right w:val="single" w:color="auto" w:sz="4" w:space="0"/>
            </w:tcBorders>
          </w:tcPr>
          <w:p>
            <w:pPr>
              <w:spacing w:after="0" w:line="560" w:lineRule="exact"/>
              <w:jc w:val="center"/>
              <w:rPr>
                <w:rFonts w:hint="eastAsia" w:ascii="仿宋_GB2312" w:hAnsi="仿宋_GB2312" w:eastAsia="仿宋_GB2312" w:cs="仿宋_GB2312"/>
                <w:b/>
                <w:bCs/>
                <w:color w:val="000000" w:themeColor="text1"/>
                <w:sz w:val="28"/>
                <w:szCs w:val="28"/>
                <w:lang w:bidi="ar"/>
                <w14:textFill>
                  <w14:solidFill>
                    <w14:schemeClr w14:val="tx1"/>
                  </w14:solidFill>
                </w14:textFill>
              </w:rPr>
            </w:pPr>
            <w:r>
              <w:rPr>
                <w:rFonts w:hint="eastAsia" w:ascii="仿宋_GB2312" w:hAnsi="仿宋_GB2312" w:eastAsia="仿宋_GB2312" w:cs="仿宋_GB2312"/>
                <w:b/>
                <w:bCs/>
                <w:color w:val="000000" w:themeColor="text1"/>
                <w:sz w:val="28"/>
                <w:szCs w:val="28"/>
                <w:lang w:bidi="ar"/>
                <w14:textFill>
                  <w14:solidFill>
                    <w14:schemeClr w14:val="tx1"/>
                  </w14:solidFill>
                </w14:textFill>
              </w:rPr>
              <w:t>安全生产类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1</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bidi="ar"/>
              </w:rPr>
              <w:t>生产安全事故</w:t>
            </w:r>
            <w:r>
              <w:rPr>
                <w:rFonts w:hint="default" w:ascii="Times New Roman" w:hAnsi="Times New Roman" w:eastAsia="仿宋_GB2312" w:cs="Times New Roman"/>
                <w:color w:val="auto"/>
                <w:sz w:val="28"/>
                <w:szCs w:val="28"/>
                <w:lang w:val="en-US" w:eastAsia="zh-CN" w:bidi="ar"/>
              </w:rPr>
              <w:t>起数</w:t>
            </w:r>
          </w:p>
        </w:tc>
        <w:tc>
          <w:tcPr>
            <w:tcW w:w="1751" w:type="dxa"/>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下降15%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2</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bidi="ar"/>
              </w:rPr>
              <w:t>生产安全事故</w:t>
            </w:r>
            <w:r>
              <w:rPr>
                <w:rFonts w:hint="default" w:ascii="Times New Roman" w:hAnsi="Times New Roman" w:eastAsia="仿宋_GB2312" w:cs="Times New Roman"/>
                <w:color w:val="auto"/>
                <w:sz w:val="28"/>
                <w:szCs w:val="28"/>
                <w:lang w:val="en-US" w:eastAsia="zh-CN" w:bidi="ar"/>
              </w:rPr>
              <w:t>死亡人数</w:t>
            </w:r>
          </w:p>
        </w:tc>
        <w:tc>
          <w:tcPr>
            <w:tcW w:w="1751" w:type="dxa"/>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下降</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15</w:t>
            </w:r>
            <w:r>
              <w:rPr>
                <w:rFonts w:hint="default" w:ascii="Times New Roman" w:hAnsi="Times New Roman" w:eastAsia="仿宋_GB2312" w:cs="Times New Roman"/>
                <w:color w:val="000000" w:themeColor="text1"/>
                <w:sz w:val="28"/>
                <w:szCs w:val="2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3</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亿元GDP生产安全事故死亡率</w:t>
            </w:r>
          </w:p>
        </w:tc>
        <w:tc>
          <w:tcPr>
            <w:tcW w:w="1751" w:type="dxa"/>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下降3</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3</w:t>
            </w:r>
            <w:r>
              <w:rPr>
                <w:rFonts w:hint="default" w:ascii="Times New Roman" w:hAnsi="Times New Roman" w:eastAsia="仿宋_GB2312" w:cs="Times New Roman"/>
                <w:color w:val="000000" w:themeColor="text1"/>
                <w:sz w:val="28"/>
                <w:szCs w:val="2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4</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工矿商贸就业人员十万人生产安全事故死亡率</w:t>
            </w:r>
          </w:p>
        </w:tc>
        <w:tc>
          <w:tcPr>
            <w:tcW w:w="1751" w:type="dxa"/>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下降15%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3"/>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b/>
                <w:bCs/>
                <w:color w:val="000000" w:themeColor="text1"/>
                <w:sz w:val="28"/>
                <w:szCs w:val="28"/>
                <w14:textFill>
                  <w14:solidFill>
                    <w14:schemeClr w14:val="tx1"/>
                  </w14:solidFill>
                </w14:textFill>
              </w:rPr>
            </w:pPr>
            <w:r>
              <w:rPr>
                <w:rFonts w:hint="default" w:ascii="Times New Roman" w:hAnsi="Times New Roman" w:eastAsia="仿宋_GB2312" w:cs="Times New Roman"/>
                <w:b/>
                <w:bCs/>
                <w:color w:val="000000" w:themeColor="text1"/>
                <w:sz w:val="28"/>
                <w:szCs w:val="28"/>
                <w14:textFill>
                  <w14:solidFill>
                    <w14:schemeClr w14:val="tx1"/>
                  </w14:solidFill>
                </w14:textFill>
              </w:rPr>
              <w:t>防灾减灾类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5</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年均每百万人口因自然灾害死亡率</w:t>
            </w:r>
          </w:p>
        </w:tc>
        <w:tc>
          <w:tcPr>
            <w:tcW w:w="1751" w:type="dxa"/>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小于</w:t>
            </w:r>
            <w:r>
              <w:rPr>
                <w:rFonts w:hint="default" w:ascii="Times New Roman" w:hAnsi="Times New Roman" w:eastAsia="仿宋_GB2312" w:cs="Times New Roman"/>
                <w:color w:val="000000" w:themeColor="text1"/>
                <w:sz w:val="28"/>
                <w:szCs w:val="28"/>
                <w14:textFill>
                  <w14:solidFill>
                    <w14:schemeClr w14:val="tx1"/>
                  </w14:solidFill>
                </w14:textFill>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6</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年均每十万人受灾人次</w:t>
            </w:r>
          </w:p>
        </w:tc>
        <w:tc>
          <w:tcPr>
            <w:tcW w:w="1751" w:type="dxa"/>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小于</w:t>
            </w:r>
            <w:r>
              <w:rPr>
                <w:rFonts w:hint="default" w:ascii="Times New Roman" w:hAnsi="Times New Roman" w:eastAsia="仿宋_GB2312" w:cs="Times New Roman"/>
                <w:color w:val="000000" w:themeColor="text1"/>
                <w:sz w:val="28"/>
                <w:szCs w:val="28"/>
                <w14:textFill>
                  <w14:solidFill>
                    <w14:schemeClr w14:val="tx1"/>
                  </w14:solidFill>
                </w14:textFill>
              </w:rPr>
              <w:t>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7</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年均因自然灾害直接经济损失占GDP比例</w:t>
            </w:r>
          </w:p>
        </w:tc>
        <w:tc>
          <w:tcPr>
            <w:tcW w:w="1751" w:type="dxa"/>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小于1.1</w:t>
            </w:r>
            <w:r>
              <w:rPr>
                <w:rFonts w:hint="default" w:ascii="Times New Roman" w:hAnsi="Times New Roman" w:eastAsia="仿宋_GB2312" w:cs="Times New Roman"/>
                <w:color w:val="000000" w:themeColor="text1"/>
                <w:sz w:val="28"/>
                <w:szCs w:val="2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3"/>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b/>
                <w:bCs/>
                <w:color w:val="000000" w:themeColor="text1"/>
                <w:sz w:val="28"/>
                <w:szCs w:val="28"/>
                <w14:textFill>
                  <w14:solidFill>
                    <w14:schemeClr w14:val="tx1"/>
                  </w14:solidFill>
                </w14:textFill>
              </w:rPr>
            </w:pPr>
            <w:r>
              <w:rPr>
                <w:rFonts w:hint="default" w:ascii="Times New Roman" w:hAnsi="Times New Roman" w:eastAsia="仿宋_GB2312" w:cs="Times New Roman"/>
                <w:b/>
                <w:bCs/>
                <w:color w:val="000000" w:themeColor="text1"/>
                <w:sz w:val="28"/>
                <w:szCs w:val="28"/>
                <w14:textFill>
                  <w14:solidFill>
                    <w14:schemeClr w14:val="tx1"/>
                  </w14:solidFill>
                </w14:textFill>
              </w:rPr>
              <w:t>应急能力类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lang w:bidi="ar"/>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8</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lang w:bidi="ar"/>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重要山体火情监测覆盖率</w:t>
            </w:r>
          </w:p>
        </w:tc>
        <w:tc>
          <w:tcPr>
            <w:tcW w:w="1751" w:type="dxa"/>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lang w:bidi="ar"/>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9</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lang w:bidi="ar"/>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全市中小学校地震预警终端覆盖率</w:t>
            </w:r>
          </w:p>
        </w:tc>
        <w:tc>
          <w:tcPr>
            <w:tcW w:w="1751" w:type="dxa"/>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lang w:bidi="ar"/>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10</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default" w:ascii="Times New Roman" w:hAnsi="Times New Roman" w:eastAsia="仿宋_GB2312" w:cs="Times New Roman"/>
                <w:color w:val="000000" w:themeColor="text1"/>
                <w:sz w:val="28"/>
                <w:szCs w:val="28"/>
                <w:lang w:bidi="ar"/>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全市应急物资调运时效</w:t>
            </w:r>
          </w:p>
        </w:tc>
        <w:tc>
          <w:tcPr>
            <w:tcW w:w="1751" w:type="dxa"/>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r>
              <w:rPr>
                <w:rFonts w:hint="default" w:ascii="Times New Roman" w:hAnsi="Times New Roman" w:eastAsia="仿宋_GB2312" w:cs="Times New Roman"/>
                <w:color w:val="000000" w:themeColor="text1"/>
                <w:sz w:val="28"/>
                <w:szCs w:val="28"/>
                <w14:textFill>
                  <w14:solidFill>
                    <w14:schemeClr w14:val="tx1"/>
                  </w14:solidFill>
                </w14:textFill>
              </w:rPr>
              <w:t>6小时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9"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eastAsia" w:ascii="仿宋_GB2312" w:hAnsi="仿宋_GB2312" w:eastAsia="仿宋_GB2312" w:cs="仿宋_GB2312"/>
                <w:color w:val="000000" w:themeColor="text1"/>
                <w:sz w:val="28"/>
                <w:szCs w:val="28"/>
                <w:lang w:bidi="ar"/>
                <w14:textFill>
                  <w14:solidFill>
                    <w14:schemeClr w14:val="tx1"/>
                  </w14:solidFill>
                </w14:textFill>
              </w:rPr>
            </w:pPr>
            <w:r>
              <w:rPr>
                <w:rFonts w:hint="default" w:ascii="Times New Roman" w:hAnsi="Times New Roman" w:eastAsia="仿宋_GB2312" w:cs="Times New Roman"/>
                <w:color w:val="000000" w:themeColor="text1"/>
                <w:sz w:val="28"/>
                <w:szCs w:val="28"/>
                <w:lang w:bidi="ar"/>
                <w14:textFill>
                  <w14:solidFill>
                    <w14:schemeClr w14:val="tx1"/>
                  </w14:solidFill>
                </w14:textFill>
              </w:rPr>
              <w:t>11</w:t>
            </w:r>
          </w:p>
        </w:tc>
        <w:tc>
          <w:tcPr>
            <w:tcW w:w="5954" w:type="dxa"/>
            <w:tcBorders>
              <w:top w:val="single" w:color="auto" w:sz="4" w:space="0"/>
              <w:left w:val="single" w:color="auto" w:sz="4" w:space="0"/>
              <w:bottom w:val="single" w:color="auto" w:sz="4" w:space="0"/>
              <w:right w:val="single" w:color="auto" w:sz="4" w:space="0"/>
            </w:tcBorders>
          </w:tcPr>
          <w:p>
            <w:pPr>
              <w:spacing w:after="0" w:line="560" w:lineRule="exact"/>
              <w:jc w:val="center"/>
              <w:rPr>
                <w:rFonts w:hint="eastAsia" w:ascii="仿宋_GB2312" w:hAnsi="仿宋_GB2312" w:eastAsia="仿宋_GB2312" w:cs="仿宋_GB2312"/>
                <w:color w:val="000000" w:themeColor="text1"/>
                <w:sz w:val="28"/>
                <w:szCs w:val="28"/>
                <w:lang w:bidi="ar"/>
                <w14:textFill>
                  <w14:solidFill>
                    <w14:schemeClr w14:val="tx1"/>
                  </w14:solidFill>
                </w14:textFill>
              </w:rPr>
            </w:pPr>
            <w:r>
              <w:rPr>
                <w:rFonts w:hint="eastAsia" w:ascii="仿宋_GB2312" w:hAnsi="仿宋_GB2312" w:eastAsia="仿宋_GB2312" w:cs="仿宋_GB2312"/>
                <w:color w:val="000000" w:themeColor="text1"/>
                <w:sz w:val="28"/>
                <w:szCs w:val="28"/>
                <w:lang w:bidi="ar"/>
                <w14:textFill>
                  <w14:solidFill>
                    <w14:schemeClr w14:val="tx1"/>
                  </w14:solidFill>
                </w14:textFill>
              </w:rPr>
              <w:t>各区、村（社区）应急避难场所数量</w:t>
            </w:r>
          </w:p>
        </w:tc>
        <w:tc>
          <w:tcPr>
            <w:tcW w:w="1751" w:type="dxa"/>
            <w:tcBorders>
              <w:top w:val="single" w:color="auto" w:sz="4" w:space="0"/>
              <w:left w:val="single" w:color="auto" w:sz="4" w:space="0"/>
              <w:bottom w:val="single" w:color="auto" w:sz="4" w:space="0"/>
              <w:right w:val="single" w:color="auto" w:sz="4" w:space="0"/>
            </w:tcBorders>
            <w:vAlign w:val="center"/>
          </w:tcPr>
          <w:p>
            <w:pPr>
              <w:spacing w:after="0" w:line="560" w:lineRule="exact"/>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r>
              <w:rPr>
                <w:rFonts w:hint="default" w:ascii="Times New Roman" w:hAnsi="Times New Roman" w:eastAsia="仿宋_GB2312" w:cs="Times New Roman"/>
                <w:color w:val="000000" w:themeColor="text1"/>
                <w:sz w:val="28"/>
                <w:szCs w:val="28"/>
                <w14:textFill>
                  <w14:solidFill>
                    <w14:schemeClr w14:val="tx1"/>
                  </w14:solidFill>
                </w14:textFill>
              </w:rPr>
              <w:t>1</w:t>
            </w:r>
            <w:r>
              <w:rPr>
                <w:rFonts w:hint="eastAsia" w:ascii="仿宋_GB2312" w:hAnsi="仿宋_GB2312" w:eastAsia="仿宋_GB2312" w:cs="仿宋_GB2312"/>
                <w:color w:val="000000" w:themeColor="text1"/>
                <w:sz w:val="28"/>
                <w:szCs w:val="28"/>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3"/>
            <w:tcBorders>
              <w:top w:val="single" w:color="auto" w:sz="4" w:space="0"/>
              <w:left w:val="single" w:color="auto" w:sz="4" w:space="0"/>
              <w:bottom w:val="single" w:color="auto" w:sz="4" w:space="0"/>
              <w:right w:val="single" w:color="auto" w:sz="4" w:space="0"/>
            </w:tcBorders>
          </w:tcPr>
          <w:p>
            <w:pPr>
              <w:spacing w:after="0" w:line="560" w:lineRule="exact"/>
              <w:jc w:val="left"/>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注：第</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1-4项</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指标，为“十五五”年均与“十四五”年均指标值对比；第</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5-7项</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指标，为“十五五”年均指标值；第</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8-11</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项指标，为</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2030年</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指标值。</w:t>
            </w:r>
          </w:p>
        </w:tc>
      </w:tr>
    </w:tbl>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2</w:t>
      </w:r>
      <w:r>
        <w:rPr>
          <w:rFonts w:hint="eastAsia" w:ascii="仿宋_GB2312" w:hAnsi="仿宋_GB2312" w:eastAsia="仿宋_GB2312" w:cs="仿宋_GB2312"/>
          <w:b/>
          <w:bCs/>
          <w:color w:val="auto"/>
        </w:rPr>
        <w:t>.分类目标</w:t>
      </w:r>
    </w:p>
    <w:p>
      <w:pPr>
        <w:adjustRightInd w:val="0"/>
        <w:snapToGrid w:val="0"/>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应急管理体制机制更加健全。</w:t>
      </w:r>
      <w:r>
        <w:rPr>
          <w:rFonts w:hint="eastAsia" w:ascii="仿宋_GB2312" w:hAnsi="仿宋_GB2312" w:eastAsia="仿宋_GB2312" w:cs="仿宋_GB2312"/>
          <w:sz w:val="32"/>
          <w:szCs w:val="32"/>
        </w:rPr>
        <w:t>以海南自由贸易港战略定位为导向，健全全方位应急管理组织体系，推动基层应急机构规范化设置与网格化管理，完善大安全大应急指挥框架，强化部门协同与区域联防，实现应急管理依法有序、高效协同。</w:t>
      </w:r>
    </w:p>
    <w:p>
      <w:pPr>
        <w:adjustRightInd w:val="0"/>
        <w:snapToGrid w:val="0"/>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安全风险管控体系更加完善。</w:t>
      </w:r>
      <w:r>
        <w:rPr>
          <w:rFonts w:hint="eastAsia" w:ascii="仿宋_GB2312" w:hAnsi="仿宋_GB2312" w:eastAsia="仿宋_GB2312" w:cs="仿宋_GB2312"/>
          <w:sz w:val="32"/>
          <w:szCs w:val="32"/>
        </w:rPr>
        <w:t>构建全链条、全周期风险防控体系，升级多灾种监测预警网络，畅通预警信息直达基层渠道。深化双重预防机制与安全生产标准化融合，将隐患排查融入城市更新，常态化推进治本攻坚，压实企业主体责任，</w:t>
      </w:r>
      <w:r>
        <w:rPr>
          <w:rFonts w:hint="eastAsia" w:ascii="仿宋_GB2312" w:hAnsi="仿宋_GB2312" w:eastAsia="仿宋_GB2312" w:cs="仿宋_GB2312"/>
          <w:color w:val="auto"/>
          <w:sz w:val="32"/>
          <w:szCs w:val="32"/>
        </w:rPr>
        <w:t>生产安全事故</w:t>
      </w:r>
      <w:r>
        <w:rPr>
          <w:rFonts w:hint="eastAsia" w:ascii="仿宋_GB2312" w:hAnsi="仿宋_GB2312" w:eastAsia="仿宋_GB2312" w:cs="仿宋_GB2312"/>
          <w:color w:val="auto"/>
          <w:sz w:val="32"/>
          <w:szCs w:val="32"/>
          <w:lang w:val="en-US" w:eastAsia="zh-CN"/>
        </w:rPr>
        <w:t>起数</w:t>
      </w:r>
      <w:r>
        <w:rPr>
          <w:rFonts w:hint="eastAsia" w:ascii="仿宋_GB2312" w:hAnsi="仿宋_GB2312" w:eastAsia="仿宋_GB2312" w:cs="仿宋_GB2312"/>
          <w:color w:val="auto"/>
          <w:sz w:val="32"/>
          <w:szCs w:val="32"/>
        </w:rPr>
        <w:t>下降</w:t>
      </w:r>
      <w:r>
        <w:rPr>
          <w:rFonts w:hint="default" w:ascii="Times New Roman" w:hAnsi="Times New Roman" w:eastAsia="仿宋_GB2312" w:cs="Times New Roman"/>
          <w:color w:val="auto"/>
          <w:sz w:val="32"/>
          <w:szCs w:val="32"/>
        </w:rPr>
        <w:t>15%</w:t>
      </w:r>
      <w:r>
        <w:rPr>
          <w:rFonts w:hint="eastAsia" w:ascii="仿宋_GB2312" w:hAnsi="仿宋_GB2312" w:eastAsia="仿宋_GB2312" w:cs="仿宋_GB2312"/>
          <w:color w:val="auto"/>
          <w:sz w:val="32"/>
          <w:szCs w:val="32"/>
        </w:rPr>
        <w:t>，生产安全事故</w:t>
      </w:r>
      <w:r>
        <w:rPr>
          <w:rFonts w:hint="eastAsia" w:ascii="仿宋_GB2312" w:hAnsi="仿宋_GB2312" w:eastAsia="仿宋_GB2312" w:cs="仿宋_GB2312"/>
          <w:color w:val="auto"/>
          <w:sz w:val="32"/>
          <w:szCs w:val="32"/>
          <w:lang w:val="en-US" w:eastAsia="zh-CN"/>
        </w:rPr>
        <w:t>死亡人数</w:t>
      </w:r>
      <w:r>
        <w:rPr>
          <w:rFonts w:hint="eastAsia" w:ascii="仿宋_GB2312" w:hAnsi="仿宋_GB2312" w:eastAsia="仿宋_GB2312" w:cs="仿宋_GB2312"/>
          <w:color w:val="auto"/>
          <w:sz w:val="32"/>
          <w:szCs w:val="32"/>
        </w:rPr>
        <w:t>下降</w:t>
      </w:r>
      <w:r>
        <w:rPr>
          <w:rFonts w:hint="default" w:ascii="Times New Roman" w:hAnsi="Times New Roman"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实现从“被动他律”向“主动自律”转变。</w:t>
      </w:r>
    </w:p>
    <w:p>
      <w:pPr>
        <w:adjustRightInd w:val="0"/>
        <w:snapToGrid w:val="0"/>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应急处置保障体系更加坚实。</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应急物资储备体系，完善市、区储备库布局，丰富实物、协议等多元储备方式，实现信息化管理与高效调配。打造“平急结合”应急运输网络，构建“空天地”一体化通信格局，保障水、电、气、网应急供应。推动救援装备现代化，</w:t>
      </w:r>
      <w:r>
        <w:rPr>
          <w:rFonts w:hint="eastAsia" w:ascii="仿宋_GB2312" w:hAnsi="仿宋_GB2312" w:eastAsia="仿宋_GB2312" w:cs="仿宋_GB2312"/>
          <w:color w:val="auto"/>
          <w:sz w:val="32"/>
          <w:szCs w:val="32"/>
        </w:rPr>
        <w:t>建强综合、专业及社会救援队伍，</w:t>
      </w:r>
      <w:r>
        <w:rPr>
          <w:rFonts w:hint="eastAsia" w:ascii="仿宋_GB2312" w:hAnsi="仿宋_GB2312" w:eastAsia="仿宋_GB2312" w:cs="仿宋_GB2312"/>
          <w:sz w:val="32"/>
          <w:szCs w:val="32"/>
        </w:rPr>
        <w:t>健全联训联战机制，提升极端条件下应急救援能力。</w:t>
      </w:r>
    </w:p>
    <w:p>
      <w:pPr>
        <w:adjustRightInd w:val="0"/>
        <w:snapToGrid w:val="0"/>
        <w:spacing w:after="0" w:line="56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城市防灾减灾韧性更加突出。</w:t>
      </w:r>
      <w:r>
        <w:rPr>
          <w:rFonts w:hint="eastAsia" w:ascii="仿宋_GB2312" w:hAnsi="仿宋_GB2312" w:eastAsia="仿宋_GB2312" w:cs="仿宋_GB2312"/>
          <w:sz w:val="32"/>
          <w:szCs w:val="32"/>
        </w:rPr>
        <w:t>强化防灾减灾基础设施建设，完善城市生命线安全监测系统，提高关键设施抗灾标准。优化地震监测预</w:t>
      </w:r>
      <w:r>
        <w:rPr>
          <w:rFonts w:hint="default" w:ascii="Times New Roman" w:hAnsi="Times New Roman" w:eastAsia="仿宋_GB2312" w:cs="Times New Roman"/>
          <w:sz w:val="32"/>
          <w:szCs w:val="32"/>
        </w:rPr>
        <w:t>警网络，2030年前实现全市中小学预警终端全覆盖。推进老旧建筑抗震排查，构</w:t>
      </w:r>
      <w:r>
        <w:rPr>
          <w:rFonts w:hint="eastAsia" w:ascii="仿宋_GB2312" w:hAnsi="仿宋_GB2312" w:eastAsia="仿宋_GB2312" w:cs="仿宋_GB2312"/>
          <w:sz w:val="32"/>
          <w:szCs w:val="32"/>
        </w:rPr>
        <w:t>建“平急两用”应急避难体系，各区、村（社区）按照实际情况至少设置1个应急避难场所。完善灾后救助与重建机制，推广巨灾保险，通过风险区划、隐患治理与应急演练，筑牢城市抵御灾害的安全防线。</w:t>
      </w:r>
    </w:p>
    <w:p>
      <w:pPr>
        <w:adjustRightInd w:val="0"/>
        <w:snapToGrid w:val="0"/>
        <w:spacing w:after="0" w:line="560" w:lineRule="exact"/>
        <w:ind w:firstLine="642"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基层应急管理能力更加扎实。</w:t>
      </w:r>
      <w:r>
        <w:rPr>
          <w:rFonts w:hint="eastAsia" w:ascii="仿宋_GB2312" w:hAnsi="仿宋_GB2312" w:eastAsia="仿宋_GB2312" w:cs="仿宋_GB2312"/>
          <w:sz w:val="32"/>
          <w:szCs w:val="32"/>
        </w:rPr>
        <w:t>推进基层应急预案规范化编制，</w:t>
      </w:r>
      <w:r>
        <w:rPr>
          <w:rFonts w:hint="eastAsia" w:ascii="仿宋_GB2312" w:hAnsi="仿宋_GB2312" w:eastAsia="仿宋_GB2312" w:cs="仿宋_GB2312"/>
          <w:sz w:val="32"/>
          <w:szCs w:val="32"/>
          <w:lang w:eastAsia="zh-CN"/>
        </w:rPr>
        <w:t>加</w:t>
      </w:r>
      <w:r>
        <w:rPr>
          <w:rFonts w:hint="eastAsia" w:ascii="仿宋_GB2312" w:hAnsi="仿宋_GB2312" w:eastAsia="仿宋_GB2312" w:cs="仿宋_GB2312"/>
          <w:sz w:val="32"/>
          <w:szCs w:val="32"/>
        </w:rPr>
        <w:t>强与上级及辖区单位预案衔接，常态化开展转移避险、自救互救演练。建强区级应急救援队与村级微型站点。完善基层应急指挥与物资装备保障，赋予基层应急处置权，落实“七个有”“六个有”标准化建设，提升基层先期处置与风险防控能力。</w:t>
      </w:r>
    </w:p>
    <w:p>
      <w:pPr>
        <w:adjustRightInd w:val="0"/>
        <w:snapToGrid w:val="0"/>
        <w:spacing w:after="0" w:line="560" w:lineRule="exact"/>
        <w:ind w:firstLine="642"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应急管理社会共治格局更加成熟。</w:t>
      </w:r>
      <w:r>
        <w:rPr>
          <w:rFonts w:hint="eastAsia" w:ascii="仿宋_GB2312" w:hAnsi="仿宋_GB2312" w:eastAsia="仿宋_GB2312" w:cs="仿宋_GB2312"/>
          <w:sz w:val="32"/>
          <w:szCs w:val="32"/>
        </w:rPr>
        <w:t>将公共安全教育融入国民教育与职业培训，开发多语种应急指引，创新科普形式提升公众安全素养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推动应急文化建设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依托</w:t>
      </w:r>
      <w:r>
        <w:rPr>
          <w:rFonts w:hint="eastAsia" w:ascii="仿宋_GB2312" w:hAnsi="仿宋_GB2312" w:eastAsia="仿宋_GB2312" w:cs="仿宋_GB2312"/>
          <w:sz w:val="32"/>
          <w:szCs w:val="32"/>
          <w:lang w:val="en-US" w:eastAsia="zh-CN"/>
        </w:rPr>
        <w:t>自由贸易港</w:t>
      </w:r>
      <w:r>
        <w:rPr>
          <w:rFonts w:hint="eastAsia" w:ascii="仿宋_GB2312" w:hAnsi="仿宋_GB2312" w:eastAsia="仿宋_GB2312" w:cs="仿宋_GB2312"/>
          <w:sz w:val="32"/>
          <w:szCs w:val="32"/>
        </w:rPr>
        <w:t>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发展“低空经济+应急”特色产业，打造产业集群。规范社会力量参与，通过政府购买服务拓宽渠道，深化军地、区域、政企协同，形成全民关注、参与的应急管理共治局面。</w:t>
      </w:r>
    </w:p>
    <w:p>
      <w:pPr>
        <w:pStyle w:val="2"/>
        <w:adjustRightInd w:val="0"/>
        <w:snapToGrid w:val="0"/>
        <w:spacing w:before="0" w:after="0" w:line="560" w:lineRule="exact"/>
        <w:ind w:firstLine="640" w:firstLineChars="200"/>
        <w:jc w:val="both"/>
        <w:rPr>
          <w:rFonts w:ascii="Times New Roman" w:hAnsi="Times New Roman" w:eastAsia="黑体" w:cs="Times New Roman"/>
          <w:color w:val="auto"/>
          <w:kern w:val="44"/>
          <w:sz w:val="32"/>
          <w:szCs w:val="32"/>
        </w:rPr>
      </w:pPr>
      <w:bookmarkStart w:id="12" w:name="_Toc224486069"/>
      <w:r>
        <w:rPr>
          <w:rFonts w:ascii="Times New Roman" w:hAnsi="Times New Roman" w:eastAsia="黑体" w:cs="Times New Roman"/>
          <w:color w:val="auto"/>
          <w:kern w:val="44"/>
          <w:sz w:val="32"/>
          <w:szCs w:val="32"/>
        </w:rPr>
        <w:t>三、主要任务</w:t>
      </w:r>
      <w:bookmarkEnd w:id="12"/>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13" w:name="_Toc224486070"/>
      <w:bookmarkStart w:id="14" w:name="_Hlk215481619"/>
      <w:r>
        <w:rPr>
          <w:rFonts w:hint="eastAsia" w:ascii="方正楷体_GBK" w:hAnsi="方正楷体_GBK" w:eastAsia="方正楷体_GBK" w:cs="方正楷体_GBK"/>
          <w:color w:val="auto"/>
          <w:sz w:val="32"/>
          <w:szCs w:val="32"/>
        </w:rPr>
        <w:t>（一）完善应急管理体制机制，提升依法治理能力</w:t>
      </w:r>
      <w:bookmarkEnd w:id="13"/>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1</w:t>
      </w:r>
      <w:r>
        <w:rPr>
          <w:rFonts w:hint="eastAsia" w:ascii="仿宋_GB2312" w:hAnsi="仿宋_GB2312" w:eastAsia="仿宋_GB2312" w:cs="仿宋_GB2312"/>
          <w:b/>
          <w:bCs/>
          <w:color w:val="auto"/>
        </w:rPr>
        <w:t>.</w:t>
      </w:r>
      <w:bookmarkStart w:id="15" w:name="_Hlk190844218"/>
      <w:r>
        <w:rPr>
          <w:rFonts w:hint="eastAsia" w:ascii="仿宋_GB2312" w:hAnsi="仿宋_GB2312" w:eastAsia="仿宋_GB2312" w:cs="仿宋_GB2312"/>
          <w:b/>
          <w:bCs/>
          <w:color w:val="auto"/>
        </w:rPr>
        <w:t>优化应急管理组织体系</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健全完善“党政同责、一岗双责、齐抓共管、失职追责”责任体系，压紧压实应急管理工作责任</w:t>
      </w:r>
      <w:bookmarkEnd w:id="15"/>
      <w:r>
        <w:rPr>
          <w:rFonts w:hint="eastAsia" w:ascii="仿宋_GB2312" w:hAnsi="仿宋_GB2312" w:eastAsia="仿宋_GB2312" w:cs="仿宋_GB2312"/>
          <w:sz w:val="32"/>
          <w:szCs w:val="32"/>
        </w:rPr>
        <w:t>。畅通属地监管和行业监管沟通渠道，厘清职责边界，加强考核评价，提高监管效能。优化部门应急管理职能配置，及时梳理新产业、新业态、新领域监管责任，强化部门职责动态调整机制，消除监管盲区和漏洞。健全防灾减灾救灾工作机制，强化三亚市防灾减灾救灾和安全生产委员会职责，统筹全市自然灾害和事故灾难等突发事件的防范和应对工作。完善应急管理组织架构，理顺市、区应急管理部门职责，建立全方位、立体化应急管理组织体系。强化基层应急力量，推动区、功能区规范化设置应急管理机构和消防工作机构，落实编制、配齐配强监管人员，统筹强化应急管理和消防工作并纳入基层网格化管理服务内容。各区明确专门工作力量，有条件的村（社区）推动建立健</w:t>
      </w:r>
      <w:r>
        <w:rPr>
          <w:rFonts w:hint="default" w:ascii="Times New Roman" w:hAnsi="Times New Roman" w:eastAsia="仿宋_GB2312" w:cs="Times New Roman"/>
          <w:sz w:val="32"/>
          <w:szCs w:val="32"/>
        </w:rPr>
        <w:t>全24小时</w:t>
      </w:r>
      <w:r>
        <w:rPr>
          <w:rFonts w:hint="eastAsia" w:ascii="仿宋_GB2312" w:hAnsi="仿宋_GB2312" w:eastAsia="仿宋_GB2312" w:cs="仿宋_GB2312"/>
          <w:sz w:val="32"/>
          <w:szCs w:val="32"/>
        </w:rPr>
        <w:t>值班备勤制度。</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2</w:t>
      </w:r>
      <w:r>
        <w:rPr>
          <w:rFonts w:hint="eastAsia" w:ascii="仿宋_GB2312" w:hAnsi="仿宋_GB2312" w:eastAsia="仿宋_GB2312" w:cs="仿宋_GB2312"/>
          <w:b/>
          <w:bCs/>
          <w:color w:val="auto"/>
        </w:rPr>
        <w:t>.提高应急指挥整体效能</w:t>
      </w:r>
    </w:p>
    <w:p>
      <w:pPr>
        <w:pStyle w:val="20"/>
        <w:widowControl/>
        <w:shd w:val="clear" w:color="auto" w:fill="FFFFFF"/>
        <w:spacing w:beforeAutospacing="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完善市、区两级大安全大应急框架下的指挥机制，优化信息报送、会商研判、预警“叫应”等流程。加快三亚市应急指挥中心建设，配套建设值班室、会商室、新闻发布厅等功能厅室，运用大数据、人工智能等技术打造智能指挥平台，强化指挥平台实战应用，推动“平急两用”机制常态化运行，实现应急值守、视频会议、数字化推演与指挥调度。逐步完善覆盖各区、村（社区）的应急指挥视频调度系统和通信保障，确保“断路、断网、断电”等极端条件下指令畅通。深化与气象、水利、交通、公安、旅文等部门及周边市县的协作，加强应急物资统一调派，构建风险信息共享、联合预警、协同处置的区域联防联控格局，提升指挥效能。</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3</w:t>
      </w:r>
      <w:r>
        <w:rPr>
          <w:rFonts w:hint="eastAsia" w:ascii="仿宋_GB2312" w:hAnsi="仿宋_GB2312" w:eastAsia="仿宋_GB2312" w:cs="仿宋_GB2312"/>
          <w:b/>
          <w:bCs/>
          <w:color w:val="auto"/>
        </w:rPr>
        <w:t>.健全优化应急预案体系</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足应对超强台风叠加天文大潮引发的风暴潮灾害、极端强降雨引发的特大洪涝灾害、重大危险源事故次生灾害等最极端、最不利情况，科学制定巨灾应急预案。加强应急预案管理，完善应急预案编制及评估论证机制，提高预案编制质量，构建覆盖全市、全灾种的应急预案体系。充分发挥国家综合性消防救援队伍主力军作用，建立健全与基层应急救援力量联训联演联战机制。聚焦重大风险点及“三断”等极端场景，定期开展应急演练，突出应急演练实战性。“十五五”时期做到应急预案修订率</w:t>
      </w:r>
      <w:r>
        <w:rPr>
          <w:rFonts w:hint="default" w:ascii="Times New Roman" w:hAnsi="Times New Roman" w:eastAsia="仿宋_GB2312" w:cs="Times New Roman"/>
          <w:sz w:val="32"/>
          <w:szCs w:val="32"/>
        </w:rPr>
        <w:t>100%，演练演习执行率100%。</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4</w:t>
      </w:r>
      <w:r>
        <w:rPr>
          <w:rFonts w:hint="eastAsia" w:ascii="仿宋_GB2312" w:hAnsi="仿宋_GB2312" w:eastAsia="仿宋_GB2312" w:cs="仿宋_GB2312"/>
          <w:b/>
          <w:bCs/>
          <w:color w:val="auto"/>
        </w:rPr>
        <w:t>.强化应急管理法治保障</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海南自由贸易港法治建设为契机，制修订三亚市应急管理法规规章和相关制度标准，结合海洋旅游、热带气候、城市运行等特点，完善邮轮港突发事件处置、滨海景区应急管理、极端天气应对等配套规章，明确涉外救援协作、多语种预警发布等特殊条款。进一步加大执法监督与普法宣传，创新应急法治宣教手段，坚持“谁执法谁普法”，严格落实普法责任制。建立企业安全生产信用评价制度，注重评价结果运用。</w:t>
      </w:r>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16" w:name="_Toc224486071"/>
      <w:r>
        <w:rPr>
          <w:rFonts w:hint="eastAsia" w:ascii="方正楷体_GBK" w:hAnsi="方正楷体_GBK" w:eastAsia="方正楷体_GBK" w:cs="方正楷体_GBK"/>
          <w:color w:val="auto"/>
          <w:sz w:val="32"/>
          <w:szCs w:val="32"/>
        </w:rPr>
        <w:t>（二）健全风险源头防控体系，提升防范化解能力</w:t>
      </w:r>
      <w:bookmarkEnd w:id="16"/>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1</w:t>
      </w:r>
      <w:r>
        <w:rPr>
          <w:rFonts w:hint="eastAsia" w:ascii="仿宋_GB2312" w:hAnsi="仿宋_GB2312" w:eastAsia="仿宋_GB2312" w:cs="仿宋_GB2312"/>
          <w:b/>
          <w:bCs/>
          <w:color w:val="auto"/>
        </w:rPr>
        <w:t>.健全安全风险管控机制</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健全各行业领域安全风险评估制度，构建全链条、全周期、全要素的风险防控体系，全面实行安全风险分级分类管理。建立重大安全风险联防联控机制，综合采用“人防、技防、工程防、管理防”措施，切实降低重大风险。聚焦海洋旅游、低空经济、高层建筑、危险化学品、人员密集场所、道路运输、水上运输、渔业船舶等重点领域，开展专项风险辨识评估，建立动态风险数据库，实现风险精准管控。完善安全生产风险排查和责任倒查机制，推行企业风险主动报告制度，建立全员负责、全过程控制、持续改进的风险管控运行机制。严格落实事故责任追究和防范整改措施落实评估等制度，切实发挥事故调查对安全生产工作的促进作用。</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2</w:t>
      </w:r>
      <w:r>
        <w:rPr>
          <w:rFonts w:hint="eastAsia" w:ascii="仿宋_GB2312" w:hAnsi="仿宋_GB2312" w:eastAsia="仿宋_GB2312" w:cs="仿宋_GB2312"/>
          <w:b/>
          <w:bCs/>
          <w:color w:val="auto"/>
        </w:rPr>
        <w:t>.完善监测预报预警网络</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大重点行业领域安全风险监测预警系统建设应用和升级改造，推动危险化学品、非煤矿山、尾矿库等重点企业接入实时在线监测预警系统，提升自动预警功能。加密气象、水旱、海洋、森林、地震和地质等灾害监测站点布设，推进监测设施设备更新完善。构建城市安全风险谱系，健全常态化风险监测预警机制，推动传统灾害性天气预报向基于影响的灾害风险预测预警转变，建立分灾种、分区域、分承灾体类别的风险预警服务机制。针对北部山区和近海监测盲区，增设X波段相控阵天气雷达和激光测风雷达并实现组网观测，强化实况监测产品供给，提升极端天气风险应对能力。完善地质灾害监测预警和群测群防措施，强化卫星遥感、航空遥感、岸（岛）基雷达、浮标、海上平台雷达、船舶、车载雷达、海洋观测站点验潮井等监视监测技术手段，提升海浪、风暴潮等海洋灾害监测预警能力。构建林火卫星遥感监测系统、地面林火远程视频监控、森林防火卡口视频监控、无人机火场侦察和护林员巡山护林相结合的“空天地人”四位一体监测预警体系，实现重要山体火情监测全覆盖。加强应急广播建设，畅通预警信息发布渠道，实现预警信息直达到村（社区）。</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3</w:t>
      </w:r>
      <w:r>
        <w:rPr>
          <w:rFonts w:hint="eastAsia" w:ascii="仿宋_GB2312" w:hAnsi="仿宋_GB2312" w:eastAsia="仿宋_GB2312" w:cs="仿宋_GB2312"/>
          <w:b/>
          <w:bCs/>
          <w:color w:val="auto"/>
        </w:rPr>
        <w:t>.深化隐患排查治理机制</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落实各行业重大事故隐患判定标准，健全完善安全风险管控和隐患排查治理双重预防体系与安全生产标准化一体化建设规范，推进企业一体化规范建设和有效运行。利用大数据、物联网、人工智能等信息化平台辅助企业开展风险分级管控和隐患排查治理。全面摸排并掌握全市重大安全风险，分行业、领域制定安全检查清单，定期对易发生安全事故的高风险企业（场所）开展风险隐患排查。推动重点行业领域涉灾风险隐患排查融入城市更新行动、城中村改造和新型城镇化建设。区和村（社区）配合相关部门定期开展重点检查，做好日常巡查，突出“九小场所”、道路交通、旅游、涉海涉渔、经营性自建房、人员密集场所、燃气、低洼易涝点及城市地下空间、山洪和地质灾害危险区、地震灾害、森林火险区等重点领域隐患排查治理，坚决防范化解重大安全风险。</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4.压紧压实安全生产责任</w:t>
      </w:r>
    </w:p>
    <w:p>
      <w:pPr>
        <w:adjustRightInd w:val="0"/>
        <w:snapToGrid w:val="0"/>
        <w:spacing w:after="0" w:line="560" w:lineRule="exact"/>
        <w:ind w:firstLine="640" w:firstLineChars="200"/>
        <w:jc w:val="both"/>
        <w:rPr>
          <w:rFonts w:ascii="Times New Roman" w:hAnsi="Times New Roman" w:eastAsia="仿宋_GB2312" w:cs="Times New Roman"/>
          <w:sz w:val="32"/>
          <w:szCs w:val="32"/>
        </w:rPr>
      </w:pPr>
      <w:r>
        <w:rPr>
          <w:rFonts w:hint="eastAsia" w:ascii="仿宋_GB2312" w:hAnsi="仿宋_GB2312" w:eastAsia="仿宋_GB2312" w:cs="仿宋_GB2312"/>
          <w:sz w:val="32"/>
          <w:szCs w:val="32"/>
        </w:rPr>
        <w:t>严格落实安全生产责任制，坚持党政同责、一岗双责和“管行业必须管安全、管业务必须管安全、管生产经营必须管安全”。巩固安全生产治本攻坚三年行动成果，紧盯危险化学品、非煤矿山、特种设备、建筑施工、城镇燃气、道路运输、水上运输、渔业船舶及消防安全等重点行业领域，常态化推进安全生产专项整治，查大风险、除大隐患、防大事故，推动重点行业领域安全生产向事前预防转型。持续推动企业建立健全并落实全员安全生产责任制，强化企业主要负责人、安全管理人员培训，实现从业人员安全培训全覆盖，压实企业法定代表人、实际控制人、主要负责人等“关键少数”安全管理责任，落实企业安全生产主体责任。依法全面实施高危行业领域安全生产责任保险，发挥保险机构参与风险评估和事故预防功能，助力防范化解重大安全风险，为三亚经济社会高质量发展提供坚实安全保障。</w:t>
      </w:r>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17" w:name="_Toc224486072"/>
      <w:r>
        <w:rPr>
          <w:rFonts w:hint="eastAsia" w:ascii="方正楷体_GBK" w:hAnsi="方正楷体_GBK" w:eastAsia="方正楷体_GBK" w:cs="方正楷体_GBK"/>
          <w:color w:val="auto"/>
          <w:sz w:val="32"/>
          <w:szCs w:val="32"/>
        </w:rPr>
        <w:t>（三）优化应急处置保障体系，提升应急救援能力</w:t>
      </w:r>
      <w:bookmarkEnd w:id="17"/>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1</w:t>
      </w:r>
      <w:r>
        <w:rPr>
          <w:rFonts w:hint="eastAsia" w:ascii="仿宋_GB2312" w:hAnsi="仿宋_GB2312" w:eastAsia="仿宋_GB2312" w:cs="仿宋_GB2312"/>
          <w:b/>
          <w:bCs/>
          <w:color w:val="auto"/>
        </w:rPr>
        <w:t>.健全应急物资保障体系</w:t>
      </w:r>
    </w:p>
    <w:p>
      <w:pPr>
        <w:pStyle w:val="20"/>
        <w:shd w:val="clear" w:color="auto" w:fill="FFFFFF"/>
        <w:spacing w:beforeAutospacing="0" w:afterAutospacing="0" w:line="560" w:lineRule="exact"/>
        <w:ind w:firstLine="482"/>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加快构建党委政府统一领导，应急管理部门统筹协调、统分结合的应急物资储备管理保障体制。合理规划市、区两级应急物资储备库布局，按照满足启动市级Ⅱ级应急响应需求储备各类抢险物资</w:t>
      </w:r>
      <w:r>
        <w:rPr>
          <w:rFonts w:hint="eastAsia" w:ascii="仿宋_GB2312" w:hAnsi="仿宋_GB2312" w:eastAsia="仿宋_GB2312" w:cs="仿宋_GB2312"/>
          <w:color w:val="auto"/>
          <w:kern w:val="2"/>
          <w:sz w:val="32"/>
          <w:szCs w:val="32"/>
        </w:rPr>
        <w:t>，构建以市级储备为依托、区级储备为基础、省级储备为支持、周边地区储备为支援的全市应急物资储备体系</w:t>
      </w:r>
      <w:r>
        <w:rPr>
          <w:rFonts w:hint="eastAsia" w:ascii="仿宋_GB2312" w:hAnsi="仿宋_GB2312" w:eastAsia="仿宋_GB2312" w:cs="仿宋_GB2312"/>
          <w:kern w:val="2"/>
          <w:sz w:val="32"/>
          <w:szCs w:val="32"/>
        </w:rPr>
        <w:t>。建立物资监督评估和动态监测制度，厘清部门职责，落实分级分类储备责任。构建实物储备、协议储备、产能储备相结合的多元化储备机制，健全物资储备标准和目录，动态调整储备品种规模。完善物资采购、捐赠、轮换等制度，支持社区、村改造建设应急物资储备仓库，鼓励企事业单位、社会组织和家庭储备必要应急物资。加强特种灾害救援装备和战勤保障物资前置储备。建立健全统筹全市应急物资调配调用和分级响应协同保障机制，依托应急部统建系统，运用物联网、大数据技术实现市、区统一互联的应急物资信息化管理。</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2</w:t>
      </w:r>
      <w:r>
        <w:rPr>
          <w:rFonts w:hint="eastAsia" w:ascii="仿宋_GB2312" w:hAnsi="仿宋_GB2312" w:eastAsia="仿宋_GB2312" w:cs="仿宋_GB2312"/>
          <w:b/>
          <w:bCs/>
          <w:color w:val="auto"/>
        </w:rPr>
        <w:t>.健全应急运输保障体系</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化应急交通网络布局，建设多功能应急枢纽，建成“平急结合、智慧高效、韧性绿色”的应急运输保障体系。加强应急运输专业队伍建设，通过培训演练提升应急响应与运输技能。构建安全高效的应急物资响应网络，完善公路、铁路、航空、水路多式联运模式，建立应急物资绿色优先通道和快速通行通关机制。充分发挥各级交通物流保通保畅工作机制作用，健全直达基层的现代应急物流调配体系。鼓励物流企业、社会组织、志愿者参与应急物资“最后一公里”发放，提高应急物资分发配送能力，实现物资调</w:t>
      </w:r>
      <w:r>
        <w:rPr>
          <w:rFonts w:hint="default" w:ascii="Times New Roman" w:hAnsi="Times New Roman" w:eastAsia="仿宋_GB2312" w:cs="Times New Roman"/>
          <w:sz w:val="32"/>
          <w:szCs w:val="32"/>
        </w:rPr>
        <w:t>运</w:t>
      </w:r>
      <w:r>
        <w:rPr>
          <w:rFonts w:hint="default" w:ascii="Times New Roman" w:hAnsi="Times New Roman" w:eastAsia="仿宋_GB2312" w:cs="Times New Roman"/>
          <w:sz w:val="32"/>
          <w:szCs w:val="32"/>
          <w:lang w:val="en"/>
        </w:rPr>
        <w:t>6</w:t>
      </w:r>
      <w:r>
        <w:rPr>
          <w:rFonts w:hint="default" w:ascii="Times New Roman" w:hAnsi="Times New Roman" w:eastAsia="仿宋_GB2312" w:cs="Times New Roman"/>
          <w:sz w:val="32"/>
          <w:szCs w:val="32"/>
        </w:rPr>
        <w:t>小</w:t>
      </w:r>
      <w:r>
        <w:rPr>
          <w:rFonts w:hint="eastAsia" w:ascii="仿宋_GB2312" w:hAnsi="仿宋_GB2312" w:eastAsia="仿宋_GB2312" w:cs="仿宋_GB2312"/>
          <w:sz w:val="32"/>
          <w:szCs w:val="32"/>
        </w:rPr>
        <w:t>时市内全覆盖，确保关键时刻应急资源能够快速抵达现场。</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3</w:t>
      </w:r>
      <w:r>
        <w:rPr>
          <w:rFonts w:hint="eastAsia" w:ascii="仿宋_GB2312" w:hAnsi="仿宋_GB2312" w:eastAsia="仿宋_GB2312" w:cs="仿宋_GB2312"/>
          <w:b/>
          <w:bCs/>
          <w:color w:val="auto"/>
        </w:rPr>
        <w:t>.筑牢电力通信保障防线</w:t>
      </w:r>
    </w:p>
    <w:p>
      <w:pPr>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广智能电网技术，提升电网自我监测与调控能力，构建从抗灾保障电源至重要用户的快速复电通道，保障电力稳定供应。统筹电信运营商、广电等多部门资源，实现多部门协同作业和多元化通信保障。强化灾害现场通信装备配备，重点突破复杂场景通信保障瓶颈，构建“空天地”一体化应急指挥通信网络。健全通信保障和恢复应急工作机制，加强基层通信设施应急抢险抢修能力。强化应急通信保障演练，提升“断路、断网、断电”等极端状态下应急指挥通信保障能力，确保极端条件下指令直达、指挥畅通。</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color w:val="auto"/>
        </w:rPr>
      </w:pPr>
      <w:r>
        <w:rPr>
          <w:rFonts w:hint="default" w:ascii="Times New Roman" w:hAnsi="Times New Roman" w:eastAsia="仿宋_GB2312" w:cs="Times New Roman"/>
          <w:b/>
          <w:bCs/>
          <w:color w:val="auto"/>
        </w:rPr>
        <w:t>4</w:t>
      </w:r>
      <w:r>
        <w:rPr>
          <w:rFonts w:hint="eastAsia" w:ascii="仿宋_GB2312" w:hAnsi="仿宋_GB2312" w:eastAsia="仿宋_GB2312" w:cs="仿宋_GB2312"/>
          <w:b/>
          <w:bCs/>
          <w:color w:val="auto"/>
        </w:rPr>
        <w:t>.强化现代应急装备保障</w:t>
      </w:r>
    </w:p>
    <w:p>
      <w:pPr>
        <w:pStyle w:val="20"/>
        <w:widowControl/>
        <w:shd w:val="clear" w:color="auto" w:fill="FFFFFF"/>
        <w:spacing w:beforeAutospacing="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构建与自由贸易港综合应急救援任务相适应的现代化装备体系，加大直升机停机坪（临时起降点）建设，推动无人机、灭火大飞机等应急装备配备，升级各类应急救援队伍抢险装备，增强高空消防能力、防汛抗旱、海上及水域救援、森林火灾、航空救援等专业装备配备。大力推动低空经济与应急救援融合发展，部署平急两用直升机装备，提升高风险区域复杂环境下应急救援能力。</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color w:val="auto"/>
        </w:rPr>
      </w:pPr>
      <w:r>
        <w:rPr>
          <w:rFonts w:hint="default" w:ascii="Times New Roman" w:hAnsi="Times New Roman" w:eastAsia="仿宋_GB2312" w:cs="Times New Roman"/>
          <w:b/>
          <w:bCs/>
          <w:color w:val="auto"/>
        </w:rPr>
        <w:t>5</w:t>
      </w:r>
      <w:r>
        <w:rPr>
          <w:rFonts w:hint="eastAsia" w:ascii="仿宋_GB2312" w:hAnsi="仿宋_GB2312" w:eastAsia="仿宋_GB2312" w:cs="仿宋_GB2312"/>
          <w:b/>
          <w:bCs/>
          <w:color w:val="auto"/>
        </w:rPr>
        <w:t>.建强应急救援队伍体系</w:t>
      </w:r>
    </w:p>
    <w:p>
      <w:pPr>
        <w:pStyle w:val="20"/>
        <w:widowControl/>
        <w:shd w:val="clear" w:color="auto" w:fill="FFFFFF"/>
        <w:spacing w:beforeAutospacing="0" w:afterAutospacing="0" w:line="560" w:lineRule="exact"/>
        <w:ind w:firstLine="640" w:firstLineChars="200"/>
        <w:jc w:val="both"/>
        <w:rPr>
          <w:rFonts w:ascii="Times New Roman" w:hAnsi="Times New Roman" w:eastAsia="仿宋_GB2312"/>
          <w:kern w:val="2"/>
          <w:sz w:val="32"/>
          <w:szCs w:val="32"/>
        </w:rPr>
      </w:pPr>
      <w:r>
        <w:rPr>
          <w:rFonts w:hint="eastAsia" w:ascii="仿宋_GB2312" w:hAnsi="仿宋_GB2312" w:eastAsia="仿宋_GB2312" w:cs="仿宋_GB2312"/>
          <w:kern w:val="2"/>
          <w:sz w:val="32"/>
          <w:szCs w:val="32"/>
        </w:rPr>
        <w:t>建强综合性消防救援队伍，大力发展专职消防队、志愿消防队，加快片区消防站和微型消防站布局。科学规划专业应急救援队伍布局，依托相关部门和企业组建危险化学品等重点专业救援队伍。全面摸底社会应急资源，建立健全调用补偿及保险保障模式。完善重特大灾害救援现场协调机制，为社会应急力量参与救援提供支持。建立应急救援队伍协调联动机制，加大综合性消防救援队伍、专业救援力量和社会救援力量联训联演联战，全面提升抢险救援能力。依托自由贸易港政策优势，开展国际应急交流，健全与国际应急救援组织常态化合作机制，推动国际邮轮救援、深远海救援能力达到国际先进水平。</w:t>
      </w:r>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18" w:name="_Toc224486073"/>
      <w:r>
        <w:rPr>
          <w:rFonts w:hint="eastAsia" w:ascii="方正楷体_GBK" w:hAnsi="方正楷体_GBK" w:eastAsia="方正楷体_GBK" w:cs="方正楷体_GBK"/>
          <w:color w:val="auto"/>
          <w:sz w:val="32"/>
          <w:szCs w:val="32"/>
        </w:rPr>
        <w:t>（四）打造安全韧性城市，增强防灾减灾救灾能力</w:t>
      </w:r>
      <w:bookmarkEnd w:id="18"/>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1</w:t>
      </w:r>
      <w:r>
        <w:rPr>
          <w:rFonts w:hint="eastAsia" w:ascii="仿宋_GB2312" w:hAnsi="仿宋_GB2312" w:eastAsia="仿宋_GB2312" w:cs="仿宋_GB2312"/>
          <w:b/>
          <w:bCs/>
          <w:color w:val="auto"/>
        </w:rPr>
        <w:t>.夯实城市基础设施韧性</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化城市防灾减灾空间格局，增加生态屏障、隔离疏散通道，预留防灾救灾弹性空间，优先保障防灾减灾基础设施用地需求，统筹推进应急指挥、医疗救护、消防救援、物资储备及旅游等各类应急服务基础设施布局建设。加快推进三亚市城市基础设施生命线安全工程项目建设，全面加强地下管网、桥梁等设施的物联网感知与光纤传感硬件部署，实现建成区生命线安全监测全覆盖，优先覆盖老城区及高危地段。积极推进城市基础设施生命线安全风险监测平台与海南省城市运行管理服务平台对接。优化水文站网布局和功能，建设城市内涝积水点智能监测、声光电预警及标识系统。强化城市地下管网、防洪排涝、道路交通安全等设施的安全监管，健全洪涝联排联调机制，切实提升城市基础设施风险防范能力。</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2</w:t>
      </w:r>
      <w:r>
        <w:rPr>
          <w:rFonts w:hint="eastAsia" w:ascii="仿宋_GB2312" w:hAnsi="仿宋_GB2312" w:eastAsia="仿宋_GB2312" w:cs="仿宋_GB2312"/>
          <w:b/>
          <w:bCs/>
          <w:color w:val="auto"/>
        </w:rPr>
        <w:t>.构建科学抗震减灾体系</w:t>
      </w:r>
    </w:p>
    <w:p>
      <w:pPr>
        <w:pStyle w:val="20"/>
        <w:widowControl/>
        <w:shd w:val="clear" w:color="auto" w:fill="FFFFFF"/>
        <w:spacing w:beforeAutospacing="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强化地震监测预警与科技支撑，加密地震监测站点布局，引入高精度传感器与实时传输技术。依托东部地震观测台、南滨地震台建设市级地震灾害预警中心，构建陆海一体地震监测系统，提升海域地震预警能力。到</w:t>
      </w:r>
      <w:r>
        <w:rPr>
          <w:rFonts w:hint="default" w:ascii="Times New Roman" w:hAnsi="Times New Roman" w:eastAsia="仿宋_GB2312" w:cs="Times New Roman"/>
          <w:kern w:val="2"/>
          <w:sz w:val="32"/>
          <w:szCs w:val="32"/>
        </w:rPr>
        <w:t>2027年底实现78所农村中小学、2所养老机构等场所预警终端全覆盖，2030年底前完成全市195所中小学校全覆盖。结合海南省陆域与海洋主要地震活动断层探查，完成全市多尺度地震灾害风险区划与灾害损失精细化预评估工作。依法落实重大建设项目抗震设防要求，推广AI前兆</w:t>
      </w:r>
      <w:r>
        <w:rPr>
          <w:rFonts w:hint="eastAsia" w:ascii="仿宋_GB2312" w:hAnsi="仿宋_GB2312" w:eastAsia="仿宋_GB2312" w:cs="仿宋_GB2312"/>
          <w:kern w:val="2"/>
          <w:sz w:val="32"/>
          <w:szCs w:val="32"/>
        </w:rPr>
        <w:t>数据分析与建筑物健康监测技术，组建专业化救援队伍，构建“预警精准、设防科学、响应高效”的防震减灾体系。</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3</w:t>
      </w:r>
      <w:r>
        <w:rPr>
          <w:rFonts w:hint="eastAsia" w:ascii="仿宋_GB2312" w:hAnsi="仿宋_GB2312" w:eastAsia="仿宋_GB2312" w:cs="仿宋_GB2312"/>
          <w:b/>
          <w:bCs/>
          <w:color w:val="auto"/>
        </w:rPr>
        <w:t>.优化避难场所规划布局</w:t>
      </w:r>
    </w:p>
    <w:p>
      <w:pPr>
        <w:adjustRightInd w:val="0"/>
        <w:snapToGrid w:val="0"/>
        <w:spacing w:after="0" w:line="560" w:lineRule="atLeas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统筹利用地上地下空间，加强“平急两用”公共基础设施建设，构建各类应急避难场所合理搭配、场地型和建筑型有机结合、地上地下统筹兼顾的总量充足、布局合理的市、区、社区三级应急避难场所体系。规划建设三亚市区城市儿童公园、海南热带海洋学院中心避难场所</w:t>
      </w:r>
      <w:r>
        <w:rPr>
          <w:rFonts w:hint="default" w:ascii="Times New Roman" w:hAnsi="Times New Roman" w:eastAsia="仿宋_GB2312" w:cs="Times New Roman"/>
          <w:kern w:val="0"/>
          <w:sz w:val="32"/>
          <w:szCs w:val="32"/>
        </w:rPr>
        <w:t>2处，固定避难场所52个（其中三亚主城区内规划27个，亚龙湾旅游度假区规划1个，海棠湾国家海岸旅游度假区规划6个），依托各类学校建设室内避难场所30个</w:t>
      </w:r>
      <w:r>
        <w:rPr>
          <w:rFonts w:hint="eastAsia" w:ascii="仿宋_GB2312" w:hAnsi="仿宋_GB2312" w:eastAsia="仿宋_GB2312" w:cs="仿宋_GB2312"/>
          <w:kern w:val="0"/>
          <w:sz w:val="32"/>
          <w:szCs w:val="32"/>
        </w:rPr>
        <w:t>。推动紧急避难场所与文体场馆、公园绿地、学校操场等设施融合共建，确保各区及村（社区）至少设</w:t>
      </w:r>
      <w:r>
        <w:rPr>
          <w:rFonts w:hint="default" w:ascii="Times New Roman" w:hAnsi="Times New Roman" w:eastAsia="仿宋_GB2312" w:cs="Times New Roman"/>
          <w:kern w:val="0"/>
          <w:sz w:val="32"/>
          <w:szCs w:val="32"/>
        </w:rPr>
        <w:t>置1处</w:t>
      </w:r>
      <w:r>
        <w:rPr>
          <w:rFonts w:hint="eastAsia" w:ascii="仿宋_GB2312" w:hAnsi="仿宋_GB2312" w:eastAsia="仿宋_GB2312" w:cs="仿宋_GB2312"/>
          <w:kern w:val="0"/>
          <w:sz w:val="32"/>
          <w:szCs w:val="32"/>
        </w:rPr>
        <w:t>紧急避难场所。加强相应配套设施建设，确保防灾救援通道和防灾避难通道顺畅。加强应急避难场所管理，建立避难场所信息管理与综合服务平台，实现智慧化动态管理，上线</w:t>
      </w:r>
      <w:r>
        <w:rPr>
          <w:rFonts w:hint="default" w:ascii="Times New Roman" w:hAnsi="Times New Roman" w:eastAsia="仿宋_GB2312" w:cs="Times New Roman"/>
          <w:kern w:val="0"/>
          <w:sz w:val="32"/>
          <w:szCs w:val="32"/>
        </w:rPr>
        <w:t>地图APP查询导</w:t>
      </w:r>
      <w:r>
        <w:rPr>
          <w:rFonts w:hint="eastAsia" w:ascii="仿宋_GB2312" w:hAnsi="仿宋_GB2312" w:eastAsia="仿宋_GB2312" w:cs="仿宋_GB2312"/>
          <w:kern w:val="0"/>
          <w:sz w:val="32"/>
          <w:szCs w:val="32"/>
        </w:rPr>
        <w:t>航功能，结合防灾减灾日等关键时间节点，开展宣传教育与避险演练，切实提升公众知晓率与应急避险能力。</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4</w:t>
      </w:r>
      <w:r>
        <w:rPr>
          <w:rFonts w:hint="eastAsia" w:ascii="仿宋_GB2312" w:hAnsi="仿宋_GB2312" w:eastAsia="仿宋_GB2312" w:cs="仿宋_GB2312"/>
          <w:b/>
          <w:bCs/>
          <w:color w:val="auto"/>
        </w:rPr>
        <w:t>.加强灾后救助与恢复重建</w:t>
      </w:r>
    </w:p>
    <w:p>
      <w:pPr>
        <w:adjustRightInd w:val="0"/>
        <w:snapToGrid w:val="0"/>
        <w:spacing w:after="0" w:line="560" w:lineRule="exact"/>
        <w:ind w:firstLine="640" w:firstLineChars="200"/>
        <w:jc w:val="both"/>
        <w:rPr>
          <w:rFonts w:ascii="Times New Roman" w:hAnsi="Times New Roman" w:eastAsia="楷体_GB2312" w:cs="Times New Roman"/>
          <w:sz w:val="32"/>
          <w:szCs w:val="32"/>
        </w:rPr>
      </w:pPr>
      <w:r>
        <w:rPr>
          <w:rFonts w:hint="eastAsia" w:ascii="仿宋_GB2312" w:hAnsi="仿宋_GB2312" w:eastAsia="仿宋_GB2312" w:cs="仿宋_GB2312"/>
          <w:sz w:val="32"/>
          <w:szCs w:val="32"/>
        </w:rPr>
        <w:t>加强覆盖城乡社区的灾害信息员队伍建设，完善灾情核查评估、资金预拨与救灾物资应急联动机制。制定受灾群众集中安置点设置标准，出台自然灾害生活救助相关规范，明确救灾资金申请与拨付依据，确保受灾人员基本生活得到及时有效救助。健全社会捐助体系，强化救助款物使用透明度。强化保险等市场机制在风险防范、损失补偿、恢复重建等方面的积极作用，建立多渠道多层次的巨灾风险分担机制，推广巨灾保险与安全生产责任保险，实施民生灾害保险社区全覆盖。强化市委、市政府统筹指导，建立受灾地区为主体、群众广泛参与的灾后恢复重建机制，加快毁损工程修复，科学规划生产力布局，全面提升灾后恢复重建成效。</w:t>
      </w:r>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19" w:name="_Toc224486074"/>
      <w:r>
        <w:rPr>
          <w:rFonts w:hint="eastAsia" w:ascii="方正楷体_GBK" w:hAnsi="方正楷体_GBK" w:eastAsia="方正楷体_GBK" w:cs="方正楷体_GBK"/>
          <w:color w:val="auto"/>
          <w:sz w:val="32"/>
          <w:szCs w:val="32"/>
        </w:rPr>
        <w:t>（五）夯实基层应急基础，提升基层应急响应能力</w:t>
      </w:r>
      <w:bookmarkEnd w:id="19"/>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sz w:val="32"/>
          <w:szCs w:val="32"/>
        </w:rPr>
      </w:pPr>
      <w:r>
        <w:rPr>
          <w:rFonts w:hint="default" w:ascii="Times New Roman" w:hAnsi="Times New Roman" w:eastAsia="仿宋_GB2312" w:cs="Times New Roman"/>
          <w:b/>
          <w:bCs/>
          <w:color w:val="auto"/>
          <w:sz w:val="32"/>
          <w:szCs w:val="32"/>
        </w:rPr>
        <w:t>1</w:t>
      </w:r>
      <w:r>
        <w:rPr>
          <w:rFonts w:hint="eastAsia" w:ascii="仿宋_GB2312" w:hAnsi="仿宋_GB2312" w:eastAsia="仿宋_GB2312" w:cs="仿宋_GB2312"/>
          <w:b/>
          <w:bCs/>
          <w:color w:val="auto"/>
          <w:sz w:val="32"/>
          <w:szCs w:val="32"/>
        </w:rPr>
        <w:t>.强化应急预案演练牵引</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并动态修订区级综合及专项应急预案，制定简明实用的村（社区）应急预案和重点岗位应急处置卡，确保基层预案与市、区级预案无缝衔接，并与辖区内重点酒店、景区、商场、外资企业等单位应急预案实现联动。构建具有自由贸易港特色的演练场景，常态化开展以防汛防台风、避震自救、地质灾害避险、火灾逃生为重点的实战化演练。区和村（社区）定期组织以先期处置、转移避险、自救互救为核心内容的综合演练，切实提升基层临灾响应与先期处置能力。</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sz w:val="32"/>
          <w:szCs w:val="32"/>
        </w:rPr>
      </w:pPr>
      <w:r>
        <w:rPr>
          <w:rFonts w:hint="default" w:ascii="Times New Roman" w:hAnsi="Times New Roman" w:eastAsia="仿宋_GB2312" w:cs="Times New Roman"/>
          <w:b/>
          <w:bCs/>
          <w:color w:val="auto"/>
          <w:sz w:val="32"/>
          <w:szCs w:val="32"/>
        </w:rPr>
        <w:t>2</w:t>
      </w:r>
      <w:r>
        <w:rPr>
          <w:rFonts w:hint="eastAsia" w:ascii="仿宋_GB2312" w:hAnsi="仿宋_GB2312" w:eastAsia="仿宋_GB2312" w:cs="仿宋_GB2312"/>
          <w:b/>
          <w:bCs/>
          <w:color w:val="auto"/>
          <w:sz w:val="32"/>
          <w:szCs w:val="32"/>
        </w:rPr>
        <w:t>.构建多元协同队伍体系</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培育发展应急志愿者队伍，鼓励支持社会应急力量发展。充分发挥属地企业专职救援力量、微型消防站、退役军人、民兵、预备役人员、物业保安及医务人员作用，加强专兼职应急救援力量建设。各区依托属地企业专职救援力量、志愿消防队、民兵、志愿服务组织等人员组建不少于</w:t>
      </w:r>
      <w:r>
        <w:rPr>
          <w:rFonts w:hint="default" w:ascii="Times New Roman" w:hAnsi="Times New Roman" w:eastAsia="仿宋_GB2312" w:cs="Times New Roman"/>
          <w:sz w:val="32"/>
          <w:szCs w:val="32"/>
        </w:rPr>
        <w:t>20人</w:t>
      </w:r>
      <w:r>
        <w:rPr>
          <w:rFonts w:hint="eastAsia" w:ascii="仿宋_GB2312" w:hAnsi="仿宋_GB2312" w:eastAsia="仿宋_GB2312" w:cs="仿宋_GB2312"/>
          <w:sz w:val="32"/>
          <w:szCs w:val="32"/>
        </w:rPr>
        <w:t>的应急救援队。支持有条件的村（社区）建设微型应急救援站（点）。建立健全国家综合性消防救援队伍与基层力量的联训联演联战机制，优化力量编成，提升基层抢险救援整体效能。</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sz w:val="32"/>
          <w:szCs w:val="32"/>
        </w:rPr>
      </w:pPr>
      <w:r>
        <w:rPr>
          <w:rFonts w:hint="default" w:ascii="Times New Roman" w:hAnsi="Times New Roman" w:eastAsia="仿宋_GB2312" w:cs="Times New Roman"/>
          <w:b/>
          <w:bCs/>
          <w:color w:val="auto"/>
          <w:sz w:val="32"/>
          <w:szCs w:val="32"/>
        </w:rPr>
        <w:t>3</w:t>
      </w:r>
      <w:r>
        <w:rPr>
          <w:rFonts w:hint="eastAsia" w:ascii="仿宋_GB2312" w:hAnsi="仿宋_GB2312" w:eastAsia="仿宋_GB2312" w:cs="仿宋_GB2312"/>
          <w:b/>
          <w:bCs/>
          <w:color w:val="auto"/>
          <w:sz w:val="32"/>
          <w:szCs w:val="32"/>
        </w:rPr>
        <w:t>.提升基层先期处置能力</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覆盖区、村（社区）应急指挥视频调度系统。加大灭火救援设备、卫星电话、移动储能站、小型发电机、水上救生设备、带动力排水泵、手持扩音器等应急物资装备前置储备。依法赋予区级应急处置权，灾害事故发生后迅速启动预案，开展先期处置，及时组织人员转移避险，就近启用应急设施和避难场所，组织群众自救互救。建设三亚市防灾减灾实战实训基地，常态化开展基层干部应急知识和技能培训，压实企业、学校、医院等基层单位信息报告主体责任，确保救早救小救初期。</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color w:val="auto"/>
          <w:sz w:val="32"/>
          <w:szCs w:val="32"/>
        </w:rPr>
      </w:pPr>
      <w:r>
        <w:rPr>
          <w:rFonts w:hint="default" w:ascii="Times New Roman" w:hAnsi="Times New Roman" w:eastAsia="仿宋_GB2312" w:cs="Times New Roman"/>
          <w:b/>
          <w:bCs/>
          <w:color w:val="auto"/>
          <w:sz w:val="32"/>
          <w:szCs w:val="32"/>
        </w:rPr>
        <w:t>4</w:t>
      </w:r>
      <w:r>
        <w:rPr>
          <w:rFonts w:hint="eastAsia" w:ascii="仿宋_GB2312" w:hAnsi="仿宋_GB2312" w:eastAsia="仿宋_GB2312" w:cs="仿宋_GB2312"/>
          <w:b/>
          <w:bCs/>
          <w:color w:val="auto"/>
          <w:sz w:val="32"/>
          <w:szCs w:val="32"/>
        </w:rPr>
        <w:t>.推进基层应急标准化建设</w:t>
      </w:r>
    </w:p>
    <w:p>
      <w:pPr>
        <w:pStyle w:val="20"/>
        <w:widowControl/>
        <w:shd w:val="clear" w:color="auto" w:fill="FFFFFF"/>
        <w:spacing w:beforeAutospacing="0" w:afterAutospacing="0" w:line="560" w:lineRule="exact"/>
        <w:ind w:firstLine="640" w:firstLineChars="200"/>
        <w:jc w:val="both"/>
        <w:rPr>
          <w:rFonts w:ascii="Times New Roman" w:hAnsi="Times New Roman" w:eastAsia="仿宋_GB2312"/>
          <w:kern w:val="2"/>
          <w:sz w:val="32"/>
          <w:szCs w:val="32"/>
        </w:rPr>
      </w:pPr>
      <w:r>
        <w:rPr>
          <w:rFonts w:hint="eastAsia" w:ascii="仿宋_GB2312" w:hAnsi="仿宋_GB2312" w:eastAsia="仿宋_GB2312" w:cs="仿宋_GB2312"/>
          <w:kern w:val="2"/>
          <w:sz w:val="32"/>
          <w:szCs w:val="32"/>
        </w:rPr>
        <w:t>加快基层应急力量配置、场所设施、物资装备、应急标识等标准化建设，做到力量充足、设施完备、装备齐全、标识一致、管理规范。全面推进区级“七个有”（有组织体系、信息系统、应急预案、值班人员、抢险队伍、培训演练、应急物资）和村（社区）“六个有”（有信息员和先期处置队伍、避灾场所、应急物资、应急预案、大喇叭、警示牌）建设。配强区综合行政执法人员，加强应急管理执法装备保障，组织区和村（社区）配合相关部门定期开展重点检查和日常巡查，全面提升基层应急管理规范化水平。</w:t>
      </w:r>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20" w:name="_Toc224486075"/>
      <w:r>
        <w:rPr>
          <w:rFonts w:hint="eastAsia" w:ascii="方正楷体_GBK" w:hAnsi="方正楷体_GBK" w:eastAsia="方正楷体_GBK" w:cs="方正楷体_GBK"/>
          <w:color w:val="auto"/>
          <w:sz w:val="32"/>
          <w:szCs w:val="32"/>
        </w:rPr>
        <w:t>（六）构建社会共治格局，提升应急协同联动能力</w:t>
      </w:r>
      <w:bookmarkEnd w:id="20"/>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1</w:t>
      </w:r>
      <w:r>
        <w:rPr>
          <w:rFonts w:hint="eastAsia" w:ascii="仿宋_GB2312" w:hAnsi="仿宋_GB2312" w:eastAsia="仿宋_GB2312" w:cs="仿宋_GB2312"/>
          <w:b/>
          <w:bCs/>
          <w:color w:val="auto"/>
        </w:rPr>
        <w:t>.提升公众安全文明素养</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公共安全教育全面纳入国民教育、职业教育、干部培训及外来建设者技能教育体系，不断丰富教育内容和形式。创新应急科普载体，拓展线上线下传播渠道，加强安全公益宣传，推动应急知识进社区、进学校、进企业、进家庭。结合三亚国际旅游城市特色，开发多语种应急指引系统和智能疏散路线规划工具，编制国际游客防灾手册，广泛普及避险逃生和自救互救技能，营造“人人讲安全、个个会应急”的浓厚氛围。</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2.</w:t>
      </w:r>
      <w:r>
        <w:rPr>
          <w:rFonts w:hint="eastAsia" w:ascii="仿宋_GB2312" w:hAnsi="仿宋_GB2312" w:eastAsia="仿宋_GB2312" w:cs="仿宋_GB2312"/>
          <w:b/>
          <w:bCs/>
          <w:color w:val="auto"/>
        </w:rPr>
        <w:t>培育壮大特色应急产业</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应急管理理念融入社会文化建设中，营造全社会关注应急、支持应急、参与应急的良好氛围。发挥新闻媒体主渠道作用，提升应急报道专业化水平，及时回应社会关切。健全公共安全社会心理干预体系，有效引导舆论和公众情绪。依托海南自由贸易港政策优势，以“低空经济+应急管理”应用场景为牵引，推动崖州湾科技城高新区低空经济与应急产业融合发展。围绕应急物资配送、应急救援、指挥调度、消防灭火、城市治理、应急通信等领域创建示范应用场景，促进应急产业与旅游、海洋等三亚优势产业融合，打造具有区域影响力的特色应急产业集群。</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3</w:t>
      </w:r>
      <w:r>
        <w:rPr>
          <w:rFonts w:hint="eastAsia" w:ascii="仿宋_GB2312" w:hAnsi="仿宋_GB2312" w:eastAsia="仿宋_GB2312" w:cs="仿宋_GB2312"/>
          <w:b/>
          <w:bCs/>
          <w:color w:val="auto"/>
        </w:rPr>
        <w:t>.构建多元参与共治格局</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范引导社会救援力量健康发展，通过政府购买服务、项目扶持等方式，激发社会力量参与防灾减灾和应急救援的热情。建立社会力量参与应急管理的工作机制和平台，加强联络协调与数据共享，明确参与程序和责任边界，提升社会力量参与应急管理的有序性和实效性，形成政府主导、社会协同、公众参与的应急管理共治格局。</w:t>
      </w:r>
    </w:p>
    <w:p>
      <w:pPr>
        <w:pStyle w:val="4"/>
        <w:adjustRightInd w:val="0"/>
        <w:snapToGrid w:val="0"/>
        <w:spacing w:before="0" w:after="0" w:line="560" w:lineRule="exact"/>
        <w:ind w:firstLine="642" w:firstLineChars="200"/>
        <w:jc w:val="both"/>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4</w:t>
      </w:r>
      <w:r>
        <w:rPr>
          <w:rFonts w:hint="eastAsia" w:ascii="仿宋_GB2312" w:hAnsi="仿宋_GB2312" w:eastAsia="仿宋_GB2312" w:cs="仿宋_GB2312"/>
          <w:b/>
          <w:bCs/>
          <w:color w:val="auto"/>
        </w:rPr>
        <w:t>.健全</w:t>
      </w:r>
      <w:r>
        <w:rPr>
          <w:rFonts w:hint="eastAsia" w:ascii="仿宋_GB2312" w:hAnsi="仿宋_GB2312" w:eastAsia="仿宋_GB2312" w:cs="仿宋_GB2312"/>
          <w:b/>
          <w:bCs/>
          <w:color w:val="auto"/>
          <w:lang w:val="en-US" w:eastAsia="zh-CN"/>
        </w:rPr>
        <w:t>应急协调联动</w:t>
      </w:r>
      <w:r>
        <w:rPr>
          <w:rFonts w:hint="eastAsia" w:ascii="仿宋_GB2312" w:hAnsi="仿宋_GB2312" w:eastAsia="仿宋_GB2312" w:cs="仿宋_GB2312"/>
          <w:b/>
          <w:bCs/>
          <w:color w:val="auto"/>
        </w:rPr>
        <w:t>机制</w:t>
      </w:r>
    </w:p>
    <w:p>
      <w:pPr>
        <w:adjustRightInd w:val="0"/>
        <w:snapToGrid w:val="0"/>
        <w:spacing w:after="0" w:line="560" w:lineRule="exact"/>
        <w:ind w:firstLine="640" w:firstLineChars="200"/>
        <w:jc w:val="both"/>
        <w:rPr>
          <w:rFonts w:ascii="Times New Roman" w:hAnsi="Times New Roman" w:eastAsia="仿宋_GB2312" w:cs="Times New Roman"/>
          <w:sz w:val="32"/>
          <w:szCs w:val="32"/>
        </w:rPr>
      </w:pPr>
      <w:r>
        <w:rPr>
          <w:rFonts w:hint="eastAsia" w:ascii="仿宋_GB2312" w:hAnsi="仿宋_GB2312" w:eastAsia="仿宋_GB2312" w:cs="仿宋_GB2312"/>
          <w:sz w:val="32"/>
          <w:szCs w:val="32"/>
        </w:rPr>
        <w:t>深化军地应急协同，建立军地联合指挥体系和应急联动机制。强化“大三亚”经济圈区域协作，健全与陵水、乐东等周边市县的应急协调联动机制，实现风险信息共享、联合预警和协同处置。鼓励企业与政府建立应急联动关系，支持企业在应急物资储备、应急救援队伍建设等方面发挥积极作用，</w:t>
      </w:r>
      <w:r>
        <w:rPr>
          <w:rFonts w:hint="eastAsia" w:ascii="仿宋_GB2312" w:hAnsi="仿宋_GB2312" w:eastAsia="仿宋_GB2312" w:cs="仿宋_GB2312"/>
          <w:sz w:val="32"/>
          <w:szCs w:val="32"/>
          <w:lang w:val="en-US" w:eastAsia="zh-CN"/>
        </w:rPr>
        <w:t>提升应急协调联动能力</w:t>
      </w:r>
      <w:r>
        <w:rPr>
          <w:rFonts w:hint="eastAsia" w:ascii="仿宋_GB2312" w:hAnsi="仿宋_GB2312" w:eastAsia="仿宋_GB2312" w:cs="仿宋_GB2312"/>
          <w:sz w:val="32"/>
          <w:szCs w:val="32"/>
        </w:rPr>
        <w:t>。</w:t>
      </w:r>
    </w:p>
    <w:bookmarkEnd w:id="14"/>
    <w:p>
      <w:pPr>
        <w:pStyle w:val="2"/>
        <w:adjustRightInd w:val="0"/>
        <w:snapToGrid w:val="0"/>
        <w:spacing w:before="0" w:after="0" w:line="560" w:lineRule="exact"/>
        <w:ind w:firstLine="640" w:firstLineChars="200"/>
        <w:jc w:val="both"/>
        <w:rPr>
          <w:rFonts w:ascii="Times New Roman" w:hAnsi="Times New Roman" w:eastAsia="黑体" w:cs="Times New Roman"/>
          <w:color w:val="auto"/>
          <w:kern w:val="44"/>
          <w:sz w:val="32"/>
          <w:szCs w:val="32"/>
        </w:rPr>
      </w:pPr>
      <w:bookmarkStart w:id="21" w:name="_Toc224486076"/>
      <w:r>
        <w:rPr>
          <w:rFonts w:ascii="Times New Roman" w:hAnsi="Times New Roman" w:eastAsia="黑体" w:cs="Times New Roman"/>
          <w:color w:val="auto"/>
          <w:kern w:val="44"/>
          <w:sz w:val="32"/>
          <w:szCs w:val="32"/>
        </w:rPr>
        <w:t>四、重点工程</w:t>
      </w:r>
      <w:bookmarkEnd w:id="21"/>
    </w:p>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22" w:name="_Toc224486077"/>
      <w:r>
        <w:rPr>
          <w:rFonts w:hint="eastAsia" w:ascii="方正楷体_GBK" w:hAnsi="方正楷体_GBK" w:eastAsia="方正楷体_GBK" w:cs="方正楷体_GBK"/>
          <w:color w:val="auto"/>
          <w:sz w:val="32"/>
          <w:szCs w:val="32"/>
        </w:rPr>
        <w:t>（一）应急管理效能提升工程</w:t>
      </w:r>
      <w:bookmarkEnd w:id="22"/>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多灾种、大应急、全链条”新时代应急管理要求，集新一代人工智能、云计算、物联网+、大数据于一体，推进指挥、决策网络构建，完善全市应急指挥大厅、应急值守室、备勤休息室等场所，补充先进适用通信装备和保障装备。</w:t>
      </w:r>
    </w:p>
    <w:p>
      <w:pPr>
        <w:adjustRightInd w:val="0"/>
        <w:snapToGrid w:val="0"/>
        <w:spacing w:after="0"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专栏</w:t>
      </w:r>
      <w:r>
        <w:rPr>
          <w:rFonts w:hint="default" w:ascii="Times New Roman" w:hAnsi="Times New Roman" w:eastAsia="仿宋_GB2312" w:cs="Times New Roman"/>
          <w:b/>
          <w:bCs/>
          <w:sz w:val="32"/>
          <w:szCs w:val="32"/>
        </w:rPr>
        <w:t>1</w:t>
      </w:r>
      <w:r>
        <w:rPr>
          <w:rFonts w:hint="eastAsia" w:ascii="仿宋_GB2312" w:hAnsi="仿宋_GB2312" w:eastAsia="仿宋_GB2312" w:cs="仿宋_GB2312"/>
          <w:b/>
          <w:bCs/>
          <w:sz w:val="32"/>
          <w:szCs w:val="32"/>
        </w:rPr>
        <w:t xml:space="preserve"> 应急管理效能提升工程</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4"/>
              <w:keepNext w:val="0"/>
              <w:adjustRightInd w:val="0"/>
              <w:snapToGrid w:val="0"/>
              <w:spacing w:before="0" w:after="0" w:line="560" w:lineRule="exact"/>
              <w:ind w:firstLine="642" w:firstLineChars="200"/>
              <w:jc w:val="both"/>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rPr>
              <w:t>三亚市防灾救灾应急指挥中心更新改造项目</w:t>
            </w:r>
          </w:p>
          <w:p>
            <w:pPr>
              <w:widowControl/>
              <w:snapToGrid w:val="0"/>
              <w:spacing w:after="0" w:line="560" w:lineRule="exact"/>
              <w:ind w:firstLine="480" w:firstLineChars="15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建设内容：改造现有一处公共资产，作为以应急指挥为核心功能的应急管理大楼，提升三亚市应急指挥、应急保障和紧急避险能力。</w:t>
            </w:r>
          </w:p>
          <w:p>
            <w:pPr>
              <w:widowControl/>
              <w:snapToGrid w:val="0"/>
              <w:spacing w:after="0" w:line="560" w:lineRule="exact"/>
              <w:ind w:firstLine="480" w:firstLineChars="15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项目背景：</w:t>
            </w:r>
            <w:r>
              <w:rPr>
                <w:rFonts w:hint="eastAsia" w:ascii="Times New Roman" w:hAnsi="Times New Roman" w:eastAsia="仿宋_GB2312" w:cs="Times New Roman"/>
                <w:sz w:val="32"/>
                <w:szCs w:val="32"/>
                <w:lang w:val="en-US" w:eastAsia="zh-CN"/>
              </w:rPr>
              <w:t>为提升三亚市应急指挥调度与保障能力，针对现有应急指挥设施不足、功能不全等问题，依据国家及省市应急体系建设规划，改造公共资产建设应急指挥中心，整合应急指挥、保障及避险功能，满足“十五五”防灾减灾需求。</w:t>
            </w:r>
          </w:p>
        </w:tc>
      </w:tr>
    </w:tbl>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23" w:name="_Toc224486078"/>
      <w:r>
        <w:rPr>
          <w:rFonts w:hint="eastAsia" w:ascii="方正楷体_GBK" w:hAnsi="方正楷体_GBK" w:eastAsia="方正楷体_GBK" w:cs="方正楷体_GBK"/>
          <w:color w:val="auto"/>
          <w:sz w:val="32"/>
          <w:szCs w:val="32"/>
        </w:rPr>
        <w:t>（二）事前预防能力提升工程</w:t>
      </w:r>
      <w:bookmarkEnd w:id="23"/>
    </w:p>
    <w:p>
      <w:pPr>
        <w:adjustRightInd w:val="0"/>
        <w:snapToGrid w:val="0"/>
        <w:spacing w:after="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聚焦三亚气象、地震事前预防能力升级，加密建设气象、地震监测站点，升级现有监测站网、台网，提升监测覆盖率与精度。建立健全三亚市海上活动、北部山区、低空经济、海洋牧场监测预警服务；运用多技术手段探测地震活动断层，开展危险性及灾害风险评估，并分阶段实现全市中小学校、养老机构等场所地震预警终端全覆盖，全面筑牢地震安全防线。</w:t>
      </w:r>
    </w:p>
    <w:p>
      <w:pPr>
        <w:adjustRightInd w:val="0"/>
        <w:snapToGrid w:val="0"/>
        <w:spacing w:after="0"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专栏</w:t>
      </w:r>
      <w:r>
        <w:rPr>
          <w:rFonts w:hint="default" w:ascii="Times New Roman" w:hAnsi="Times New Roman" w:eastAsia="仿宋_GB2312" w:cs="Times New Roman"/>
          <w:b/>
          <w:bCs/>
          <w:sz w:val="32"/>
          <w:szCs w:val="32"/>
        </w:rPr>
        <w:t>2</w:t>
      </w:r>
      <w:r>
        <w:rPr>
          <w:rFonts w:hint="eastAsia" w:ascii="仿宋_GB2312" w:hAnsi="仿宋_GB2312" w:eastAsia="仿宋_GB2312" w:cs="仿宋_GB2312"/>
          <w:b/>
          <w:bCs/>
          <w:sz w:val="32"/>
          <w:szCs w:val="32"/>
        </w:rPr>
        <w:t xml:space="preserve"> 事前预防能力提升工程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pPr>
              <w:pStyle w:val="4"/>
              <w:keepNext w:val="0"/>
              <w:adjustRightInd w:val="0"/>
              <w:snapToGrid w:val="0"/>
              <w:spacing w:before="0" w:after="0" w:line="560" w:lineRule="exact"/>
              <w:ind w:firstLine="642" w:firstLineChars="200"/>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1</w:t>
            </w:r>
            <w:r>
              <w:rPr>
                <w:rFonts w:hint="eastAsia" w:ascii="仿宋_GB2312" w:hAnsi="仿宋_GB2312" w:eastAsia="仿宋_GB2312" w:cs="仿宋_GB2312"/>
                <w:b/>
                <w:bCs/>
                <w:color w:val="auto"/>
              </w:rPr>
              <w:t>.三亚市地震监测台网加密及智能化升级项目</w:t>
            </w:r>
          </w:p>
          <w:p>
            <w:pPr>
              <w:widowControl/>
              <w:snapToGrid w:val="0"/>
              <w:spacing w:after="0" w:line="560" w:lineRule="exact"/>
              <w:ind w:firstLine="640" w:firstLineChars="200"/>
              <w:jc w:val="both"/>
              <w:rPr>
                <w:rFonts w:hint="eastAsia" w:ascii="仿宋_GB2312" w:hAnsi="仿宋_GB2312" w:eastAsia="仿宋_GB2312" w:cs="仿宋_GB2312"/>
                <w:sz w:val="32"/>
                <w:szCs w:val="32"/>
                <w:lang w:val="en"/>
              </w:rPr>
            </w:pPr>
            <w:r>
              <w:rPr>
                <w:rFonts w:hint="eastAsia" w:ascii="仿宋_GB2312" w:hAnsi="仿宋_GB2312" w:eastAsia="仿宋_GB2312" w:cs="仿宋_GB2312"/>
                <w:sz w:val="32"/>
                <w:szCs w:val="32"/>
              </w:rPr>
              <w:t>建设内容：在现有监测台网基础上加密建设地震监测站点，在三亚辖区新建</w:t>
            </w:r>
            <w:r>
              <w:rPr>
                <w:rFonts w:hint="default" w:ascii="Times New Roman" w:hAnsi="Times New Roman" w:eastAsia="仿宋_GB2312" w:cs="Times New Roman"/>
                <w:sz w:val="32"/>
                <w:szCs w:val="32"/>
              </w:rPr>
              <w:t>6个宽频带地震观测台、3个强震</w:t>
            </w:r>
            <w:r>
              <w:rPr>
                <w:rFonts w:hint="eastAsia" w:ascii="仿宋_GB2312" w:hAnsi="仿宋_GB2312" w:eastAsia="仿宋_GB2312" w:cs="仿宋_GB2312"/>
                <w:sz w:val="32"/>
                <w:szCs w:val="32"/>
              </w:rPr>
              <w:t>动观测点。在东部地震观测台新建</w:t>
            </w:r>
            <w:r>
              <w:rPr>
                <w:rFonts w:hint="default" w:ascii="Times New Roman" w:hAnsi="Times New Roman" w:eastAsia="仿宋_GB2312" w:cs="Times New Roman"/>
                <w:sz w:val="32"/>
                <w:szCs w:val="32"/>
              </w:rPr>
              <w:t>1个GNSS基准站和1个宽频带地震观测台，配套建设AI震相识别与自动速报系统，实现与省地震监测数据中心的实时共享，提升全市地震监测的覆盖率与精度。2027年前，实现78所农村中小学、2所养老机构和儿童福利院等场所地震预警终端100%覆盖，为师生、弱势群体提供地震预警服务。</w:t>
            </w:r>
            <w:r>
              <w:rPr>
                <w:rFonts w:hint="default" w:ascii="Times New Roman" w:hAnsi="Times New Roman" w:eastAsia="仿宋_GB2312" w:cs="Times New Roman"/>
                <w:color w:val="000000" w:themeColor="text1"/>
                <w:kern w:val="0"/>
                <w:sz w:val="32"/>
                <w:szCs w:val="32"/>
                <w:shd w:val="clear" w:color="auto" w:fill="FFFFFF"/>
                <w:lang w:bidi="ar"/>
                <w14:textFill>
                  <w14:solidFill>
                    <w14:schemeClr w14:val="tx1"/>
                  </w14:solidFill>
                </w14:textFill>
              </w:rPr>
              <w:t>2030年底之前，完成全市195所</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中小学校地震预警终端全覆</w:t>
            </w:r>
            <w:r>
              <w:rPr>
                <w:rFonts w:hint="eastAsia" w:ascii="仿宋_GB2312" w:hAnsi="仿宋_GB2312" w:eastAsia="仿宋_GB2312" w:cs="仿宋_GB2312"/>
                <w:sz w:val="32"/>
                <w:szCs w:val="32"/>
              </w:rPr>
              <w:t>盖</w:t>
            </w:r>
            <w:r>
              <w:rPr>
                <w:rFonts w:hint="eastAsia" w:ascii="仿宋_GB2312" w:hAnsi="仿宋_GB2312" w:eastAsia="仿宋_GB2312" w:cs="仿宋_GB2312"/>
                <w:sz w:val="32"/>
                <w:szCs w:val="32"/>
                <w:lang w:val="en"/>
              </w:rPr>
              <w:t>。</w:t>
            </w:r>
          </w:p>
          <w:p>
            <w:pPr>
              <w:widowControl/>
              <w:snapToGrid w:val="0"/>
              <w:spacing w:after="0" w:line="560" w:lineRule="exact"/>
              <w:ind w:firstLine="640" w:firstLineChars="200"/>
              <w:jc w:val="both"/>
              <w:rPr>
                <w:rFonts w:hint="eastAsia" w:ascii="仿宋_GB2312" w:hAnsi="仿宋_GB2312" w:eastAsia="仿宋_GB2312" w:cs="仿宋_GB2312"/>
                <w:sz w:val="32"/>
                <w:szCs w:val="32"/>
                <w:lang w:val="en"/>
              </w:rPr>
            </w:pPr>
            <w:r>
              <w:rPr>
                <w:rFonts w:hint="eastAsia" w:ascii="仿宋_GB2312" w:hAnsi="仿宋_GB2312" w:eastAsia="仿宋_GB2312" w:cs="仿宋_GB2312"/>
                <w:sz w:val="32"/>
                <w:szCs w:val="32"/>
              </w:rPr>
              <w:t>项目背景：为提升三亚市地震灾害风险防范能力，针对现有监测台网布局不均、智能化水平低、重点场所预警覆盖不足等问题，依据相关规划及“十五五”目标，实施台网加密、智能升级及预警终端全覆盖工程，切实保障人民生命财产安全。</w:t>
            </w:r>
          </w:p>
          <w:p>
            <w:pPr>
              <w:pStyle w:val="4"/>
              <w:keepNext w:val="0"/>
              <w:adjustRightInd w:val="0"/>
              <w:snapToGrid w:val="0"/>
              <w:spacing w:before="0" w:after="0" w:line="560" w:lineRule="exact"/>
              <w:ind w:firstLine="642" w:firstLineChars="200"/>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2</w:t>
            </w:r>
            <w:r>
              <w:rPr>
                <w:rFonts w:hint="eastAsia" w:ascii="仿宋_GB2312" w:hAnsi="仿宋_GB2312" w:eastAsia="仿宋_GB2312" w:cs="仿宋_GB2312"/>
                <w:b/>
                <w:bCs/>
                <w:color w:val="auto"/>
              </w:rPr>
              <w:t>.城市地震活动断层探测及风险评估项目</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内容：运用地质调查、地球物理勘探等多种技术手段，全面探测三亚市辖区内的地震活动断层分布、特征及活动性。对探测出的断层进行详细的地震危险性评估，结合城市规划、人口分布、建筑物分布等信息，开展地震灾害风险评估。绘制高精度的三亚市地震活动断层分布图和地震灾害风险区划图。</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项目背景：为摸清三亚市地震活动断层分布及风险底数，保障</w:t>
            </w:r>
            <w:r>
              <w:rPr>
                <w:rFonts w:hint="eastAsia" w:ascii="仿宋_GB2312" w:hAnsi="仿宋_GB2312" w:eastAsia="仿宋_GB2312" w:cs="仿宋_GB2312"/>
                <w:sz w:val="32"/>
                <w:szCs w:val="32"/>
                <w:lang w:val="en-US" w:eastAsia="zh-CN"/>
              </w:rPr>
              <w:t>自由贸易港</w:t>
            </w:r>
            <w:r>
              <w:rPr>
                <w:rFonts w:hint="eastAsia" w:ascii="仿宋_GB2312" w:hAnsi="仿宋_GB2312" w:eastAsia="仿宋_GB2312" w:cs="仿宋_GB2312"/>
                <w:sz w:val="32"/>
                <w:szCs w:val="32"/>
              </w:rPr>
              <w:t>建设和城市安全，针对辖区地质构造复杂、潜在震源不明等短板，依据国家及省市防震减灾规划，实施城市活动断层探测及风险评估项目，为国土空间规划和灾害防御提供科学依据。</w:t>
            </w:r>
          </w:p>
          <w:p>
            <w:pPr>
              <w:pStyle w:val="4"/>
              <w:keepNext w:val="0"/>
              <w:adjustRightInd w:val="0"/>
              <w:snapToGrid w:val="0"/>
              <w:spacing w:before="0" w:after="0" w:line="560" w:lineRule="exact"/>
              <w:ind w:firstLine="642" w:firstLineChars="200"/>
              <w:rPr>
                <w:rFonts w:hint="eastAsia" w:ascii="仿宋_GB2312" w:hAnsi="仿宋_GB2312" w:eastAsia="仿宋_GB2312" w:cs="仿宋_GB2312"/>
                <w:b/>
                <w:bCs/>
                <w:color w:val="auto"/>
              </w:rPr>
            </w:pPr>
            <w:r>
              <w:rPr>
                <w:rFonts w:hint="default" w:ascii="Times New Roman" w:hAnsi="Times New Roman" w:eastAsia="仿宋_GB2312" w:cs="Times New Roman"/>
                <w:b/>
                <w:bCs/>
                <w:color w:val="auto"/>
              </w:rPr>
              <w:t>3</w:t>
            </w:r>
            <w:r>
              <w:rPr>
                <w:rFonts w:hint="eastAsia" w:ascii="仿宋_GB2312" w:hAnsi="仿宋_GB2312" w:eastAsia="仿宋_GB2312" w:cs="仿宋_GB2312"/>
                <w:b/>
                <w:bCs/>
                <w:color w:val="auto"/>
              </w:rPr>
              <w:t>.海南省海洋地震监测站网三亚服务保障中心</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建设内容：在南滨地震台东侧新征</w:t>
            </w:r>
            <w:r>
              <w:rPr>
                <w:rFonts w:hint="default" w:ascii="Times New Roman" w:hAnsi="Times New Roman" w:eastAsia="仿宋_GB2312" w:cs="Times New Roman"/>
                <w:sz w:val="32"/>
                <w:szCs w:val="32"/>
              </w:rPr>
              <w:t>收2500平方米的项目用地，新建2栋4层综合</w:t>
            </w:r>
            <w:r>
              <w:rPr>
                <w:rFonts w:hint="eastAsia" w:ascii="仿宋_GB2312" w:hAnsi="仿宋_GB2312" w:eastAsia="仿宋_GB2312" w:cs="仿宋_GB2312"/>
                <w:sz w:val="32"/>
                <w:szCs w:val="32"/>
              </w:rPr>
              <w:t>楼。防灾减灾科普楼，设有防灾减灾科普实训馆、应急自救互救实操、应急救援装备、应急物资储备室等。海洋地震监测保障综合楼，配备有地震灾害会商研判室、自然灾害应急联动中心、应急指挥中心、应急值班室等，同时配套新建海洋地震监测站保障服务等配套设施，进一步提升三亚市地震监测能力水平和南海海洋监测服务保障能力。</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背景：为强化南海海洋地震监测及三亚市防震减灾综合保障能力，针对当前海洋地震监测服务保障设施薄弱、应急科普资源分散等问题，依据海南省“十五五”防震减灾规划，新建三亚服务保障中心，集监测保障、应急联动、科普实训于一体，为自贸港安全提供坚实支撑。</w:t>
            </w:r>
          </w:p>
          <w:p>
            <w:pPr>
              <w:adjustRightInd w:val="0"/>
              <w:snapToGrid w:val="0"/>
              <w:spacing w:after="0" w:line="560" w:lineRule="exact"/>
              <w:ind w:firstLine="642" w:firstLineChars="200"/>
              <w:jc w:val="both"/>
              <w:rPr>
                <w:rFonts w:hint="eastAsia" w:ascii="仿宋_GB2312" w:hAnsi="仿宋_GB2312" w:eastAsia="仿宋_GB2312" w:cs="仿宋_GB2312"/>
                <w:b/>
                <w:bCs/>
                <w:sz w:val="32"/>
                <w:szCs w:val="32"/>
              </w:rPr>
            </w:pPr>
            <w:r>
              <w:rPr>
                <w:rFonts w:hint="default" w:ascii="Times New Roman" w:hAnsi="Times New Roman" w:eastAsia="仿宋_GB2312" w:cs="Times New Roman"/>
                <w:b/>
                <w:bCs/>
                <w:sz w:val="32"/>
                <w:szCs w:val="32"/>
              </w:rPr>
              <w:t>4</w:t>
            </w:r>
            <w:r>
              <w:rPr>
                <w:rFonts w:hint="eastAsia" w:ascii="仿宋_GB2312" w:hAnsi="仿宋_GB2312" w:eastAsia="仿宋_GB2312" w:cs="仿宋_GB2312"/>
                <w:b/>
                <w:bCs/>
                <w:sz w:val="32"/>
                <w:szCs w:val="32"/>
              </w:rPr>
              <w:t>.三亚市西、北部山区和海洋气象预警补短板项目</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建设内容：</w:t>
            </w:r>
            <w:r>
              <w:rPr>
                <w:rFonts w:hint="eastAsia" w:ascii="仿宋_GB2312" w:hAnsi="仿宋_GB2312" w:eastAsia="仿宋_GB2312" w:cs="仿宋_GB2312"/>
                <w:sz w:val="32"/>
                <w:szCs w:val="32"/>
              </w:rPr>
              <w:t>新</w:t>
            </w:r>
            <w:r>
              <w:rPr>
                <w:rFonts w:hint="default" w:ascii="Times New Roman" w:hAnsi="Times New Roman" w:eastAsia="仿宋_GB2312" w:cs="Times New Roman"/>
                <w:sz w:val="32"/>
                <w:szCs w:val="32"/>
              </w:rPr>
              <w:t>建2部X波段相控阵天气雷达（北部山区建设1部，海岛建设1部），强化北部山区和海洋天气分钟级高分辨率的监测能力，进一步提升预报预警准确率和及时性。新建4部激光测风雷达，两部实现垂直探测，两部实现水平探测，通过组网实现三亚近地层风向风速的探测能力，配合X波段天气雷达，为防灾减灾救灾、低空经济以及重大赛事活动保障等提供精细化、高频次的实时风雨观测数据，高质量筑牢气象安全防线。增建4套海洋牧场气象监测站，建</w:t>
            </w:r>
            <w:r>
              <w:rPr>
                <w:rFonts w:hint="eastAsia" w:ascii="仿宋_GB2312" w:hAnsi="仿宋_GB2312" w:eastAsia="仿宋_GB2312" w:cs="仿宋_GB2312"/>
                <w:sz w:val="32"/>
                <w:szCs w:val="32"/>
              </w:rPr>
              <w:t>立完善海洋牧场气象服务；西、北部加密</w:t>
            </w:r>
            <w:r>
              <w:rPr>
                <w:rFonts w:hint="default" w:ascii="Times New Roman" w:hAnsi="Times New Roman" w:eastAsia="仿宋_GB2312" w:cs="Times New Roman"/>
                <w:sz w:val="32"/>
                <w:szCs w:val="32"/>
              </w:rPr>
              <w:t>建设20套5要素</w:t>
            </w:r>
            <w:r>
              <w:rPr>
                <w:rFonts w:hint="eastAsia" w:ascii="仿宋_GB2312" w:hAnsi="仿宋_GB2312" w:eastAsia="仿宋_GB2312" w:cs="仿宋_GB2312"/>
                <w:sz w:val="32"/>
                <w:szCs w:val="32"/>
              </w:rPr>
              <w:t>乡镇自动气象站，提升山洪地质灾害监测预警水平。</w:t>
            </w:r>
          </w:p>
          <w:p>
            <w:pPr>
              <w:adjustRightInd w:val="0"/>
              <w:snapToGrid w:val="0"/>
              <w:spacing w:after="0" w:line="560" w:lineRule="exact"/>
              <w:ind w:firstLine="640" w:firstLineChars="200"/>
              <w:jc w:val="both"/>
              <w:rPr>
                <w:rFonts w:hint="default"/>
              </w:rPr>
            </w:pPr>
            <w:r>
              <w:rPr>
                <w:rFonts w:hint="eastAsia" w:ascii="仿宋_GB2312" w:hAnsi="仿宋_GB2312" w:eastAsia="仿宋_GB2312" w:cs="仿宋_GB2312"/>
                <w:sz w:val="32"/>
                <w:szCs w:val="32"/>
              </w:rPr>
              <w:t>项目背景：针对三亚西、北部山区及近海气象监测盲区精细化预警能力薄弱、极端天气风险应对存在短板等问题，亟需推动灾害性天气预报向基于影响的风险预警转变，通过加密监测站点、增设雷达组网，强化实况滚动服务，提升极端天气应对能力。</w:t>
            </w:r>
          </w:p>
        </w:tc>
      </w:tr>
    </w:tbl>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24" w:name="_Toc224486079"/>
      <w:r>
        <w:rPr>
          <w:rFonts w:hint="eastAsia" w:ascii="方正楷体_GBK" w:hAnsi="方正楷体_GBK" w:eastAsia="方正楷体_GBK" w:cs="方正楷体_GBK"/>
          <w:color w:val="auto"/>
          <w:sz w:val="32"/>
          <w:szCs w:val="32"/>
        </w:rPr>
        <w:t>（三）关键救援能力提升工程</w:t>
      </w:r>
      <w:bookmarkEnd w:id="24"/>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搭建专业化实训平台，有针对性提升应急队伍实战处置能力、基层防灾管理水平，完善三亚防灾减灾硬件支撑体系，构建“培训-演练-提升”的闭环机制，强化灾害应对前置准备。完善区域消防救援布局，提升应急响应速度与处置能力，进一步完善片区专业消防力量，助力构建全域安全防控体系，保障群众生命财产安全。</w:t>
      </w:r>
    </w:p>
    <w:p>
      <w:pPr>
        <w:adjustRightInd w:val="0"/>
        <w:snapToGrid w:val="0"/>
        <w:spacing w:after="0"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专栏</w:t>
      </w:r>
      <w:r>
        <w:rPr>
          <w:rFonts w:hint="default" w:ascii="Times New Roman" w:hAnsi="Times New Roman" w:eastAsia="仿宋_GB2312" w:cs="Times New Roman"/>
          <w:b/>
          <w:bCs/>
          <w:sz w:val="32"/>
          <w:szCs w:val="32"/>
        </w:rPr>
        <w:t>3</w:t>
      </w:r>
      <w:r>
        <w:rPr>
          <w:rFonts w:hint="eastAsia" w:ascii="仿宋_GB2312" w:hAnsi="仿宋_GB2312" w:eastAsia="仿宋_GB2312" w:cs="仿宋_GB2312"/>
          <w:b/>
          <w:bCs/>
          <w:sz w:val="32"/>
          <w:szCs w:val="32"/>
        </w:rPr>
        <w:t xml:space="preserve"> 关键救援能力提升工程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pPr>
              <w:pStyle w:val="4"/>
              <w:keepNext w:val="0"/>
              <w:keepLines w:val="0"/>
              <w:adjustRightInd w:val="0"/>
              <w:snapToGrid w:val="0"/>
              <w:spacing w:before="0" w:after="0" w:line="560" w:lineRule="exact"/>
              <w:ind w:firstLine="642" w:firstLineChars="200"/>
              <w:jc w:val="both"/>
              <w:rPr>
                <w:rFonts w:hint="eastAsia" w:ascii="仿宋_GB2312" w:hAnsi="仿宋_GB2312" w:eastAsia="仿宋_GB2312" w:cs="仿宋_GB2312"/>
                <w:b/>
                <w:bCs/>
                <w:color w:val="auto"/>
                <w:sz w:val="32"/>
                <w:szCs w:val="32"/>
              </w:rPr>
            </w:pPr>
            <w:r>
              <w:rPr>
                <w:rFonts w:hint="default" w:ascii="Times New Roman" w:hAnsi="Times New Roman" w:eastAsia="仿宋_GB2312" w:cs="Times New Roman"/>
                <w:b/>
                <w:bCs/>
                <w:color w:val="auto"/>
                <w:sz w:val="32"/>
                <w:szCs w:val="32"/>
              </w:rPr>
              <w:t>1</w:t>
            </w:r>
            <w:r>
              <w:rPr>
                <w:rFonts w:hint="eastAsia" w:ascii="仿宋_GB2312" w:hAnsi="仿宋_GB2312" w:eastAsia="仿宋_GB2312" w:cs="仿宋_GB2312"/>
                <w:b/>
                <w:bCs/>
                <w:color w:val="auto"/>
                <w:sz w:val="32"/>
                <w:szCs w:val="32"/>
              </w:rPr>
              <w:t>.三亚市防灾减灾实战实训基地设施建设项目</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内容：项目选址于吉阳区榆红村，总体布局分教学办公区、生活区、训练区：教学办公区设教室、指挥模拟室等，承担教学与调度；生活区含宿舍、食堂等，保障参训需求；训练区建台风、洪涝等模拟场地，开展实战训练。项目旨在提升应急队伍实战能力、强化基层防灾水平、增强公众避险技能，建成后将完善三亚防灾减灾体系，为自贸港建设筑牢安全屏障，还可发挥区域示范作用，助力全省防灾减灾能力提升。</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背景：为全面提升三亚市防灾减灾实战能力，针对基层应急队伍训练设施不足、公众避险技能薄弱等短板，依据国家及省市综合防灾减灾规划，建设集教学、实训、模拟演练于一体的实战实训基地，强化应急响应效能，筑牢自贸港安全屏障。</w:t>
            </w:r>
          </w:p>
          <w:p>
            <w:pPr>
              <w:pStyle w:val="4"/>
              <w:keepNext w:val="0"/>
              <w:keepLines w:val="0"/>
              <w:adjustRightInd w:val="0"/>
              <w:snapToGrid w:val="0"/>
              <w:spacing w:before="0" w:after="0" w:line="560" w:lineRule="exact"/>
              <w:ind w:firstLine="642" w:firstLineChars="200"/>
              <w:jc w:val="both"/>
              <w:rPr>
                <w:rFonts w:hint="eastAsia" w:ascii="仿宋_GB2312" w:hAnsi="仿宋_GB2312" w:eastAsia="仿宋_GB2312" w:cs="仿宋_GB2312"/>
                <w:b/>
                <w:bCs/>
                <w:color w:val="auto"/>
                <w:sz w:val="32"/>
                <w:szCs w:val="32"/>
              </w:rPr>
            </w:pPr>
            <w:r>
              <w:rPr>
                <w:rFonts w:hint="default" w:ascii="Times New Roman" w:hAnsi="Times New Roman" w:eastAsia="仿宋_GB2312" w:cs="Times New Roman"/>
                <w:b/>
                <w:bCs/>
                <w:color w:val="auto"/>
                <w:sz w:val="32"/>
                <w:szCs w:val="32"/>
              </w:rPr>
              <w:t>2</w:t>
            </w:r>
            <w:r>
              <w:rPr>
                <w:rFonts w:hint="eastAsia" w:ascii="仿宋_GB2312" w:hAnsi="仿宋_GB2312" w:eastAsia="仿宋_GB2312" w:cs="仿宋_GB2312"/>
                <w:b/>
                <w:bCs/>
                <w:color w:val="auto"/>
                <w:sz w:val="32"/>
                <w:szCs w:val="32"/>
              </w:rPr>
              <w:t>.三亚市育才消防站和凤凰片区消防站项目</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三亚市育才消防站建设内容：包括建筑工程及安装工程，同时配套建设相应的室外给排水、电气、绿化、道路、停车场、训练场、篮球场、围墙及大门等基础配套设施工程。</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项目背景：目前育才生态区内尚未设立消防站，区内第一时间出警救灾无法满足</w:t>
            </w:r>
            <w:r>
              <w:rPr>
                <w:rFonts w:hint="default" w:ascii="Times New Roman" w:hAnsi="Times New Roman" w:eastAsia="仿宋_GB2312" w:cs="Times New Roman"/>
                <w:sz w:val="32"/>
                <w:szCs w:val="32"/>
              </w:rPr>
              <w:t>5分</w:t>
            </w:r>
            <w:r>
              <w:rPr>
                <w:rFonts w:hint="eastAsia" w:ascii="仿宋_GB2312" w:hAnsi="仿宋_GB2312" w:eastAsia="仿宋_GB2312" w:cs="仿宋_GB2312"/>
                <w:sz w:val="32"/>
                <w:szCs w:val="32"/>
              </w:rPr>
              <w:t>钟到达辖区火场的消防要求，拟设立一级消防站，满足育才生态区消防任务。</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凤凰片区消防站建设内容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消防站营房一栋，训练塔一栋，岗亭一座；另配套建设室外训练场、道路及停车场、绿化、大门及围墙以及室外给排水、电气工程等。</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项目背景：目前凤凰特勤消防站服务无法覆盖凤凰片区，无法满足接到出动指令</w:t>
            </w:r>
            <w:r>
              <w:rPr>
                <w:rFonts w:hint="default" w:ascii="Times New Roman" w:hAnsi="Times New Roman" w:eastAsia="仿宋_GB2312" w:cs="Times New Roman"/>
                <w:sz w:val="32"/>
                <w:szCs w:val="32"/>
              </w:rPr>
              <w:t>后5分钟</w:t>
            </w:r>
            <w:r>
              <w:rPr>
                <w:rFonts w:hint="eastAsia" w:ascii="仿宋_GB2312" w:hAnsi="仿宋_GB2312" w:eastAsia="仿宋_GB2312" w:cs="仿宋_GB2312"/>
                <w:sz w:val="32"/>
                <w:szCs w:val="32"/>
              </w:rPr>
              <w:t>内消防队到达辖区边缘的要求，不利于凤凰片区应对突发安全生产问题。为进一步增强三亚市城市预防和抗御火灾的综合能力，创造安全的人居环境，提升天涯区凤凰片区区域周边消防力量。</w:t>
            </w:r>
          </w:p>
        </w:tc>
      </w:tr>
    </w:tbl>
    <w:p>
      <w:pPr>
        <w:pStyle w:val="3"/>
        <w:adjustRightInd w:val="0"/>
        <w:snapToGrid w:val="0"/>
        <w:spacing w:before="0" w:after="0" w:line="560" w:lineRule="exact"/>
        <w:ind w:firstLine="640" w:firstLineChars="200"/>
        <w:jc w:val="both"/>
        <w:rPr>
          <w:rFonts w:hint="eastAsia" w:ascii="方正楷体_GBK" w:hAnsi="方正楷体_GBK" w:eastAsia="方正楷体_GBK" w:cs="方正楷体_GBK"/>
          <w:color w:val="auto"/>
          <w:sz w:val="32"/>
          <w:szCs w:val="32"/>
        </w:rPr>
      </w:pPr>
      <w:bookmarkStart w:id="25" w:name="_Toc224486080"/>
      <w:r>
        <w:rPr>
          <w:rFonts w:hint="eastAsia" w:ascii="方正楷体_GBK" w:hAnsi="方正楷体_GBK" w:eastAsia="方正楷体_GBK" w:cs="方正楷体_GBK"/>
          <w:color w:val="auto"/>
          <w:sz w:val="32"/>
          <w:szCs w:val="32"/>
        </w:rPr>
        <w:t>（四）综合保障能力提升工程</w:t>
      </w:r>
      <w:bookmarkEnd w:id="25"/>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建设市级应急物资储</w:t>
      </w:r>
      <w:bookmarkStart w:id="34" w:name="_GoBack"/>
      <w:bookmarkEnd w:id="34"/>
      <w:r>
        <w:rPr>
          <w:rFonts w:hint="eastAsia" w:ascii="仿宋_GB2312" w:hAnsi="仿宋_GB2312" w:eastAsia="仿宋_GB2312" w:cs="仿宋_GB2312"/>
          <w:sz w:val="32"/>
          <w:szCs w:val="32"/>
        </w:rPr>
        <w:t>备仓库与防灾减灾应急救援基地，在四区及育才生态区部署区级储备仓库，保障区域独立应对一般应急事件。同时补充生活救灾、防汛抗旱、森林防灭火等多类应急物资，满足Ⅱ级应急响应需求，全面强化应急保障硬支撑，提升灾害应对快速补给能力，筑牢城市安全防线。</w:t>
      </w:r>
    </w:p>
    <w:p>
      <w:pPr>
        <w:adjustRightInd w:val="0"/>
        <w:snapToGrid w:val="0"/>
        <w:spacing w:after="0"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专栏</w:t>
      </w:r>
      <w:r>
        <w:rPr>
          <w:rFonts w:hint="default" w:ascii="Times New Roman" w:hAnsi="Times New Roman" w:eastAsia="仿宋_GB2312" w:cs="Times New Roman"/>
          <w:b/>
          <w:bCs/>
          <w:sz w:val="32"/>
          <w:szCs w:val="32"/>
        </w:rPr>
        <w:t>4</w:t>
      </w:r>
      <w:r>
        <w:rPr>
          <w:rFonts w:hint="eastAsia" w:ascii="仿宋_GB2312" w:hAnsi="仿宋_GB2312" w:eastAsia="仿宋_GB2312" w:cs="仿宋_GB2312"/>
          <w:b/>
          <w:bCs/>
          <w:sz w:val="32"/>
          <w:szCs w:val="32"/>
        </w:rPr>
        <w:t xml:space="preserve"> 综合保障能力提升工程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pPr>
              <w:pStyle w:val="4"/>
              <w:keepNext w:val="0"/>
              <w:adjustRightInd w:val="0"/>
              <w:snapToGrid w:val="0"/>
              <w:spacing w:before="0" w:after="0" w:line="560" w:lineRule="exact"/>
              <w:ind w:firstLine="642" w:firstLineChars="200"/>
              <w:jc w:val="both"/>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三亚市应急物资储备仓库建设项目</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建设内容：在三亚民生综合物流园内建设</w:t>
            </w:r>
            <w:r>
              <w:rPr>
                <w:rFonts w:hint="default" w:ascii="Times New Roman" w:hAnsi="Times New Roman" w:eastAsia="仿宋_GB2312" w:cs="Times New Roman"/>
                <w:sz w:val="32"/>
                <w:szCs w:val="32"/>
              </w:rPr>
              <w:t>2个应</w:t>
            </w:r>
            <w:r>
              <w:rPr>
                <w:rFonts w:hint="eastAsia" w:ascii="仿宋_GB2312" w:hAnsi="仿宋_GB2312" w:eastAsia="仿宋_GB2312" w:cs="仿宋_GB2312"/>
                <w:sz w:val="32"/>
                <w:szCs w:val="32"/>
              </w:rPr>
              <w:t>急物资储备仓库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海南省南部省级综合应急物资储备仓库和三亚市市级应急物资储备仓库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，包含管理用房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附属用房</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建设防灾减灾应急救援基地</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项目背景：目前我市应急物资储备仓库位于三亚市吉阳区荔枝沟路市民政局救助站内，硬件条件落后，仓储面积容量太小。为加强我市应急管理建设的薄弱环节，夯实我市安全发展基础，拟建应急物资储备仓库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主要储备公共卫生、救灾、防汛抗旱和森林防灭火等应急物资。</w:t>
            </w:r>
          </w:p>
        </w:tc>
      </w:tr>
    </w:tbl>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eastAsia" w:ascii="方正楷体_GBK" w:hAnsi="方正楷体_GBK" w:eastAsia="方正楷体_GBK" w:cs="方正楷体_GBK"/>
          <w:color w:val="auto"/>
          <w:sz w:val="32"/>
          <w:szCs w:val="32"/>
        </w:rPr>
      </w:pPr>
      <w:bookmarkStart w:id="26" w:name="_Toc224486081"/>
      <w:r>
        <w:rPr>
          <w:rFonts w:hint="eastAsia" w:ascii="方正楷体_GBK" w:hAnsi="方正楷体_GBK" w:eastAsia="方正楷体_GBK" w:cs="方正楷体_GBK"/>
          <w:color w:val="auto"/>
          <w:sz w:val="32"/>
          <w:szCs w:val="32"/>
        </w:rPr>
        <w:t>（五）基层应急能力提升工程</w:t>
      </w:r>
      <w:bookmarkEnd w:id="26"/>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三亚应急避难保障体系，强化社会治理安全韧性，对市区室外避难场所进行标准化升级，对室内避难场所开展水电改造与标识标准化建设，全面提升应急避难承载力与服务水平，为群众提供安全可靠的避险空间，夯实社会治理安全基础。</w:t>
      </w:r>
    </w:p>
    <w:p>
      <w:pPr>
        <w:adjustRightInd w:val="0"/>
        <w:snapToGrid w:val="0"/>
        <w:spacing w:after="0"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专栏</w:t>
      </w:r>
      <w:r>
        <w:rPr>
          <w:rFonts w:hint="default" w:ascii="Times New Roman" w:hAnsi="Times New Roman" w:eastAsia="仿宋_GB2312" w:cs="Times New Roman"/>
          <w:b/>
          <w:bCs/>
          <w:sz w:val="32"/>
          <w:szCs w:val="32"/>
        </w:rPr>
        <w:t>5</w:t>
      </w:r>
      <w:r>
        <w:rPr>
          <w:rFonts w:hint="eastAsia" w:ascii="仿宋_GB2312" w:hAnsi="仿宋_GB2312" w:eastAsia="仿宋_GB2312" w:cs="仿宋_GB2312"/>
          <w:b/>
          <w:bCs/>
          <w:sz w:val="32"/>
          <w:szCs w:val="32"/>
        </w:rPr>
        <w:t xml:space="preserve"> 社会治理能力提升工程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pPr>
              <w:pStyle w:val="4"/>
              <w:keepNext w:val="0"/>
              <w:adjustRightInd w:val="0"/>
              <w:snapToGrid w:val="0"/>
              <w:spacing w:before="0" w:after="0" w:line="560" w:lineRule="exact"/>
              <w:ind w:firstLine="642" w:firstLineChars="200"/>
              <w:jc w:val="both"/>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三亚市应急避难场所提升项目</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内容：项目对市区现有的金鸡岭桥头公园、白鹭公园、春光停车场、东岸湿地公园、丰兴隆公园、崖州动车站站前广场、海棠广场、三亚湾椰梦长廊、育才生态区立才广场等室外避难场所进行标准化建设升级改造，配建应急宿篷、移动厕所、物资储备、餐食区、供电区、供水区、指挥中心等配套设施和应急深水井钻打工程。</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三亚体育产业园、三亚技师学院体育馆、三亚市第四小学、洪风小学、人大附中、丹州小学、上海世外附属中学、水南小学、立才学校、上海外国语大学三亚附属中学等室内避难场所进行水电设施升级改造、应急标识牌等标准化建设，以满足周边群众的应急避难需求。</w:t>
            </w:r>
          </w:p>
          <w:p>
            <w:pPr>
              <w:adjustRightInd w:val="0"/>
              <w:snapToGrid w:val="0"/>
              <w:spacing w:after="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背景：为完善三亚市应急避难体系，针对现有室外及室内避难场所设施老化、功能不全、标准化程度低等短板，依据国家及省市应急管理规划，实施场所提升工程，配建供水、供电、物资等必要设施，切实保障群众紧急避险需求。</w:t>
            </w:r>
          </w:p>
        </w:tc>
      </w:tr>
    </w:tbl>
    <w:p>
      <w:pPr>
        <w:pStyle w:val="2"/>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ascii="Times New Roman" w:hAnsi="Times New Roman" w:eastAsia="黑体" w:cs="Times New Roman"/>
          <w:color w:val="auto"/>
          <w:kern w:val="44"/>
          <w:sz w:val="32"/>
          <w:szCs w:val="32"/>
        </w:rPr>
      </w:pPr>
      <w:bookmarkStart w:id="27" w:name="_Toc224486082"/>
      <w:r>
        <w:rPr>
          <w:rFonts w:ascii="Times New Roman" w:hAnsi="Times New Roman" w:eastAsia="黑体" w:cs="Times New Roman"/>
          <w:color w:val="auto"/>
          <w:kern w:val="44"/>
          <w:sz w:val="32"/>
          <w:szCs w:val="32"/>
        </w:rPr>
        <w:t>五、保障措施</w:t>
      </w:r>
      <w:bookmarkEnd w:id="27"/>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eastAsia" w:ascii="方正楷体_GBK" w:hAnsi="方正楷体_GBK" w:eastAsia="方正楷体_GBK" w:cs="方正楷体_GBK"/>
          <w:color w:val="auto"/>
          <w:sz w:val="32"/>
          <w:szCs w:val="32"/>
        </w:rPr>
      </w:pPr>
      <w:bookmarkStart w:id="28" w:name="_Toc224486083"/>
      <w:r>
        <w:rPr>
          <w:rFonts w:hint="eastAsia" w:ascii="方正楷体_GBK" w:hAnsi="方正楷体_GBK" w:eastAsia="方正楷体_GBK" w:cs="方正楷体_GBK"/>
          <w:color w:val="auto"/>
          <w:sz w:val="32"/>
          <w:szCs w:val="32"/>
        </w:rPr>
        <w:t>（一）加强组织领导</w:t>
      </w:r>
      <w:bookmarkEnd w:id="28"/>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全面加强党对应急管理体系和能力建设的领导，构建各级各部门紧密协作、高效联动的配合机制，全方位、多层次推动规划落地实施。结合实际制定规划实施方案，强化年度计划与规划实施方案的有机衔接与协同推进，细化工作分工，落实责任主体。明确规划各项任务的推进计划、时间节点和阶段目标，密切规划实施的工作联系，加大统筹协调力度，有序推进规划目标如期实现。</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eastAsia" w:ascii="方正楷体_GBK" w:hAnsi="方正楷体_GBK" w:eastAsia="方正楷体_GBK" w:cs="方正楷体_GBK"/>
          <w:color w:val="auto"/>
          <w:sz w:val="32"/>
          <w:szCs w:val="32"/>
        </w:rPr>
      </w:pPr>
      <w:bookmarkStart w:id="29" w:name="_Toc15092"/>
      <w:bookmarkStart w:id="30" w:name="_Toc224486084"/>
      <w:r>
        <w:rPr>
          <w:rFonts w:hint="eastAsia" w:ascii="方正楷体_GBK" w:hAnsi="方正楷体_GBK" w:eastAsia="方正楷体_GBK" w:cs="方正楷体_GBK"/>
          <w:color w:val="auto"/>
          <w:sz w:val="32"/>
          <w:szCs w:val="32"/>
        </w:rPr>
        <w:t>（二）加强投入保障</w:t>
      </w:r>
      <w:bookmarkEnd w:id="29"/>
      <w:bookmarkEnd w:id="30"/>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按照事权与支出责任相适应的原则，加强资源统筹，加大人、财、物投入，为规划实施提供全方位保障。持续优化应急保障资金投入机制，完善应急管理财政支持政策，优化支出结构和专项资金使用，对规划实施予以合理保障。充分发挥政策导向和重大工程项目的引导带动作用，探寻应急管理资金多元投入有效途径，拓宽投融资渠道，积极引导金融、保险、企业等参与规划实施。</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eastAsia" w:ascii="方正楷体_GBK" w:hAnsi="方正楷体_GBK" w:eastAsia="方正楷体_GBK" w:cs="方正楷体_GBK"/>
          <w:color w:val="auto"/>
          <w:sz w:val="32"/>
          <w:szCs w:val="32"/>
        </w:rPr>
      </w:pPr>
      <w:bookmarkStart w:id="31" w:name="_Toc15885"/>
      <w:bookmarkStart w:id="32" w:name="_Toc224486085"/>
      <w:r>
        <w:rPr>
          <w:rFonts w:hint="eastAsia" w:ascii="方正楷体_GBK" w:hAnsi="方正楷体_GBK" w:eastAsia="方正楷体_GBK" w:cs="方正楷体_GBK"/>
          <w:color w:val="auto"/>
          <w:sz w:val="32"/>
          <w:szCs w:val="32"/>
        </w:rPr>
        <w:t>（三）加强监测评估</w:t>
      </w:r>
      <w:bookmarkEnd w:id="31"/>
      <w:bookmarkEnd w:id="32"/>
    </w:p>
    <w:p>
      <w:pPr>
        <w:adjustRightInd w:val="0"/>
        <w:snapToGrid w:val="0"/>
        <w:spacing w:after="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强化对规划实施进程的动态跟踪监测，完善监督制度、程序和考核评价体系，将主要任务和重点项目实施情况纳入全市年度应急管理工作考核内容。有序组织开展规划实施的中期评估和总结评估，剖析规划工作的推进态势，依据实际情况及时对规划相关内容予以优化调整，完善政策举措与实施方案，确保规划主要任务和重大工程项目顺利实施。</w:t>
      </w:r>
    </w:p>
    <w:p>
      <w:pPr>
        <w:pStyle w:val="12"/>
        <w:rPr>
          <w:rFonts w:ascii="Times New Roman" w:hAnsi="Times New Roman" w:cs="Times New Roman"/>
        </w:rPr>
        <w:sectPr>
          <w:footerReference r:id="rId7" w:type="default"/>
          <w:pgSz w:w="11906" w:h="16838"/>
          <w:pgMar w:top="2098" w:right="1474" w:bottom="1984" w:left="1587" w:header="851" w:footer="992" w:gutter="0"/>
          <w:pgNumType w:fmt="decimal" w:start="1"/>
          <w:cols w:space="425" w:num="1"/>
          <w:docGrid w:type="lines" w:linePitch="312" w:charSpace="0"/>
        </w:sectPr>
      </w:pPr>
    </w:p>
    <w:p>
      <w:pPr>
        <w:pStyle w:val="2"/>
        <w:adjustRightInd w:val="0"/>
        <w:snapToGrid w:val="0"/>
        <w:spacing w:before="0" w:after="0" w:line="560" w:lineRule="exact"/>
        <w:ind w:firstLine="640" w:firstLineChars="200"/>
        <w:jc w:val="both"/>
        <w:rPr>
          <w:rFonts w:ascii="Times New Roman" w:hAnsi="Times New Roman" w:eastAsia="黑体" w:cs="Times New Roman"/>
          <w:color w:val="auto"/>
          <w:kern w:val="44"/>
          <w:sz w:val="32"/>
          <w:szCs w:val="32"/>
        </w:rPr>
      </w:pPr>
      <w:bookmarkStart w:id="33" w:name="_Toc224486086"/>
      <w:r>
        <w:rPr>
          <w:rFonts w:ascii="Times New Roman" w:hAnsi="Times New Roman" w:eastAsia="黑体" w:cs="Times New Roman"/>
          <w:color w:val="auto"/>
          <w:kern w:val="44"/>
          <w:sz w:val="32"/>
          <w:szCs w:val="32"/>
        </w:rPr>
        <w:t>附件 重点工程项目表</w:t>
      </w:r>
      <w:bookmarkEnd w:id="33"/>
    </w:p>
    <w:tbl>
      <w:tblPr>
        <w:tblStyle w:val="24"/>
        <w:tblW w:w="502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8"/>
        <w:gridCol w:w="806"/>
        <w:gridCol w:w="5949"/>
        <w:gridCol w:w="2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blHeader/>
        </w:trPr>
        <w:tc>
          <w:tcPr>
            <w:tcW w:w="1364" w:type="pct"/>
            <w:vAlign w:val="center"/>
          </w:tcPr>
          <w:p>
            <w:pPr>
              <w:adjustRightInd w:val="0"/>
              <w:snapToGrid w:val="0"/>
              <w:spacing w:after="0" w:line="240"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工程类别</w:t>
            </w:r>
          </w:p>
        </w:tc>
        <w:tc>
          <w:tcPr>
            <w:tcW w:w="309" w:type="pct"/>
            <w:vAlign w:val="center"/>
          </w:tcPr>
          <w:p>
            <w:pPr>
              <w:adjustRightInd w:val="0"/>
              <w:snapToGrid w:val="0"/>
              <w:spacing w:after="0" w:line="240"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序号</w:t>
            </w:r>
          </w:p>
        </w:tc>
        <w:tc>
          <w:tcPr>
            <w:tcW w:w="2281" w:type="pct"/>
            <w:vAlign w:val="center"/>
          </w:tcPr>
          <w:p>
            <w:pPr>
              <w:adjustRightInd w:val="0"/>
              <w:snapToGrid w:val="0"/>
              <w:spacing w:after="0" w:line="240"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项目名称</w:t>
            </w:r>
          </w:p>
        </w:tc>
        <w:tc>
          <w:tcPr>
            <w:tcW w:w="1044" w:type="pct"/>
            <w:vAlign w:val="center"/>
          </w:tcPr>
          <w:p>
            <w:pPr>
              <w:adjustRightInd w:val="0"/>
              <w:snapToGrid w:val="0"/>
              <w:spacing w:after="0" w:line="240"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牵头单位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64" w:type="pct"/>
            <w:vAlign w:val="center"/>
          </w:tcPr>
          <w:p>
            <w:pPr>
              <w:adjustRightInd w:val="0"/>
              <w:snapToGrid w:val="0"/>
              <w:spacing w:after="0" w:line="240"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一、应急管理效能提升工程</w:t>
            </w:r>
          </w:p>
        </w:tc>
        <w:tc>
          <w:tcPr>
            <w:tcW w:w="309"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2281" w:type="pct"/>
            <w:vAlign w:val="center"/>
          </w:tcPr>
          <w:p>
            <w:pPr>
              <w:adjustRightInd w:val="0"/>
              <w:snapToGrid w:val="0"/>
              <w:spacing w:after="0" w:line="240" w:lineRule="auto"/>
              <w:jc w:val="both"/>
              <w:rPr>
                <w:rFonts w:hint="default" w:ascii="Times New Roman" w:hAnsi="Times New Roman" w:eastAsia="宋体" w:cs="Times New Roman"/>
                <w:sz w:val="24"/>
              </w:rPr>
            </w:pPr>
            <w:r>
              <w:rPr>
                <w:rFonts w:hint="default" w:ascii="Times New Roman" w:hAnsi="Times New Roman" w:eastAsia="宋体" w:cs="Times New Roman"/>
                <w:sz w:val="24"/>
              </w:rPr>
              <w:t>三亚市防灾救灾应急指挥中心更新改造项目</w:t>
            </w:r>
          </w:p>
        </w:tc>
        <w:tc>
          <w:tcPr>
            <w:tcW w:w="1044"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三亚市应急管理局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64" w:type="pct"/>
            <w:vMerge w:val="restart"/>
            <w:vAlign w:val="center"/>
          </w:tcPr>
          <w:p>
            <w:pPr>
              <w:adjustRightInd w:val="0"/>
              <w:snapToGrid w:val="0"/>
              <w:spacing w:after="0" w:line="240"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二、事前预防能力提升工程</w:t>
            </w:r>
          </w:p>
        </w:tc>
        <w:tc>
          <w:tcPr>
            <w:tcW w:w="309"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2281" w:type="pct"/>
            <w:vAlign w:val="center"/>
          </w:tcPr>
          <w:p>
            <w:pPr>
              <w:adjustRightInd w:val="0"/>
              <w:snapToGrid w:val="0"/>
              <w:spacing w:after="0" w:line="240" w:lineRule="auto"/>
              <w:jc w:val="both"/>
              <w:rPr>
                <w:rFonts w:hint="default" w:ascii="Times New Roman" w:hAnsi="Times New Roman" w:eastAsia="宋体" w:cs="Times New Roman"/>
                <w:sz w:val="24"/>
              </w:rPr>
            </w:pPr>
            <w:r>
              <w:rPr>
                <w:rFonts w:hint="default" w:ascii="Times New Roman" w:hAnsi="Times New Roman" w:eastAsia="宋体" w:cs="Times New Roman"/>
                <w:sz w:val="24"/>
              </w:rPr>
              <w:t>三亚市地震监测台网加密及智能化升级项目</w:t>
            </w:r>
          </w:p>
        </w:tc>
        <w:tc>
          <w:tcPr>
            <w:tcW w:w="1044"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三亚市应急管理局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64" w:type="pct"/>
            <w:vMerge w:val="continue"/>
          </w:tcPr>
          <w:p>
            <w:pPr>
              <w:adjustRightInd w:val="0"/>
              <w:snapToGrid w:val="0"/>
              <w:spacing w:after="0" w:line="240" w:lineRule="auto"/>
              <w:rPr>
                <w:rFonts w:hint="default" w:ascii="Times New Roman" w:hAnsi="Times New Roman" w:eastAsia="宋体" w:cs="Times New Roman"/>
                <w:sz w:val="24"/>
              </w:rPr>
            </w:pPr>
          </w:p>
        </w:tc>
        <w:tc>
          <w:tcPr>
            <w:tcW w:w="309"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2281" w:type="pct"/>
            <w:vAlign w:val="center"/>
          </w:tcPr>
          <w:p>
            <w:pPr>
              <w:adjustRightInd w:val="0"/>
              <w:snapToGrid w:val="0"/>
              <w:spacing w:after="0" w:line="240" w:lineRule="auto"/>
              <w:jc w:val="both"/>
              <w:rPr>
                <w:rFonts w:hint="default" w:ascii="Times New Roman" w:hAnsi="Times New Roman" w:eastAsia="宋体" w:cs="Times New Roman"/>
                <w:sz w:val="24"/>
              </w:rPr>
            </w:pPr>
            <w:r>
              <w:rPr>
                <w:rFonts w:hint="default" w:ascii="Times New Roman" w:hAnsi="Times New Roman" w:eastAsia="宋体" w:cs="Times New Roman"/>
                <w:sz w:val="24"/>
              </w:rPr>
              <w:t>城市地震活动断层探测及风险评估项目</w:t>
            </w:r>
          </w:p>
        </w:tc>
        <w:tc>
          <w:tcPr>
            <w:tcW w:w="1044"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三亚市应急管理局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64" w:type="pct"/>
            <w:vMerge w:val="continue"/>
          </w:tcPr>
          <w:p>
            <w:pPr>
              <w:adjustRightInd w:val="0"/>
              <w:snapToGrid w:val="0"/>
              <w:spacing w:after="0" w:line="240" w:lineRule="auto"/>
              <w:rPr>
                <w:rFonts w:hint="default" w:ascii="Times New Roman" w:hAnsi="Times New Roman" w:eastAsia="宋体" w:cs="Times New Roman"/>
                <w:sz w:val="24"/>
              </w:rPr>
            </w:pPr>
          </w:p>
        </w:tc>
        <w:tc>
          <w:tcPr>
            <w:tcW w:w="309"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2281" w:type="pct"/>
            <w:vAlign w:val="center"/>
          </w:tcPr>
          <w:p>
            <w:pPr>
              <w:adjustRightInd w:val="0"/>
              <w:snapToGrid w:val="0"/>
              <w:spacing w:after="0" w:line="240" w:lineRule="auto"/>
              <w:jc w:val="both"/>
              <w:rPr>
                <w:rFonts w:hint="default" w:ascii="Times New Roman" w:hAnsi="Times New Roman" w:eastAsia="宋体" w:cs="Times New Roman"/>
                <w:sz w:val="24"/>
              </w:rPr>
            </w:pPr>
            <w:r>
              <w:rPr>
                <w:rFonts w:hint="default" w:ascii="Times New Roman" w:hAnsi="Times New Roman" w:eastAsia="宋体" w:cs="Times New Roman"/>
                <w:sz w:val="24"/>
              </w:rPr>
              <w:t>海南省海洋地震监测站网三亚服务保障中心项目</w:t>
            </w:r>
          </w:p>
        </w:tc>
        <w:tc>
          <w:tcPr>
            <w:tcW w:w="1044"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三亚市应急管理局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64" w:type="pct"/>
            <w:vMerge w:val="continue"/>
          </w:tcPr>
          <w:p>
            <w:pPr>
              <w:adjustRightInd w:val="0"/>
              <w:snapToGrid w:val="0"/>
              <w:spacing w:after="0" w:line="240" w:lineRule="auto"/>
              <w:rPr>
                <w:rFonts w:hint="default" w:ascii="Times New Roman" w:hAnsi="Times New Roman" w:eastAsia="宋体" w:cs="Times New Roman"/>
                <w:sz w:val="24"/>
              </w:rPr>
            </w:pPr>
          </w:p>
        </w:tc>
        <w:tc>
          <w:tcPr>
            <w:tcW w:w="309"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2281" w:type="pct"/>
            <w:vAlign w:val="center"/>
          </w:tcPr>
          <w:p>
            <w:pPr>
              <w:adjustRightInd w:val="0"/>
              <w:snapToGrid w:val="0"/>
              <w:spacing w:after="0" w:line="240" w:lineRule="auto"/>
              <w:jc w:val="both"/>
              <w:rPr>
                <w:rFonts w:hint="default" w:ascii="Times New Roman" w:hAnsi="Times New Roman" w:cs="Times New Roman"/>
              </w:rPr>
            </w:pPr>
            <w:r>
              <w:rPr>
                <w:rFonts w:hint="default" w:ascii="Times New Roman" w:hAnsi="Times New Roman" w:eastAsia="宋体" w:cs="Times New Roman"/>
                <w:sz w:val="24"/>
              </w:rPr>
              <w:t>三亚市西、北部山区和海洋气象预警补短板项目</w:t>
            </w:r>
          </w:p>
        </w:tc>
        <w:tc>
          <w:tcPr>
            <w:tcW w:w="1044"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三亚市气象局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364" w:type="pct"/>
            <w:vMerge w:val="restart"/>
            <w:vAlign w:val="center"/>
          </w:tcPr>
          <w:p>
            <w:pPr>
              <w:adjustRightInd w:val="0"/>
              <w:snapToGrid w:val="0"/>
              <w:spacing w:after="0" w:line="240"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三、关键救援能力提升工程</w:t>
            </w:r>
          </w:p>
        </w:tc>
        <w:tc>
          <w:tcPr>
            <w:tcW w:w="309"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2281" w:type="pct"/>
            <w:vAlign w:val="center"/>
          </w:tcPr>
          <w:p>
            <w:pPr>
              <w:adjustRightInd w:val="0"/>
              <w:snapToGrid w:val="0"/>
              <w:spacing w:after="0" w:line="240" w:lineRule="auto"/>
              <w:jc w:val="both"/>
              <w:rPr>
                <w:rFonts w:hint="default" w:ascii="Times New Roman" w:hAnsi="Times New Roman" w:eastAsia="宋体" w:cs="Times New Roman"/>
                <w:sz w:val="24"/>
              </w:rPr>
            </w:pPr>
            <w:r>
              <w:rPr>
                <w:rFonts w:hint="default" w:ascii="Times New Roman" w:hAnsi="Times New Roman" w:eastAsia="宋体" w:cs="Times New Roman"/>
                <w:sz w:val="24"/>
              </w:rPr>
              <w:t>三亚市防灾减灾实战实训基地设施建设项目</w:t>
            </w:r>
          </w:p>
        </w:tc>
        <w:tc>
          <w:tcPr>
            <w:tcW w:w="1044"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三亚</w:t>
            </w:r>
            <w:r>
              <w:rPr>
                <w:rFonts w:hint="eastAsia" w:ascii="Times New Roman" w:hAnsi="Times New Roman" w:eastAsia="宋体" w:cs="Times New Roman"/>
                <w:sz w:val="24"/>
              </w:rPr>
              <w:t>警备区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364" w:type="pct"/>
            <w:vMerge w:val="continue"/>
          </w:tcPr>
          <w:p>
            <w:pPr>
              <w:adjustRightInd w:val="0"/>
              <w:snapToGrid w:val="0"/>
              <w:spacing w:after="0" w:line="240" w:lineRule="auto"/>
              <w:rPr>
                <w:rFonts w:hint="default" w:ascii="Times New Roman" w:hAnsi="Times New Roman" w:eastAsia="宋体" w:cs="Times New Roman"/>
                <w:sz w:val="24"/>
              </w:rPr>
            </w:pPr>
          </w:p>
        </w:tc>
        <w:tc>
          <w:tcPr>
            <w:tcW w:w="309"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7</w:t>
            </w:r>
          </w:p>
        </w:tc>
        <w:tc>
          <w:tcPr>
            <w:tcW w:w="2281" w:type="pct"/>
            <w:vAlign w:val="center"/>
          </w:tcPr>
          <w:p>
            <w:pPr>
              <w:adjustRightInd w:val="0"/>
              <w:snapToGrid w:val="0"/>
              <w:spacing w:after="0" w:line="240" w:lineRule="auto"/>
              <w:jc w:val="both"/>
              <w:rPr>
                <w:rFonts w:hint="default" w:ascii="Times New Roman" w:hAnsi="Times New Roman" w:cs="Times New Roman"/>
              </w:rPr>
            </w:pPr>
            <w:r>
              <w:rPr>
                <w:rFonts w:hint="default" w:ascii="Times New Roman" w:hAnsi="Times New Roman" w:eastAsia="宋体" w:cs="Times New Roman"/>
                <w:sz w:val="24"/>
              </w:rPr>
              <w:t>三亚市育才消防站和凤凰片区消防站项目</w:t>
            </w:r>
          </w:p>
        </w:tc>
        <w:tc>
          <w:tcPr>
            <w:tcW w:w="1044" w:type="pct"/>
            <w:vAlign w:val="center"/>
          </w:tcPr>
          <w:p>
            <w:pPr>
              <w:adjustRightInd w:val="0"/>
              <w:snapToGrid w:val="0"/>
              <w:spacing w:after="0" w:line="240" w:lineRule="auto"/>
              <w:jc w:val="center"/>
              <w:rPr>
                <w:rFonts w:hint="eastAsia" w:ascii="Times New Roman" w:hAnsi="Times New Roman" w:eastAsia="宋体" w:cs="Times New Roman"/>
                <w:sz w:val="24"/>
                <w:lang w:eastAsia="zh-CN"/>
              </w:rPr>
            </w:pPr>
            <w:r>
              <w:rPr>
                <w:rFonts w:hint="default" w:ascii="Times New Roman" w:hAnsi="Times New Roman" w:eastAsia="宋体" w:cs="Times New Roman"/>
                <w:sz w:val="24"/>
              </w:rPr>
              <w:t>三亚市消防救援</w:t>
            </w:r>
            <w:r>
              <w:rPr>
                <w:rFonts w:hint="eastAsia" w:ascii="Times New Roman" w:hAnsi="Times New Roman" w:eastAsia="宋体" w:cs="Times New Roman"/>
                <w:sz w:val="24"/>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364" w:type="pct"/>
            <w:vAlign w:val="center"/>
          </w:tcPr>
          <w:p>
            <w:pPr>
              <w:adjustRightInd w:val="0"/>
              <w:snapToGrid w:val="0"/>
              <w:spacing w:after="0" w:line="240"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四、综合保障能力提升工程</w:t>
            </w:r>
          </w:p>
        </w:tc>
        <w:tc>
          <w:tcPr>
            <w:tcW w:w="309"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8</w:t>
            </w:r>
          </w:p>
        </w:tc>
        <w:tc>
          <w:tcPr>
            <w:tcW w:w="2281" w:type="pct"/>
            <w:vAlign w:val="center"/>
          </w:tcPr>
          <w:p>
            <w:pPr>
              <w:adjustRightInd w:val="0"/>
              <w:snapToGrid w:val="0"/>
              <w:spacing w:after="0" w:line="240" w:lineRule="auto"/>
              <w:jc w:val="both"/>
              <w:rPr>
                <w:rFonts w:hint="default" w:ascii="Times New Roman" w:hAnsi="Times New Roman" w:eastAsia="宋体" w:cs="Times New Roman"/>
                <w:sz w:val="24"/>
              </w:rPr>
            </w:pPr>
            <w:r>
              <w:rPr>
                <w:rFonts w:hint="default" w:ascii="Times New Roman" w:hAnsi="Times New Roman" w:eastAsia="宋体" w:cs="Times New Roman"/>
                <w:sz w:val="24"/>
              </w:rPr>
              <w:t>三亚市应急物资储备仓库建设项目</w:t>
            </w:r>
          </w:p>
        </w:tc>
        <w:tc>
          <w:tcPr>
            <w:tcW w:w="1044"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三亚市应急管理局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364" w:type="pct"/>
            <w:vAlign w:val="center"/>
          </w:tcPr>
          <w:p>
            <w:pPr>
              <w:adjustRightInd w:val="0"/>
              <w:snapToGrid w:val="0"/>
              <w:spacing w:after="0" w:line="240"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五、</w:t>
            </w:r>
            <w:r>
              <w:rPr>
                <w:rFonts w:hint="eastAsia" w:ascii="Times New Roman" w:hAnsi="Times New Roman" w:eastAsia="黑体" w:cs="Times New Roman"/>
                <w:sz w:val="24"/>
              </w:rPr>
              <w:t>基层应急</w:t>
            </w:r>
            <w:r>
              <w:rPr>
                <w:rFonts w:hint="default" w:ascii="Times New Roman" w:hAnsi="Times New Roman" w:eastAsia="黑体" w:cs="Times New Roman"/>
                <w:sz w:val="24"/>
              </w:rPr>
              <w:t>能力提升工程</w:t>
            </w:r>
          </w:p>
        </w:tc>
        <w:tc>
          <w:tcPr>
            <w:tcW w:w="309" w:type="pct"/>
            <w:vAlign w:val="center"/>
          </w:tcPr>
          <w:p>
            <w:pPr>
              <w:adjustRightInd w:val="0"/>
              <w:snapToGrid w:val="0"/>
              <w:spacing w:after="0" w:line="240"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9</w:t>
            </w:r>
          </w:p>
        </w:tc>
        <w:tc>
          <w:tcPr>
            <w:tcW w:w="2281" w:type="pct"/>
            <w:shd w:val="clear" w:color="auto" w:fill="auto"/>
            <w:vAlign w:val="center"/>
          </w:tcPr>
          <w:p>
            <w:pPr>
              <w:adjustRightInd w:val="0"/>
              <w:snapToGrid w:val="0"/>
              <w:spacing w:after="0" w:line="240" w:lineRule="auto"/>
              <w:jc w:val="both"/>
              <w:rPr>
                <w:rFonts w:hint="default" w:ascii="Times New Roman" w:hAnsi="Times New Roman" w:eastAsia="宋体" w:cs="Times New Roman"/>
                <w:kern w:val="2"/>
                <w:sz w:val="24"/>
                <w:szCs w:val="24"/>
                <w:lang w:val="en-US" w:eastAsia="zh-CN" w:bidi="ar-SA"/>
                <w14:ligatures w14:val="standardContextual"/>
              </w:rPr>
            </w:pPr>
            <w:r>
              <w:rPr>
                <w:rFonts w:hint="default" w:ascii="Times New Roman" w:hAnsi="Times New Roman" w:eastAsia="宋体" w:cs="Times New Roman"/>
                <w:sz w:val="24"/>
              </w:rPr>
              <w:t>三亚市应急避难场所提升项目</w:t>
            </w:r>
          </w:p>
        </w:tc>
        <w:tc>
          <w:tcPr>
            <w:tcW w:w="1044" w:type="pct"/>
            <w:shd w:val="clear" w:color="auto" w:fill="auto"/>
            <w:vAlign w:val="center"/>
          </w:tcPr>
          <w:p>
            <w:pPr>
              <w:adjustRightInd w:val="0"/>
              <w:snapToGrid w:val="0"/>
              <w:spacing w:after="0" w:line="240" w:lineRule="auto"/>
              <w:jc w:val="center"/>
              <w:rPr>
                <w:rFonts w:hint="default" w:ascii="Times New Roman" w:hAnsi="Times New Roman" w:eastAsia="宋体" w:cs="Times New Roman"/>
                <w:kern w:val="2"/>
                <w:sz w:val="24"/>
                <w:szCs w:val="24"/>
                <w:lang w:val="en-US" w:eastAsia="zh-CN" w:bidi="ar-SA"/>
                <w14:ligatures w14:val="standardContextual"/>
              </w:rPr>
            </w:pPr>
            <w:r>
              <w:rPr>
                <w:rFonts w:hint="default" w:ascii="Times New Roman" w:hAnsi="Times New Roman" w:eastAsia="宋体" w:cs="Times New Roman"/>
                <w:sz w:val="24"/>
              </w:rPr>
              <w:t>三亚市应急管理局</w:t>
            </w:r>
          </w:p>
        </w:tc>
      </w:tr>
    </w:tbl>
    <w:p>
      <w:pPr>
        <w:spacing w:line="560" w:lineRule="exact"/>
        <w:rPr>
          <w:rFonts w:ascii="Times New Roman" w:hAnsi="Times New Roman" w:cs="Times New Roman"/>
        </w:rPr>
      </w:pPr>
    </w:p>
    <w:sectPr>
      <w:pgSz w:w="16838" w:h="11906" w:orient="landscape"/>
      <w:pgMar w:top="1588" w:right="2098" w:bottom="1474" w:left="1985"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 w:name="微软简仿宋">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等线 Light">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hint="eastAsia"/>
      </w:rPr>
    </w:pPr>
  </w:p>
  <w:p>
    <w:pPr>
      <w:pStyle w:val="1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hint="eastAsia"/>
      </w:rPr>
    </w:pPr>
  </w:p>
  <w:p>
    <w:pPr>
      <w:pStyle w:val="14"/>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1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HorizontalSpacing w:val="11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EBA"/>
    <w:rsid w:val="00002367"/>
    <w:rsid w:val="0000240C"/>
    <w:rsid w:val="000069D6"/>
    <w:rsid w:val="00012D89"/>
    <w:rsid w:val="00013C7D"/>
    <w:rsid w:val="000141DA"/>
    <w:rsid w:val="00021A44"/>
    <w:rsid w:val="00022B19"/>
    <w:rsid w:val="00023B18"/>
    <w:rsid w:val="00025823"/>
    <w:rsid w:val="00026015"/>
    <w:rsid w:val="00030FF2"/>
    <w:rsid w:val="00033614"/>
    <w:rsid w:val="00033C7B"/>
    <w:rsid w:val="000343FB"/>
    <w:rsid w:val="00035EB0"/>
    <w:rsid w:val="00036878"/>
    <w:rsid w:val="00037E66"/>
    <w:rsid w:val="0004044A"/>
    <w:rsid w:val="000417D6"/>
    <w:rsid w:val="00042987"/>
    <w:rsid w:val="000430F2"/>
    <w:rsid w:val="00051BD2"/>
    <w:rsid w:val="00055AB9"/>
    <w:rsid w:val="00060BB1"/>
    <w:rsid w:val="0006294F"/>
    <w:rsid w:val="000704B5"/>
    <w:rsid w:val="0007400E"/>
    <w:rsid w:val="00074190"/>
    <w:rsid w:val="00074B34"/>
    <w:rsid w:val="00074F26"/>
    <w:rsid w:val="00076A5E"/>
    <w:rsid w:val="00084091"/>
    <w:rsid w:val="00087714"/>
    <w:rsid w:val="000877FC"/>
    <w:rsid w:val="00091728"/>
    <w:rsid w:val="00094FDE"/>
    <w:rsid w:val="000969E8"/>
    <w:rsid w:val="00097520"/>
    <w:rsid w:val="000A1F82"/>
    <w:rsid w:val="000A531F"/>
    <w:rsid w:val="000B2579"/>
    <w:rsid w:val="000B2A6B"/>
    <w:rsid w:val="000B5897"/>
    <w:rsid w:val="000B5C3D"/>
    <w:rsid w:val="000C29AC"/>
    <w:rsid w:val="000C5C69"/>
    <w:rsid w:val="000C7E3D"/>
    <w:rsid w:val="000D1660"/>
    <w:rsid w:val="000D3D98"/>
    <w:rsid w:val="000D4490"/>
    <w:rsid w:val="000D5436"/>
    <w:rsid w:val="000D592D"/>
    <w:rsid w:val="000D6A5C"/>
    <w:rsid w:val="000E006D"/>
    <w:rsid w:val="000E0B5E"/>
    <w:rsid w:val="000E15E6"/>
    <w:rsid w:val="000E17C9"/>
    <w:rsid w:val="000E1E4D"/>
    <w:rsid w:val="000E38D1"/>
    <w:rsid w:val="000E3B3A"/>
    <w:rsid w:val="000E46D3"/>
    <w:rsid w:val="000E676E"/>
    <w:rsid w:val="000E7F77"/>
    <w:rsid w:val="000F0C00"/>
    <w:rsid w:val="000F1EDB"/>
    <w:rsid w:val="00100293"/>
    <w:rsid w:val="001007DD"/>
    <w:rsid w:val="0010363D"/>
    <w:rsid w:val="0010420A"/>
    <w:rsid w:val="00107574"/>
    <w:rsid w:val="00113E31"/>
    <w:rsid w:val="00114C50"/>
    <w:rsid w:val="001171A2"/>
    <w:rsid w:val="00123764"/>
    <w:rsid w:val="00124338"/>
    <w:rsid w:val="0012536B"/>
    <w:rsid w:val="00125CB0"/>
    <w:rsid w:val="00133D17"/>
    <w:rsid w:val="00133F46"/>
    <w:rsid w:val="001361FF"/>
    <w:rsid w:val="00137E70"/>
    <w:rsid w:val="0014342B"/>
    <w:rsid w:val="00146103"/>
    <w:rsid w:val="00151AF3"/>
    <w:rsid w:val="00153570"/>
    <w:rsid w:val="00161FA3"/>
    <w:rsid w:val="0016208E"/>
    <w:rsid w:val="00162E27"/>
    <w:rsid w:val="00173D80"/>
    <w:rsid w:val="001745AD"/>
    <w:rsid w:val="00180699"/>
    <w:rsid w:val="00181504"/>
    <w:rsid w:val="001815F1"/>
    <w:rsid w:val="00182F6B"/>
    <w:rsid w:val="00184232"/>
    <w:rsid w:val="0018492B"/>
    <w:rsid w:val="00185EBE"/>
    <w:rsid w:val="001862CF"/>
    <w:rsid w:val="001950D6"/>
    <w:rsid w:val="001953D6"/>
    <w:rsid w:val="001954FB"/>
    <w:rsid w:val="00196BB2"/>
    <w:rsid w:val="001A34E8"/>
    <w:rsid w:val="001A34F2"/>
    <w:rsid w:val="001A466B"/>
    <w:rsid w:val="001A7113"/>
    <w:rsid w:val="001A7D6A"/>
    <w:rsid w:val="001B056B"/>
    <w:rsid w:val="001B2137"/>
    <w:rsid w:val="001B4A02"/>
    <w:rsid w:val="001B74FE"/>
    <w:rsid w:val="001C0D10"/>
    <w:rsid w:val="001C1650"/>
    <w:rsid w:val="001C631E"/>
    <w:rsid w:val="001D1705"/>
    <w:rsid w:val="001D553B"/>
    <w:rsid w:val="001D647C"/>
    <w:rsid w:val="001E02D8"/>
    <w:rsid w:val="001E2D7E"/>
    <w:rsid w:val="001E31AB"/>
    <w:rsid w:val="001E49FA"/>
    <w:rsid w:val="001E650A"/>
    <w:rsid w:val="001E7238"/>
    <w:rsid w:val="001E797A"/>
    <w:rsid w:val="001F01C1"/>
    <w:rsid w:val="001F0B89"/>
    <w:rsid w:val="001F4172"/>
    <w:rsid w:val="001F6BE6"/>
    <w:rsid w:val="001F7BDF"/>
    <w:rsid w:val="002102FB"/>
    <w:rsid w:val="002112DA"/>
    <w:rsid w:val="002205FF"/>
    <w:rsid w:val="0022344D"/>
    <w:rsid w:val="002244D8"/>
    <w:rsid w:val="0022554A"/>
    <w:rsid w:val="00227EE7"/>
    <w:rsid w:val="002306E0"/>
    <w:rsid w:val="002311FB"/>
    <w:rsid w:val="00233EA4"/>
    <w:rsid w:val="002379A5"/>
    <w:rsid w:val="0024196E"/>
    <w:rsid w:val="00245274"/>
    <w:rsid w:val="00247357"/>
    <w:rsid w:val="00247552"/>
    <w:rsid w:val="00247703"/>
    <w:rsid w:val="00250188"/>
    <w:rsid w:val="00256FC9"/>
    <w:rsid w:val="00257087"/>
    <w:rsid w:val="00257C30"/>
    <w:rsid w:val="002607DA"/>
    <w:rsid w:val="00263877"/>
    <w:rsid w:val="00271CFB"/>
    <w:rsid w:val="00271FF6"/>
    <w:rsid w:val="00273F50"/>
    <w:rsid w:val="00274F8A"/>
    <w:rsid w:val="00276E24"/>
    <w:rsid w:val="00284927"/>
    <w:rsid w:val="0029031B"/>
    <w:rsid w:val="00290F52"/>
    <w:rsid w:val="0029139E"/>
    <w:rsid w:val="0029156D"/>
    <w:rsid w:val="00291D5D"/>
    <w:rsid w:val="00297DF5"/>
    <w:rsid w:val="002A2FFB"/>
    <w:rsid w:val="002A7130"/>
    <w:rsid w:val="002B10FB"/>
    <w:rsid w:val="002B1DB4"/>
    <w:rsid w:val="002B1E34"/>
    <w:rsid w:val="002B3125"/>
    <w:rsid w:val="002B47AD"/>
    <w:rsid w:val="002B7408"/>
    <w:rsid w:val="002C25A9"/>
    <w:rsid w:val="002C39E3"/>
    <w:rsid w:val="002C5ED2"/>
    <w:rsid w:val="002C63F0"/>
    <w:rsid w:val="002D093B"/>
    <w:rsid w:val="002D1613"/>
    <w:rsid w:val="002D2A0E"/>
    <w:rsid w:val="002D3503"/>
    <w:rsid w:val="002D572F"/>
    <w:rsid w:val="002D63F5"/>
    <w:rsid w:val="002D6E7C"/>
    <w:rsid w:val="002E12B0"/>
    <w:rsid w:val="002E1C10"/>
    <w:rsid w:val="002E2AAA"/>
    <w:rsid w:val="002E3BEF"/>
    <w:rsid w:val="002E4705"/>
    <w:rsid w:val="002E7074"/>
    <w:rsid w:val="002F1C5B"/>
    <w:rsid w:val="002F4283"/>
    <w:rsid w:val="002F43ED"/>
    <w:rsid w:val="002F7C22"/>
    <w:rsid w:val="0030054B"/>
    <w:rsid w:val="00300C22"/>
    <w:rsid w:val="0030285B"/>
    <w:rsid w:val="003048B7"/>
    <w:rsid w:val="00307C9E"/>
    <w:rsid w:val="00311050"/>
    <w:rsid w:val="003121D2"/>
    <w:rsid w:val="003126EC"/>
    <w:rsid w:val="003129F9"/>
    <w:rsid w:val="0031665B"/>
    <w:rsid w:val="003172E7"/>
    <w:rsid w:val="00320502"/>
    <w:rsid w:val="003218B8"/>
    <w:rsid w:val="00323950"/>
    <w:rsid w:val="003307ED"/>
    <w:rsid w:val="00337807"/>
    <w:rsid w:val="00337D8F"/>
    <w:rsid w:val="00340FD0"/>
    <w:rsid w:val="00341587"/>
    <w:rsid w:val="00342793"/>
    <w:rsid w:val="00352D47"/>
    <w:rsid w:val="00354DD0"/>
    <w:rsid w:val="0035608A"/>
    <w:rsid w:val="003562AF"/>
    <w:rsid w:val="0035711F"/>
    <w:rsid w:val="003610BA"/>
    <w:rsid w:val="00363E6D"/>
    <w:rsid w:val="00364386"/>
    <w:rsid w:val="00373B73"/>
    <w:rsid w:val="00375F31"/>
    <w:rsid w:val="003802BE"/>
    <w:rsid w:val="003829EE"/>
    <w:rsid w:val="00382DDB"/>
    <w:rsid w:val="00383ABB"/>
    <w:rsid w:val="003860C0"/>
    <w:rsid w:val="00386F6F"/>
    <w:rsid w:val="003966DA"/>
    <w:rsid w:val="003A0C0E"/>
    <w:rsid w:val="003A32D5"/>
    <w:rsid w:val="003A42B9"/>
    <w:rsid w:val="003A432F"/>
    <w:rsid w:val="003A74D3"/>
    <w:rsid w:val="003A7B15"/>
    <w:rsid w:val="003B0DD3"/>
    <w:rsid w:val="003B5757"/>
    <w:rsid w:val="003C560E"/>
    <w:rsid w:val="003C7B22"/>
    <w:rsid w:val="003C7C7A"/>
    <w:rsid w:val="003D24CF"/>
    <w:rsid w:val="003D33E1"/>
    <w:rsid w:val="003D52EE"/>
    <w:rsid w:val="003D7542"/>
    <w:rsid w:val="003D7C86"/>
    <w:rsid w:val="003E07B8"/>
    <w:rsid w:val="003E579D"/>
    <w:rsid w:val="004015B1"/>
    <w:rsid w:val="004020E4"/>
    <w:rsid w:val="004031E8"/>
    <w:rsid w:val="00405CF9"/>
    <w:rsid w:val="00406054"/>
    <w:rsid w:val="004077D1"/>
    <w:rsid w:val="004104A4"/>
    <w:rsid w:val="00415DBD"/>
    <w:rsid w:val="0042690C"/>
    <w:rsid w:val="00427E32"/>
    <w:rsid w:val="00430888"/>
    <w:rsid w:val="004319B8"/>
    <w:rsid w:val="004325A8"/>
    <w:rsid w:val="00433957"/>
    <w:rsid w:val="004346DE"/>
    <w:rsid w:val="00434E24"/>
    <w:rsid w:val="004427DB"/>
    <w:rsid w:val="0044329E"/>
    <w:rsid w:val="00450A48"/>
    <w:rsid w:val="00450D51"/>
    <w:rsid w:val="00451619"/>
    <w:rsid w:val="00452442"/>
    <w:rsid w:val="00454516"/>
    <w:rsid w:val="00460221"/>
    <w:rsid w:val="00463191"/>
    <w:rsid w:val="0046327E"/>
    <w:rsid w:val="004673BB"/>
    <w:rsid w:val="00472D8B"/>
    <w:rsid w:val="00474722"/>
    <w:rsid w:val="00475ED5"/>
    <w:rsid w:val="00477287"/>
    <w:rsid w:val="00477620"/>
    <w:rsid w:val="00477A41"/>
    <w:rsid w:val="00481EB5"/>
    <w:rsid w:val="00485518"/>
    <w:rsid w:val="00486715"/>
    <w:rsid w:val="00487E3B"/>
    <w:rsid w:val="0049091F"/>
    <w:rsid w:val="00490D22"/>
    <w:rsid w:val="004921A7"/>
    <w:rsid w:val="00494EB8"/>
    <w:rsid w:val="00497CFB"/>
    <w:rsid w:val="004A1228"/>
    <w:rsid w:val="004A295A"/>
    <w:rsid w:val="004A35CA"/>
    <w:rsid w:val="004A3DC9"/>
    <w:rsid w:val="004A6B6E"/>
    <w:rsid w:val="004B0D8D"/>
    <w:rsid w:val="004B0F9A"/>
    <w:rsid w:val="004B25A7"/>
    <w:rsid w:val="004B3648"/>
    <w:rsid w:val="004B4208"/>
    <w:rsid w:val="004B4D40"/>
    <w:rsid w:val="004B4F68"/>
    <w:rsid w:val="004B5646"/>
    <w:rsid w:val="004B5BB1"/>
    <w:rsid w:val="004B5E56"/>
    <w:rsid w:val="004B64CF"/>
    <w:rsid w:val="004C069F"/>
    <w:rsid w:val="004C189A"/>
    <w:rsid w:val="004C372C"/>
    <w:rsid w:val="004C3A2C"/>
    <w:rsid w:val="004D2391"/>
    <w:rsid w:val="004D2D7C"/>
    <w:rsid w:val="004D3B71"/>
    <w:rsid w:val="004D3E9A"/>
    <w:rsid w:val="004D4413"/>
    <w:rsid w:val="004E135A"/>
    <w:rsid w:val="004E168D"/>
    <w:rsid w:val="004E238D"/>
    <w:rsid w:val="004E3386"/>
    <w:rsid w:val="004E63B4"/>
    <w:rsid w:val="004E762C"/>
    <w:rsid w:val="004F05CE"/>
    <w:rsid w:val="004F315C"/>
    <w:rsid w:val="004F6E4C"/>
    <w:rsid w:val="00500138"/>
    <w:rsid w:val="0050311A"/>
    <w:rsid w:val="005032E9"/>
    <w:rsid w:val="00506BD9"/>
    <w:rsid w:val="00506F1D"/>
    <w:rsid w:val="0051187B"/>
    <w:rsid w:val="00516A41"/>
    <w:rsid w:val="00521931"/>
    <w:rsid w:val="0052460F"/>
    <w:rsid w:val="00525BE3"/>
    <w:rsid w:val="0052676B"/>
    <w:rsid w:val="00526E39"/>
    <w:rsid w:val="00534DEA"/>
    <w:rsid w:val="0053726D"/>
    <w:rsid w:val="00537917"/>
    <w:rsid w:val="00540B71"/>
    <w:rsid w:val="00542DB8"/>
    <w:rsid w:val="005433FC"/>
    <w:rsid w:val="00546273"/>
    <w:rsid w:val="00546DFE"/>
    <w:rsid w:val="00550C39"/>
    <w:rsid w:val="00551158"/>
    <w:rsid w:val="005549D3"/>
    <w:rsid w:val="0055667A"/>
    <w:rsid w:val="00557132"/>
    <w:rsid w:val="0056290B"/>
    <w:rsid w:val="00563191"/>
    <w:rsid w:val="005660AF"/>
    <w:rsid w:val="00566EFC"/>
    <w:rsid w:val="00570623"/>
    <w:rsid w:val="005712B1"/>
    <w:rsid w:val="00573D24"/>
    <w:rsid w:val="005758E7"/>
    <w:rsid w:val="0057595B"/>
    <w:rsid w:val="0057619B"/>
    <w:rsid w:val="00577600"/>
    <w:rsid w:val="0058381C"/>
    <w:rsid w:val="00583992"/>
    <w:rsid w:val="00584A46"/>
    <w:rsid w:val="00597B50"/>
    <w:rsid w:val="005A570A"/>
    <w:rsid w:val="005A64DC"/>
    <w:rsid w:val="005B0B28"/>
    <w:rsid w:val="005B1F0C"/>
    <w:rsid w:val="005B2D45"/>
    <w:rsid w:val="005B3130"/>
    <w:rsid w:val="005C0493"/>
    <w:rsid w:val="005C0EC1"/>
    <w:rsid w:val="005C4928"/>
    <w:rsid w:val="005C4959"/>
    <w:rsid w:val="005C7B87"/>
    <w:rsid w:val="005D1AE7"/>
    <w:rsid w:val="005D4DBD"/>
    <w:rsid w:val="005D5FEF"/>
    <w:rsid w:val="005D6DB5"/>
    <w:rsid w:val="005E19AF"/>
    <w:rsid w:val="005E3D1E"/>
    <w:rsid w:val="005E5EFE"/>
    <w:rsid w:val="005F325F"/>
    <w:rsid w:val="005F48F4"/>
    <w:rsid w:val="005F5C2D"/>
    <w:rsid w:val="005F6B6E"/>
    <w:rsid w:val="006005AA"/>
    <w:rsid w:val="0060206C"/>
    <w:rsid w:val="006029A9"/>
    <w:rsid w:val="00606BB1"/>
    <w:rsid w:val="00613E11"/>
    <w:rsid w:val="00615DBC"/>
    <w:rsid w:val="00622B40"/>
    <w:rsid w:val="00623644"/>
    <w:rsid w:val="00630BB8"/>
    <w:rsid w:val="00641BF2"/>
    <w:rsid w:val="006430DD"/>
    <w:rsid w:val="006442EA"/>
    <w:rsid w:val="00650140"/>
    <w:rsid w:val="0065359C"/>
    <w:rsid w:val="00654969"/>
    <w:rsid w:val="00655F0E"/>
    <w:rsid w:val="00657752"/>
    <w:rsid w:val="00660B86"/>
    <w:rsid w:val="00661198"/>
    <w:rsid w:val="00664276"/>
    <w:rsid w:val="00665BC7"/>
    <w:rsid w:val="00670DBC"/>
    <w:rsid w:val="006732E2"/>
    <w:rsid w:val="00674670"/>
    <w:rsid w:val="00676527"/>
    <w:rsid w:val="00680548"/>
    <w:rsid w:val="006814DC"/>
    <w:rsid w:val="0068157B"/>
    <w:rsid w:val="00681F19"/>
    <w:rsid w:val="006829C6"/>
    <w:rsid w:val="00690FC9"/>
    <w:rsid w:val="00691924"/>
    <w:rsid w:val="006937B8"/>
    <w:rsid w:val="0069506F"/>
    <w:rsid w:val="00697AA2"/>
    <w:rsid w:val="006A124D"/>
    <w:rsid w:val="006A525F"/>
    <w:rsid w:val="006A6D16"/>
    <w:rsid w:val="006B4B20"/>
    <w:rsid w:val="006B4FF2"/>
    <w:rsid w:val="006C202E"/>
    <w:rsid w:val="006C23E3"/>
    <w:rsid w:val="006C3DF2"/>
    <w:rsid w:val="006C7C9A"/>
    <w:rsid w:val="006D1A68"/>
    <w:rsid w:val="006D29CB"/>
    <w:rsid w:val="006D529A"/>
    <w:rsid w:val="006D58B0"/>
    <w:rsid w:val="006E3913"/>
    <w:rsid w:val="006E4AD2"/>
    <w:rsid w:val="006E4C9E"/>
    <w:rsid w:val="006E7486"/>
    <w:rsid w:val="006F28C7"/>
    <w:rsid w:val="007001A1"/>
    <w:rsid w:val="00707FE7"/>
    <w:rsid w:val="0071279F"/>
    <w:rsid w:val="00714600"/>
    <w:rsid w:val="00714884"/>
    <w:rsid w:val="007209B2"/>
    <w:rsid w:val="007230C8"/>
    <w:rsid w:val="00723311"/>
    <w:rsid w:val="0072423D"/>
    <w:rsid w:val="00724552"/>
    <w:rsid w:val="00726635"/>
    <w:rsid w:val="00726985"/>
    <w:rsid w:val="0072749E"/>
    <w:rsid w:val="0072789C"/>
    <w:rsid w:val="00727CE9"/>
    <w:rsid w:val="00737FE7"/>
    <w:rsid w:val="00740E86"/>
    <w:rsid w:val="00741C93"/>
    <w:rsid w:val="007423F7"/>
    <w:rsid w:val="00743339"/>
    <w:rsid w:val="00743649"/>
    <w:rsid w:val="00743919"/>
    <w:rsid w:val="00746857"/>
    <w:rsid w:val="00753687"/>
    <w:rsid w:val="00762857"/>
    <w:rsid w:val="00764D6B"/>
    <w:rsid w:val="0077006B"/>
    <w:rsid w:val="007719A2"/>
    <w:rsid w:val="00771E45"/>
    <w:rsid w:val="007720AC"/>
    <w:rsid w:val="0077283C"/>
    <w:rsid w:val="0078148A"/>
    <w:rsid w:val="00782305"/>
    <w:rsid w:val="00783210"/>
    <w:rsid w:val="007835AB"/>
    <w:rsid w:val="007864B5"/>
    <w:rsid w:val="007879F7"/>
    <w:rsid w:val="00791B69"/>
    <w:rsid w:val="00792B23"/>
    <w:rsid w:val="00795FC0"/>
    <w:rsid w:val="007A0F60"/>
    <w:rsid w:val="007A26BB"/>
    <w:rsid w:val="007A4EBA"/>
    <w:rsid w:val="007B2328"/>
    <w:rsid w:val="007B2C3D"/>
    <w:rsid w:val="007B31B9"/>
    <w:rsid w:val="007B4260"/>
    <w:rsid w:val="007D1793"/>
    <w:rsid w:val="007E0800"/>
    <w:rsid w:val="007E0ACF"/>
    <w:rsid w:val="007E141E"/>
    <w:rsid w:val="007E2856"/>
    <w:rsid w:val="007E7DEF"/>
    <w:rsid w:val="007F17CC"/>
    <w:rsid w:val="007F3AD4"/>
    <w:rsid w:val="007F5F42"/>
    <w:rsid w:val="007F7313"/>
    <w:rsid w:val="008011E7"/>
    <w:rsid w:val="008015A3"/>
    <w:rsid w:val="0080210C"/>
    <w:rsid w:val="0080226B"/>
    <w:rsid w:val="00811767"/>
    <w:rsid w:val="00813C8C"/>
    <w:rsid w:val="00814211"/>
    <w:rsid w:val="00821832"/>
    <w:rsid w:val="008241B9"/>
    <w:rsid w:val="008248E5"/>
    <w:rsid w:val="00827881"/>
    <w:rsid w:val="00830C54"/>
    <w:rsid w:val="00833624"/>
    <w:rsid w:val="00834454"/>
    <w:rsid w:val="00836C69"/>
    <w:rsid w:val="008408A7"/>
    <w:rsid w:val="00841D29"/>
    <w:rsid w:val="00847D69"/>
    <w:rsid w:val="00851504"/>
    <w:rsid w:val="008518E3"/>
    <w:rsid w:val="008528AB"/>
    <w:rsid w:val="00852C8A"/>
    <w:rsid w:val="00854673"/>
    <w:rsid w:val="00855DAD"/>
    <w:rsid w:val="00862FD5"/>
    <w:rsid w:val="00867424"/>
    <w:rsid w:val="00874900"/>
    <w:rsid w:val="008755E4"/>
    <w:rsid w:val="0087596D"/>
    <w:rsid w:val="008778C0"/>
    <w:rsid w:val="00882CC9"/>
    <w:rsid w:val="008831E9"/>
    <w:rsid w:val="00885B91"/>
    <w:rsid w:val="008921FC"/>
    <w:rsid w:val="008A2C3F"/>
    <w:rsid w:val="008A7D80"/>
    <w:rsid w:val="008B03B0"/>
    <w:rsid w:val="008B2EA3"/>
    <w:rsid w:val="008B34E4"/>
    <w:rsid w:val="008B4681"/>
    <w:rsid w:val="008B687E"/>
    <w:rsid w:val="008B7314"/>
    <w:rsid w:val="008B74E3"/>
    <w:rsid w:val="008C3001"/>
    <w:rsid w:val="008C5FE2"/>
    <w:rsid w:val="008C650D"/>
    <w:rsid w:val="008D10E1"/>
    <w:rsid w:val="008D7D20"/>
    <w:rsid w:val="008E0A9C"/>
    <w:rsid w:val="008E4D38"/>
    <w:rsid w:val="008E7CA1"/>
    <w:rsid w:val="008F243D"/>
    <w:rsid w:val="008F6426"/>
    <w:rsid w:val="008F694C"/>
    <w:rsid w:val="00901ED6"/>
    <w:rsid w:val="0090308D"/>
    <w:rsid w:val="00904B80"/>
    <w:rsid w:val="00905291"/>
    <w:rsid w:val="00905C6D"/>
    <w:rsid w:val="00906CD4"/>
    <w:rsid w:val="009111C3"/>
    <w:rsid w:val="009134F6"/>
    <w:rsid w:val="009145F0"/>
    <w:rsid w:val="009211D2"/>
    <w:rsid w:val="00922EFD"/>
    <w:rsid w:val="00923745"/>
    <w:rsid w:val="00925ED9"/>
    <w:rsid w:val="00927792"/>
    <w:rsid w:val="0094298E"/>
    <w:rsid w:val="00942B99"/>
    <w:rsid w:val="009513FA"/>
    <w:rsid w:val="009563D6"/>
    <w:rsid w:val="00957AAE"/>
    <w:rsid w:val="0096378B"/>
    <w:rsid w:val="00963D21"/>
    <w:rsid w:val="00964711"/>
    <w:rsid w:val="009653CD"/>
    <w:rsid w:val="00970886"/>
    <w:rsid w:val="00972F84"/>
    <w:rsid w:val="00980A43"/>
    <w:rsid w:val="00980BCC"/>
    <w:rsid w:val="009810BE"/>
    <w:rsid w:val="009822D8"/>
    <w:rsid w:val="0098364D"/>
    <w:rsid w:val="00983F41"/>
    <w:rsid w:val="0099134A"/>
    <w:rsid w:val="00991972"/>
    <w:rsid w:val="009925A1"/>
    <w:rsid w:val="00992C0E"/>
    <w:rsid w:val="009978F9"/>
    <w:rsid w:val="009A67FC"/>
    <w:rsid w:val="009B3B41"/>
    <w:rsid w:val="009B7598"/>
    <w:rsid w:val="009C280F"/>
    <w:rsid w:val="009C2FF4"/>
    <w:rsid w:val="009C4468"/>
    <w:rsid w:val="009C46A2"/>
    <w:rsid w:val="009C57B8"/>
    <w:rsid w:val="009C71DF"/>
    <w:rsid w:val="009C729A"/>
    <w:rsid w:val="009C7792"/>
    <w:rsid w:val="009C7888"/>
    <w:rsid w:val="009D1481"/>
    <w:rsid w:val="009D3189"/>
    <w:rsid w:val="009D76DF"/>
    <w:rsid w:val="009E023C"/>
    <w:rsid w:val="009E193D"/>
    <w:rsid w:val="009E3AA6"/>
    <w:rsid w:val="009E4DD2"/>
    <w:rsid w:val="009F04CB"/>
    <w:rsid w:val="009F12DB"/>
    <w:rsid w:val="009F1E8E"/>
    <w:rsid w:val="009F2D6A"/>
    <w:rsid w:val="009F3541"/>
    <w:rsid w:val="009F3BC9"/>
    <w:rsid w:val="009F3BF0"/>
    <w:rsid w:val="009F65F3"/>
    <w:rsid w:val="00A04D1D"/>
    <w:rsid w:val="00A054F0"/>
    <w:rsid w:val="00A05895"/>
    <w:rsid w:val="00A0696D"/>
    <w:rsid w:val="00A103BE"/>
    <w:rsid w:val="00A1671C"/>
    <w:rsid w:val="00A20B8A"/>
    <w:rsid w:val="00A347AE"/>
    <w:rsid w:val="00A42CFC"/>
    <w:rsid w:val="00A47018"/>
    <w:rsid w:val="00A511D4"/>
    <w:rsid w:val="00A5163B"/>
    <w:rsid w:val="00A5236A"/>
    <w:rsid w:val="00A525C0"/>
    <w:rsid w:val="00A5288E"/>
    <w:rsid w:val="00A54C9C"/>
    <w:rsid w:val="00A56D1A"/>
    <w:rsid w:val="00A6029C"/>
    <w:rsid w:val="00A6398B"/>
    <w:rsid w:val="00A6714C"/>
    <w:rsid w:val="00A67631"/>
    <w:rsid w:val="00A70479"/>
    <w:rsid w:val="00A709D6"/>
    <w:rsid w:val="00A7466F"/>
    <w:rsid w:val="00A8331B"/>
    <w:rsid w:val="00A84357"/>
    <w:rsid w:val="00A91246"/>
    <w:rsid w:val="00A9189E"/>
    <w:rsid w:val="00A92189"/>
    <w:rsid w:val="00A92A04"/>
    <w:rsid w:val="00A9455E"/>
    <w:rsid w:val="00A950DB"/>
    <w:rsid w:val="00A95D77"/>
    <w:rsid w:val="00AA3176"/>
    <w:rsid w:val="00AA7282"/>
    <w:rsid w:val="00AB0AFB"/>
    <w:rsid w:val="00AB148F"/>
    <w:rsid w:val="00AB1632"/>
    <w:rsid w:val="00AB215F"/>
    <w:rsid w:val="00AB351D"/>
    <w:rsid w:val="00AB4D45"/>
    <w:rsid w:val="00AC1683"/>
    <w:rsid w:val="00AD0553"/>
    <w:rsid w:val="00AD1EE4"/>
    <w:rsid w:val="00AD2732"/>
    <w:rsid w:val="00AD2C23"/>
    <w:rsid w:val="00AD2D48"/>
    <w:rsid w:val="00AD32F3"/>
    <w:rsid w:val="00AD3EC3"/>
    <w:rsid w:val="00AD6DB2"/>
    <w:rsid w:val="00AD77C4"/>
    <w:rsid w:val="00AE0EBF"/>
    <w:rsid w:val="00AE1341"/>
    <w:rsid w:val="00AE27E5"/>
    <w:rsid w:val="00AE3BD8"/>
    <w:rsid w:val="00AE5730"/>
    <w:rsid w:val="00AF0354"/>
    <w:rsid w:val="00AF09D5"/>
    <w:rsid w:val="00AF10E1"/>
    <w:rsid w:val="00AF2917"/>
    <w:rsid w:val="00AF4675"/>
    <w:rsid w:val="00AF4A32"/>
    <w:rsid w:val="00AF5295"/>
    <w:rsid w:val="00AF6169"/>
    <w:rsid w:val="00AF6D62"/>
    <w:rsid w:val="00B000FE"/>
    <w:rsid w:val="00B07550"/>
    <w:rsid w:val="00B078DE"/>
    <w:rsid w:val="00B11801"/>
    <w:rsid w:val="00B122BB"/>
    <w:rsid w:val="00B12789"/>
    <w:rsid w:val="00B17C40"/>
    <w:rsid w:val="00B200AA"/>
    <w:rsid w:val="00B232CD"/>
    <w:rsid w:val="00B237C3"/>
    <w:rsid w:val="00B23B4D"/>
    <w:rsid w:val="00B240BC"/>
    <w:rsid w:val="00B26C07"/>
    <w:rsid w:val="00B30DAA"/>
    <w:rsid w:val="00B31F51"/>
    <w:rsid w:val="00B36072"/>
    <w:rsid w:val="00B42492"/>
    <w:rsid w:val="00B44C8D"/>
    <w:rsid w:val="00B461E0"/>
    <w:rsid w:val="00B46D0B"/>
    <w:rsid w:val="00B47E94"/>
    <w:rsid w:val="00B5395C"/>
    <w:rsid w:val="00B54465"/>
    <w:rsid w:val="00B64D4A"/>
    <w:rsid w:val="00B679C5"/>
    <w:rsid w:val="00B709AB"/>
    <w:rsid w:val="00B718D2"/>
    <w:rsid w:val="00B743CD"/>
    <w:rsid w:val="00B76D46"/>
    <w:rsid w:val="00B82BAD"/>
    <w:rsid w:val="00B83BF0"/>
    <w:rsid w:val="00B84026"/>
    <w:rsid w:val="00B858FE"/>
    <w:rsid w:val="00B86E62"/>
    <w:rsid w:val="00B92337"/>
    <w:rsid w:val="00B927AC"/>
    <w:rsid w:val="00B929C0"/>
    <w:rsid w:val="00B94EF0"/>
    <w:rsid w:val="00BA0A2C"/>
    <w:rsid w:val="00BA1F54"/>
    <w:rsid w:val="00BA35CF"/>
    <w:rsid w:val="00BB3B44"/>
    <w:rsid w:val="00BB3B5B"/>
    <w:rsid w:val="00BB5604"/>
    <w:rsid w:val="00BC3238"/>
    <w:rsid w:val="00BC368B"/>
    <w:rsid w:val="00BC3D7F"/>
    <w:rsid w:val="00BC3FAC"/>
    <w:rsid w:val="00BC5267"/>
    <w:rsid w:val="00BC7F1A"/>
    <w:rsid w:val="00BD01D6"/>
    <w:rsid w:val="00BD05A1"/>
    <w:rsid w:val="00BD14AC"/>
    <w:rsid w:val="00BD1EB1"/>
    <w:rsid w:val="00BE0C41"/>
    <w:rsid w:val="00BE3F5C"/>
    <w:rsid w:val="00BE6BB6"/>
    <w:rsid w:val="00BE6C97"/>
    <w:rsid w:val="00BF4DD8"/>
    <w:rsid w:val="00BF5727"/>
    <w:rsid w:val="00BF5E4A"/>
    <w:rsid w:val="00C00ADE"/>
    <w:rsid w:val="00C03581"/>
    <w:rsid w:val="00C04A30"/>
    <w:rsid w:val="00C0777B"/>
    <w:rsid w:val="00C07E0F"/>
    <w:rsid w:val="00C103BB"/>
    <w:rsid w:val="00C126F0"/>
    <w:rsid w:val="00C12899"/>
    <w:rsid w:val="00C14136"/>
    <w:rsid w:val="00C15B80"/>
    <w:rsid w:val="00C1736B"/>
    <w:rsid w:val="00C220D2"/>
    <w:rsid w:val="00C22DCF"/>
    <w:rsid w:val="00C24C4F"/>
    <w:rsid w:val="00C27B52"/>
    <w:rsid w:val="00C3022E"/>
    <w:rsid w:val="00C30CCC"/>
    <w:rsid w:val="00C3168B"/>
    <w:rsid w:val="00C35DB5"/>
    <w:rsid w:val="00C37A90"/>
    <w:rsid w:val="00C37ED3"/>
    <w:rsid w:val="00C41D59"/>
    <w:rsid w:val="00C445B6"/>
    <w:rsid w:val="00C574F3"/>
    <w:rsid w:val="00C60C4A"/>
    <w:rsid w:val="00C63C3B"/>
    <w:rsid w:val="00C662BC"/>
    <w:rsid w:val="00C662DA"/>
    <w:rsid w:val="00C6794B"/>
    <w:rsid w:val="00C70294"/>
    <w:rsid w:val="00C70D7C"/>
    <w:rsid w:val="00C73788"/>
    <w:rsid w:val="00C744BD"/>
    <w:rsid w:val="00C750F4"/>
    <w:rsid w:val="00C777F5"/>
    <w:rsid w:val="00C804D4"/>
    <w:rsid w:val="00C84317"/>
    <w:rsid w:val="00C8597E"/>
    <w:rsid w:val="00C86535"/>
    <w:rsid w:val="00C874C6"/>
    <w:rsid w:val="00C87C90"/>
    <w:rsid w:val="00C92EA4"/>
    <w:rsid w:val="00C94874"/>
    <w:rsid w:val="00C94E98"/>
    <w:rsid w:val="00C958EB"/>
    <w:rsid w:val="00CA2924"/>
    <w:rsid w:val="00CA34A3"/>
    <w:rsid w:val="00CA5696"/>
    <w:rsid w:val="00CA58EE"/>
    <w:rsid w:val="00CA5F7B"/>
    <w:rsid w:val="00CA68CA"/>
    <w:rsid w:val="00CA718B"/>
    <w:rsid w:val="00CB0B38"/>
    <w:rsid w:val="00CB4D98"/>
    <w:rsid w:val="00CC1340"/>
    <w:rsid w:val="00CC408A"/>
    <w:rsid w:val="00CC4139"/>
    <w:rsid w:val="00CC4C19"/>
    <w:rsid w:val="00CC5FE2"/>
    <w:rsid w:val="00CD5433"/>
    <w:rsid w:val="00CE4B50"/>
    <w:rsid w:val="00CF102D"/>
    <w:rsid w:val="00CF2999"/>
    <w:rsid w:val="00CF2CBA"/>
    <w:rsid w:val="00CF42A6"/>
    <w:rsid w:val="00CF6FF8"/>
    <w:rsid w:val="00D00118"/>
    <w:rsid w:val="00D0187D"/>
    <w:rsid w:val="00D01C52"/>
    <w:rsid w:val="00D04E7A"/>
    <w:rsid w:val="00D0513B"/>
    <w:rsid w:val="00D10F14"/>
    <w:rsid w:val="00D11DE4"/>
    <w:rsid w:val="00D171D6"/>
    <w:rsid w:val="00D245E6"/>
    <w:rsid w:val="00D267C4"/>
    <w:rsid w:val="00D30C17"/>
    <w:rsid w:val="00D33BEB"/>
    <w:rsid w:val="00D3662D"/>
    <w:rsid w:val="00D43742"/>
    <w:rsid w:val="00D44F2A"/>
    <w:rsid w:val="00D46A9A"/>
    <w:rsid w:val="00D46FAC"/>
    <w:rsid w:val="00D50092"/>
    <w:rsid w:val="00D5129A"/>
    <w:rsid w:val="00D51743"/>
    <w:rsid w:val="00D53D2C"/>
    <w:rsid w:val="00D56794"/>
    <w:rsid w:val="00D6011F"/>
    <w:rsid w:val="00D61ADC"/>
    <w:rsid w:val="00D64683"/>
    <w:rsid w:val="00D70EAB"/>
    <w:rsid w:val="00D71D18"/>
    <w:rsid w:val="00D75A73"/>
    <w:rsid w:val="00D7784E"/>
    <w:rsid w:val="00D80882"/>
    <w:rsid w:val="00D8253F"/>
    <w:rsid w:val="00D82849"/>
    <w:rsid w:val="00D85F14"/>
    <w:rsid w:val="00D926E8"/>
    <w:rsid w:val="00D961DB"/>
    <w:rsid w:val="00D96DE3"/>
    <w:rsid w:val="00D97051"/>
    <w:rsid w:val="00D97CEE"/>
    <w:rsid w:val="00DA2CC1"/>
    <w:rsid w:val="00DA3912"/>
    <w:rsid w:val="00DA6D0E"/>
    <w:rsid w:val="00DB20B7"/>
    <w:rsid w:val="00DB37D1"/>
    <w:rsid w:val="00DB654E"/>
    <w:rsid w:val="00DC0D1D"/>
    <w:rsid w:val="00DC0FAA"/>
    <w:rsid w:val="00DC1807"/>
    <w:rsid w:val="00DC3848"/>
    <w:rsid w:val="00DC6035"/>
    <w:rsid w:val="00DC6747"/>
    <w:rsid w:val="00DC7F20"/>
    <w:rsid w:val="00DD1B9E"/>
    <w:rsid w:val="00DE0AAF"/>
    <w:rsid w:val="00DE1F17"/>
    <w:rsid w:val="00DE4063"/>
    <w:rsid w:val="00DE40DA"/>
    <w:rsid w:val="00DE7214"/>
    <w:rsid w:val="00DF0DB9"/>
    <w:rsid w:val="00DF15BF"/>
    <w:rsid w:val="00DF33B5"/>
    <w:rsid w:val="00DF33CA"/>
    <w:rsid w:val="00DF3C26"/>
    <w:rsid w:val="00DF5D4E"/>
    <w:rsid w:val="00DF5F8A"/>
    <w:rsid w:val="00E04B76"/>
    <w:rsid w:val="00E04D3E"/>
    <w:rsid w:val="00E065BF"/>
    <w:rsid w:val="00E07239"/>
    <w:rsid w:val="00E11F1D"/>
    <w:rsid w:val="00E12ECB"/>
    <w:rsid w:val="00E138C9"/>
    <w:rsid w:val="00E222EA"/>
    <w:rsid w:val="00E231A4"/>
    <w:rsid w:val="00E25AB7"/>
    <w:rsid w:val="00E25F7B"/>
    <w:rsid w:val="00E308DF"/>
    <w:rsid w:val="00E32349"/>
    <w:rsid w:val="00E35457"/>
    <w:rsid w:val="00E3572F"/>
    <w:rsid w:val="00E35F03"/>
    <w:rsid w:val="00E35F2E"/>
    <w:rsid w:val="00E36227"/>
    <w:rsid w:val="00E372F9"/>
    <w:rsid w:val="00E45656"/>
    <w:rsid w:val="00E514B2"/>
    <w:rsid w:val="00E6024C"/>
    <w:rsid w:val="00E60858"/>
    <w:rsid w:val="00E664E3"/>
    <w:rsid w:val="00E67CF2"/>
    <w:rsid w:val="00E67DB6"/>
    <w:rsid w:val="00E739AA"/>
    <w:rsid w:val="00E77C64"/>
    <w:rsid w:val="00E77F80"/>
    <w:rsid w:val="00E80899"/>
    <w:rsid w:val="00E817E2"/>
    <w:rsid w:val="00E944D3"/>
    <w:rsid w:val="00EA00DA"/>
    <w:rsid w:val="00EA035B"/>
    <w:rsid w:val="00EA1863"/>
    <w:rsid w:val="00EA2E73"/>
    <w:rsid w:val="00EA4847"/>
    <w:rsid w:val="00EA6B0F"/>
    <w:rsid w:val="00EB09D8"/>
    <w:rsid w:val="00EB0DF3"/>
    <w:rsid w:val="00EB10E6"/>
    <w:rsid w:val="00EB3629"/>
    <w:rsid w:val="00EB3FA2"/>
    <w:rsid w:val="00EB7741"/>
    <w:rsid w:val="00EC0DCF"/>
    <w:rsid w:val="00EC508C"/>
    <w:rsid w:val="00EC798F"/>
    <w:rsid w:val="00EC7C74"/>
    <w:rsid w:val="00ED702C"/>
    <w:rsid w:val="00ED7F45"/>
    <w:rsid w:val="00EE032D"/>
    <w:rsid w:val="00EE4079"/>
    <w:rsid w:val="00EE4107"/>
    <w:rsid w:val="00EE43AD"/>
    <w:rsid w:val="00EE4C7B"/>
    <w:rsid w:val="00EE5829"/>
    <w:rsid w:val="00EE6953"/>
    <w:rsid w:val="00EF068B"/>
    <w:rsid w:val="00EF1A86"/>
    <w:rsid w:val="00EF29B5"/>
    <w:rsid w:val="00EF399E"/>
    <w:rsid w:val="00EF7BE4"/>
    <w:rsid w:val="00F01161"/>
    <w:rsid w:val="00F036EE"/>
    <w:rsid w:val="00F069D7"/>
    <w:rsid w:val="00F07391"/>
    <w:rsid w:val="00F11263"/>
    <w:rsid w:val="00F117A7"/>
    <w:rsid w:val="00F12E78"/>
    <w:rsid w:val="00F1355E"/>
    <w:rsid w:val="00F13B0E"/>
    <w:rsid w:val="00F1453D"/>
    <w:rsid w:val="00F17770"/>
    <w:rsid w:val="00F211B5"/>
    <w:rsid w:val="00F2188E"/>
    <w:rsid w:val="00F27D9E"/>
    <w:rsid w:val="00F33F73"/>
    <w:rsid w:val="00F3670D"/>
    <w:rsid w:val="00F47A39"/>
    <w:rsid w:val="00F52251"/>
    <w:rsid w:val="00F554AC"/>
    <w:rsid w:val="00F55AA9"/>
    <w:rsid w:val="00F568DA"/>
    <w:rsid w:val="00F626D0"/>
    <w:rsid w:val="00F64F40"/>
    <w:rsid w:val="00F728C4"/>
    <w:rsid w:val="00F72914"/>
    <w:rsid w:val="00F76884"/>
    <w:rsid w:val="00F80277"/>
    <w:rsid w:val="00F816C0"/>
    <w:rsid w:val="00F81999"/>
    <w:rsid w:val="00F81AC9"/>
    <w:rsid w:val="00F83DEC"/>
    <w:rsid w:val="00F85234"/>
    <w:rsid w:val="00F85C6C"/>
    <w:rsid w:val="00F86A1E"/>
    <w:rsid w:val="00F906C1"/>
    <w:rsid w:val="00FA0A6D"/>
    <w:rsid w:val="00FA13A8"/>
    <w:rsid w:val="00FA36CF"/>
    <w:rsid w:val="00FA7934"/>
    <w:rsid w:val="00FB2984"/>
    <w:rsid w:val="00FB4C93"/>
    <w:rsid w:val="00FB59F3"/>
    <w:rsid w:val="00FB6440"/>
    <w:rsid w:val="00FC0A7B"/>
    <w:rsid w:val="00FC260C"/>
    <w:rsid w:val="00FC3C31"/>
    <w:rsid w:val="00FC3EB7"/>
    <w:rsid w:val="00FC496F"/>
    <w:rsid w:val="00FC5E78"/>
    <w:rsid w:val="00FC6B27"/>
    <w:rsid w:val="00FD180A"/>
    <w:rsid w:val="00FD4A69"/>
    <w:rsid w:val="00FD6544"/>
    <w:rsid w:val="00FE01C4"/>
    <w:rsid w:val="00FE3D4B"/>
    <w:rsid w:val="00FE3F55"/>
    <w:rsid w:val="00FE5350"/>
    <w:rsid w:val="00FE5F85"/>
    <w:rsid w:val="00FF190B"/>
    <w:rsid w:val="00FF721F"/>
    <w:rsid w:val="00FF78A9"/>
    <w:rsid w:val="010066D7"/>
    <w:rsid w:val="01066A48"/>
    <w:rsid w:val="014B09B3"/>
    <w:rsid w:val="016245C6"/>
    <w:rsid w:val="017A03FF"/>
    <w:rsid w:val="018C2D6F"/>
    <w:rsid w:val="01A53BAE"/>
    <w:rsid w:val="01AE7F7F"/>
    <w:rsid w:val="01B85F94"/>
    <w:rsid w:val="01C31DE3"/>
    <w:rsid w:val="01C73ACA"/>
    <w:rsid w:val="01CB3B72"/>
    <w:rsid w:val="01D54D98"/>
    <w:rsid w:val="0211370D"/>
    <w:rsid w:val="02153712"/>
    <w:rsid w:val="021763A5"/>
    <w:rsid w:val="02583232"/>
    <w:rsid w:val="027D71DE"/>
    <w:rsid w:val="02A06262"/>
    <w:rsid w:val="02D5125F"/>
    <w:rsid w:val="02E66974"/>
    <w:rsid w:val="02F1679D"/>
    <w:rsid w:val="03254437"/>
    <w:rsid w:val="032B0DB4"/>
    <w:rsid w:val="03393105"/>
    <w:rsid w:val="03630182"/>
    <w:rsid w:val="03822CFE"/>
    <w:rsid w:val="038720C2"/>
    <w:rsid w:val="038C7D5B"/>
    <w:rsid w:val="03942A31"/>
    <w:rsid w:val="039667A9"/>
    <w:rsid w:val="03B52E7E"/>
    <w:rsid w:val="03D30FD1"/>
    <w:rsid w:val="0403310B"/>
    <w:rsid w:val="04144E96"/>
    <w:rsid w:val="043525B3"/>
    <w:rsid w:val="044C28CC"/>
    <w:rsid w:val="048312FC"/>
    <w:rsid w:val="048D45BB"/>
    <w:rsid w:val="049700B1"/>
    <w:rsid w:val="04BB1403"/>
    <w:rsid w:val="05025778"/>
    <w:rsid w:val="051F322E"/>
    <w:rsid w:val="05262314"/>
    <w:rsid w:val="053E2C54"/>
    <w:rsid w:val="054248F2"/>
    <w:rsid w:val="055F06BF"/>
    <w:rsid w:val="05616943"/>
    <w:rsid w:val="059874F0"/>
    <w:rsid w:val="05DB1C9B"/>
    <w:rsid w:val="05F2736F"/>
    <w:rsid w:val="06145C5B"/>
    <w:rsid w:val="06150C97"/>
    <w:rsid w:val="06283BF8"/>
    <w:rsid w:val="06450D30"/>
    <w:rsid w:val="065536A0"/>
    <w:rsid w:val="066A7082"/>
    <w:rsid w:val="068C5C42"/>
    <w:rsid w:val="06A25465"/>
    <w:rsid w:val="06D50540"/>
    <w:rsid w:val="06D80E87"/>
    <w:rsid w:val="06E11AE9"/>
    <w:rsid w:val="06E20CCA"/>
    <w:rsid w:val="06E339A6"/>
    <w:rsid w:val="06E72E78"/>
    <w:rsid w:val="06F80746"/>
    <w:rsid w:val="072D4912"/>
    <w:rsid w:val="0732777C"/>
    <w:rsid w:val="0735752F"/>
    <w:rsid w:val="074A3719"/>
    <w:rsid w:val="075C5614"/>
    <w:rsid w:val="075F283F"/>
    <w:rsid w:val="077E37DC"/>
    <w:rsid w:val="079F319E"/>
    <w:rsid w:val="07C64D36"/>
    <w:rsid w:val="07E633C6"/>
    <w:rsid w:val="080D29EE"/>
    <w:rsid w:val="082857CB"/>
    <w:rsid w:val="08311EA7"/>
    <w:rsid w:val="085D0173"/>
    <w:rsid w:val="0889420E"/>
    <w:rsid w:val="089D7C92"/>
    <w:rsid w:val="08A93C5A"/>
    <w:rsid w:val="08C72F61"/>
    <w:rsid w:val="08D62282"/>
    <w:rsid w:val="08DF2E30"/>
    <w:rsid w:val="08F00FB1"/>
    <w:rsid w:val="08FD47D9"/>
    <w:rsid w:val="092B1742"/>
    <w:rsid w:val="09380731"/>
    <w:rsid w:val="0946657C"/>
    <w:rsid w:val="09562DBC"/>
    <w:rsid w:val="09645F3F"/>
    <w:rsid w:val="097148FC"/>
    <w:rsid w:val="098C352A"/>
    <w:rsid w:val="098C36F7"/>
    <w:rsid w:val="09B12166"/>
    <w:rsid w:val="09C87710"/>
    <w:rsid w:val="09F5530D"/>
    <w:rsid w:val="0A026946"/>
    <w:rsid w:val="0A051806"/>
    <w:rsid w:val="0A4041ED"/>
    <w:rsid w:val="0A40746F"/>
    <w:rsid w:val="0A481E7F"/>
    <w:rsid w:val="0A52490A"/>
    <w:rsid w:val="0A5B7E05"/>
    <w:rsid w:val="0A775EA0"/>
    <w:rsid w:val="0A802501"/>
    <w:rsid w:val="0A97461C"/>
    <w:rsid w:val="0A9B28F7"/>
    <w:rsid w:val="0AA51080"/>
    <w:rsid w:val="0AD025A1"/>
    <w:rsid w:val="0AF76584"/>
    <w:rsid w:val="0B040B4D"/>
    <w:rsid w:val="0B057D70"/>
    <w:rsid w:val="0B301291"/>
    <w:rsid w:val="0B3A7A6C"/>
    <w:rsid w:val="0B680308"/>
    <w:rsid w:val="0B6F4D1A"/>
    <w:rsid w:val="0B9E4175"/>
    <w:rsid w:val="0BC20A20"/>
    <w:rsid w:val="0BD279F0"/>
    <w:rsid w:val="0BDC3ABF"/>
    <w:rsid w:val="0BEF6AA6"/>
    <w:rsid w:val="0C0C2252"/>
    <w:rsid w:val="0C2C7CAB"/>
    <w:rsid w:val="0C3E178C"/>
    <w:rsid w:val="0C4E7D42"/>
    <w:rsid w:val="0C5965C6"/>
    <w:rsid w:val="0C5B7F64"/>
    <w:rsid w:val="0C5D60B6"/>
    <w:rsid w:val="0C6E18F2"/>
    <w:rsid w:val="0C747876"/>
    <w:rsid w:val="0C873133"/>
    <w:rsid w:val="0C950F9E"/>
    <w:rsid w:val="0CBE31F5"/>
    <w:rsid w:val="0CD301D7"/>
    <w:rsid w:val="0D1B28F7"/>
    <w:rsid w:val="0D2546FA"/>
    <w:rsid w:val="0D337916"/>
    <w:rsid w:val="0D71793F"/>
    <w:rsid w:val="0DCE734B"/>
    <w:rsid w:val="0DF57057"/>
    <w:rsid w:val="0DF74BCD"/>
    <w:rsid w:val="0E303D3F"/>
    <w:rsid w:val="0E351104"/>
    <w:rsid w:val="0E4B0190"/>
    <w:rsid w:val="0E894070"/>
    <w:rsid w:val="0E9A06A7"/>
    <w:rsid w:val="0EAD2BF9"/>
    <w:rsid w:val="0EAF3B36"/>
    <w:rsid w:val="0ECF2B6F"/>
    <w:rsid w:val="0ED308B1"/>
    <w:rsid w:val="0EE155DA"/>
    <w:rsid w:val="0EFD47D9"/>
    <w:rsid w:val="0F0071CD"/>
    <w:rsid w:val="0F091448"/>
    <w:rsid w:val="0F64775C"/>
    <w:rsid w:val="0F83329A"/>
    <w:rsid w:val="0FAD09AC"/>
    <w:rsid w:val="0FCF7FFC"/>
    <w:rsid w:val="10066A65"/>
    <w:rsid w:val="101527A3"/>
    <w:rsid w:val="10273DFE"/>
    <w:rsid w:val="10310A3B"/>
    <w:rsid w:val="103F00FC"/>
    <w:rsid w:val="104F3F68"/>
    <w:rsid w:val="10594DE6"/>
    <w:rsid w:val="10764DA9"/>
    <w:rsid w:val="10AB744C"/>
    <w:rsid w:val="10B451A3"/>
    <w:rsid w:val="10B62239"/>
    <w:rsid w:val="10F42D61"/>
    <w:rsid w:val="1119569B"/>
    <w:rsid w:val="11224EC6"/>
    <w:rsid w:val="113D4D3A"/>
    <w:rsid w:val="1157762A"/>
    <w:rsid w:val="11650CEB"/>
    <w:rsid w:val="11812847"/>
    <w:rsid w:val="119817CC"/>
    <w:rsid w:val="11BD3153"/>
    <w:rsid w:val="11F71779"/>
    <w:rsid w:val="11F91A26"/>
    <w:rsid w:val="120B3EBE"/>
    <w:rsid w:val="12365539"/>
    <w:rsid w:val="12675D51"/>
    <w:rsid w:val="128408EE"/>
    <w:rsid w:val="128F4148"/>
    <w:rsid w:val="12AF4F27"/>
    <w:rsid w:val="12B11185"/>
    <w:rsid w:val="12D22E0F"/>
    <w:rsid w:val="12D73493"/>
    <w:rsid w:val="12DF7EBC"/>
    <w:rsid w:val="12EB525D"/>
    <w:rsid w:val="130B6793"/>
    <w:rsid w:val="131E029A"/>
    <w:rsid w:val="13530945"/>
    <w:rsid w:val="135A2147"/>
    <w:rsid w:val="13602D79"/>
    <w:rsid w:val="138A617A"/>
    <w:rsid w:val="138E124B"/>
    <w:rsid w:val="138E4DA7"/>
    <w:rsid w:val="13A445CA"/>
    <w:rsid w:val="13BA1693"/>
    <w:rsid w:val="13CF716E"/>
    <w:rsid w:val="14373691"/>
    <w:rsid w:val="14A405FA"/>
    <w:rsid w:val="15272AFD"/>
    <w:rsid w:val="152D239E"/>
    <w:rsid w:val="15482D95"/>
    <w:rsid w:val="15720346"/>
    <w:rsid w:val="157E49DC"/>
    <w:rsid w:val="159A783B"/>
    <w:rsid w:val="159F74E6"/>
    <w:rsid w:val="15A52555"/>
    <w:rsid w:val="15B8610B"/>
    <w:rsid w:val="15D444BB"/>
    <w:rsid w:val="164B3423"/>
    <w:rsid w:val="166B6F22"/>
    <w:rsid w:val="1681534C"/>
    <w:rsid w:val="169351D1"/>
    <w:rsid w:val="16A91EF8"/>
    <w:rsid w:val="16D3068D"/>
    <w:rsid w:val="16E178E4"/>
    <w:rsid w:val="16E507BE"/>
    <w:rsid w:val="16EF54A9"/>
    <w:rsid w:val="172D17AE"/>
    <w:rsid w:val="17555BDC"/>
    <w:rsid w:val="175828CF"/>
    <w:rsid w:val="17AA42B4"/>
    <w:rsid w:val="17CD4A1F"/>
    <w:rsid w:val="17E642EE"/>
    <w:rsid w:val="17EA4FC4"/>
    <w:rsid w:val="17F7713F"/>
    <w:rsid w:val="180E52B9"/>
    <w:rsid w:val="18211AD6"/>
    <w:rsid w:val="183A58CF"/>
    <w:rsid w:val="184B7080"/>
    <w:rsid w:val="18544556"/>
    <w:rsid w:val="18583BD5"/>
    <w:rsid w:val="18631A40"/>
    <w:rsid w:val="18747624"/>
    <w:rsid w:val="188729C7"/>
    <w:rsid w:val="18AB008F"/>
    <w:rsid w:val="18BA4FCC"/>
    <w:rsid w:val="18D05E62"/>
    <w:rsid w:val="18F16E26"/>
    <w:rsid w:val="18F6471E"/>
    <w:rsid w:val="19156124"/>
    <w:rsid w:val="19305FBC"/>
    <w:rsid w:val="19313669"/>
    <w:rsid w:val="194A74BC"/>
    <w:rsid w:val="196C2970"/>
    <w:rsid w:val="19BA176A"/>
    <w:rsid w:val="1A0822E3"/>
    <w:rsid w:val="1A143B2C"/>
    <w:rsid w:val="1A253F8B"/>
    <w:rsid w:val="1A275DFB"/>
    <w:rsid w:val="1A4541FF"/>
    <w:rsid w:val="1A830E32"/>
    <w:rsid w:val="1AAE21D3"/>
    <w:rsid w:val="1ABD5F72"/>
    <w:rsid w:val="1AC737E7"/>
    <w:rsid w:val="1ADF05DE"/>
    <w:rsid w:val="1AE654C9"/>
    <w:rsid w:val="1AF53C28"/>
    <w:rsid w:val="1B2E0388"/>
    <w:rsid w:val="1B3A5EC8"/>
    <w:rsid w:val="1B7900EB"/>
    <w:rsid w:val="1BD17F27"/>
    <w:rsid w:val="1BD712B5"/>
    <w:rsid w:val="1C0E2F29"/>
    <w:rsid w:val="1C185F0C"/>
    <w:rsid w:val="1C224C26"/>
    <w:rsid w:val="1C307688"/>
    <w:rsid w:val="1C444B9D"/>
    <w:rsid w:val="1C5A616E"/>
    <w:rsid w:val="1C5E1E37"/>
    <w:rsid w:val="1C5F19D6"/>
    <w:rsid w:val="1C821221"/>
    <w:rsid w:val="1C84143D"/>
    <w:rsid w:val="1CC7757C"/>
    <w:rsid w:val="1CCA0EB5"/>
    <w:rsid w:val="1CE352C4"/>
    <w:rsid w:val="1CF3024C"/>
    <w:rsid w:val="1CF9586E"/>
    <w:rsid w:val="1D203D9A"/>
    <w:rsid w:val="1D267083"/>
    <w:rsid w:val="1D4A2AFA"/>
    <w:rsid w:val="1D5863CF"/>
    <w:rsid w:val="1D5944FC"/>
    <w:rsid w:val="1D597ADB"/>
    <w:rsid w:val="1D670319"/>
    <w:rsid w:val="1D8316F5"/>
    <w:rsid w:val="1D933817"/>
    <w:rsid w:val="1D9E3217"/>
    <w:rsid w:val="1DE47856"/>
    <w:rsid w:val="1DE657E0"/>
    <w:rsid w:val="1DEA263F"/>
    <w:rsid w:val="1DF2437F"/>
    <w:rsid w:val="1DF63C75"/>
    <w:rsid w:val="1E071A25"/>
    <w:rsid w:val="1E0B06DC"/>
    <w:rsid w:val="1E41038C"/>
    <w:rsid w:val="1E612472"/>
    <w:rsid w:val="1EBB7CCE"/>
    <w:rsid w:val="1EBF675C"/>
    <w:rsid w:val="1EC8325D"/>
    <w:rsid w:val="1EF04B68"/>
    <w:rsid w:val="1F016D75"/>
    <w:rsid w:val="1F087540"/>
    <w:rsid w:val="1F51312D"/>
    <w:rsid w:val="1F7DFBAB"/>
    <w:rsid w:val="1F8463F4"/>
    <w:rsid w:val="1F86727A"/>
    <w:rsid w:val="1F8A2A9E"/>
    <w:rsid w:val="1FB738D7"/>
    <w:rsid w:val="1FBE67AD"/>
    <w:rsid w:val="1FCF6E73"/>
    <w:rsid w:val="1FD80E1C"/>
    <w:rsid w:val="1FE83A91"/>
    <w:rsid w:val="201815DD"/>
    <w:rsid w:val="201F5249"/>
    <w:rsid w:val="202B1BD0"/>
    <w:rsid w:val="20355EF4"/>
    <w:rsid w:val="20607ACB"/>
    <w:rsid w:val="20784DF2"/>
    <w:rsid w:val="20A025BE"/>
    <w:rsid w:val="20B8309A"/>
    <w:rsid w:val="20CA3197"/>
    <w:rsid w:val="20F07698"/>
    <w:rsid w:val="20F85F56"/>
    <w:rsid w:val="210040DD"/>
    <w:rsid w:val="21034838"/>
    <w:rsid w:val="21154A34"/>
    <w:rsid w:val="211F34E2"/>
    <w:rsid w:val="21244F9D"/>
    <w:rsid w:val="212D6803"/>
    <w:rsid w:val="21A711FA"/>
    <w:rsid w:val="21C77D00"/>
    <w:rsid w:val="21DD7497"/>
    <w:rsid w:val="21FE759C"/>
    <w:rsid w:val="22025C7A"/>
    <w:rsid w:val="220D32FF"/>
    <w:rsid w:val="221E29F6"/>
    <w:rsid w:val="223232D3"/>
    <w:rsid w:val="22805455"/>
    <w:rsid w:val="2285391D"/>
    <w:rsid w:val="229A1443"/>
    <w:rsid w:val="22BC0FED"/>
    <w:rsid w:val="22C7276B"/>
    <w:rsid w:val="22D447A0"/>
    <w:rsid w:val="22D4654E"/>
    <w:rsid w:val="22DA25F2"/>
    <w:rsid w:val="22DC4289"/>
    <w:rsid w:val="231D1CA3"/>
    <w:rsid w:val="233E71C5"/>
    <w:rsid w:val="23562ABF"/>
    <w:rsid w:val="236B3D2C"/>
    <w:rsid w:val="23770AE2"/>
    <w:rsid w:val="23977A00"/>
    <w:rsid w:val="23AF5E7D"/>
    <w:rsid w:val="23C579E4"/>
    <w:rsid w:val="23CA1535"/>
    <w:rsid w:val="23DF51AB"/>
    <w:rsid w:val="23F95193"/>
    <w:rsid w:val="23FF13A9"/>
    <w:rsid w:val="242300DD"/>
    <w:rsid w:val="243565C1"/>
    <w:rsid w:val="24743B45"/>
    <w:rsid w:val="24802364"/>
    <w:rsid w:val="24804DBA"/>
    <w:rsid w:val="24AA7102"/>
    <w:rsid w:val="24C7785F"/>
    <w:rsid w:val="24D64800"/>
    <w:rsid w:val="25140066"/>
    <w:rsid w:val="251B4741"/>
    <w:rsid w:val="25421E22"/>
    <w:rsid w:val="254C061E"/>
    <w:rsid w:val="255638BD"/>
    <w:rsid w:val="256E2C8A"/>
    <w:rsid w:val="257B1E41"/>
    <w:rsid w:val="25983863"/>
    <w:rsid w:val="25EE7927"/>
    <w:rsid w:val="26377520"/>
    <w:rsid w:val="264B2FCC"/>
    <w:rsid w:val="265A67F9"/>
    <w:rsid w:val="266876DA"/>
    <w:rsid w:val="266F2816"/>
    <w:rsid w:val="269E235A"/>
    <w:rsid w:val="26A53820"/>
    <w:rsid w:val="26A748A6"/>
    <w:rsid w:val="274734AC"/>
    <w:rsid w:val="27675EA2"/>
    <w:rsid w:val="277A5916"/>
    <w:rsid w:val="27FB112D"/>
    <w:rsid w:val="27FD02F5"/>
    <w:rsid w:val="28213FE4"/>
    <w:rsid w:val="2829235B"/>
    <w:rsid w:val="282E6701"/>
    <w:rsid w:val="286548DC"/>
    <w:rsid w:val="286C5453"/>
    <w:rsid w:val="289C366A"/>
    <w:rsid w:val="289C67DA"/>
    <w:rsid w:val="28B766F6"/>
    <w:rsid w:val="28C130D1"/>
    <w:rsid w:val="28E75F80"/>
    <w:rsid w:val="2916166F"/>
    <w:rsid w:val="2964687E"/>
    <w:rsid w:val="29687B82"/>
    <w:rsid w:val="296F6FD1"/>
    <w:rsid w:val="297F7C54"/>
    <w:rsid w:val="299B7DC6"/>
    <w:rsid w:val="299E71C9"/>
    <w:rsid w:val="29B14FE4"/>
    <w:rsid w:val="29C9048F"/>
    <w:rsid w:val="29F6324E"/>
    <w:rsid w:val="2A295528"/>
    <w:rsid w:val="2A465BE8"/>
    <w:rsid w:val="2A4E6BE6"/>
    <w:rsid w:val="2A8955AB"/>
    <w:rsid w:val="2AD2353D"/>
    <w:rsid w:val="2B0A5203"/>
    <w:rsid w:val="2B101F6C"/>
    <w:rsid w:val="2B17315A"/>
    <w:rsid w:val="2B51698E"/>
    <w:rsid w:val="2B702CFF"/>
    <w:rsid w:val="2B807273"/>
    <w:rsid w:val="2BBF0F78"/>
    <w:rsid w:val="2BF11F1F"/>
    <w:rsid w:val="2C0874F1"/>
    <w:rsid w:val="2C0E0D23"/>
    <w:rsid w:val="2C173DB2"/>
    <w:rsid w:val="2C5C1A8E"/>
    <w:rsid w:val="2C932FD6"/>
    <w:rsid w:val="2CA90A4C"/>
    <w:rsid w:val="2CB35427"/>
    <w:rsid w:val="2CC357A4"/>
    <w:rsid w:val="2CD661A6"/>
    <w:rsid w:val="2D033CCC"/>
    <w:rsid w:val="2D1F42A3"/>
    <w:rsid w:val="2D236912"/>
    <w:rsid w:val="2D2873D5"/>
    <w:rsid w:val="2D3B57F2"/>
    <w:rsid w:val="2D4806F3"/>
    <w:rsid w:val="2D4A18E7"/>
    <w:rsid w:val="2D527D29"/>
    <w:rsid w:val="2D864873"/>
    <w:rsid w:val="2DB23489"/>
    <w:rsid w:val="2DBD6B7D"/>
    <w:rsid w:val="2DC42753"/>
    <w:rsid w:val="2DD17775"/>
    <w:rsid w:val="2DE35E66"/>
    <w:rsid w:val="2DE36974"/>
    <w:rsid w:val="2DFE5055"/>
    <w:rsid w:val="2E033694"/>
    <w:rsid w:val="2E2C36E3"/>
    <w:rsid w:val="2E3A6633"/>
    <w:rsid w:val="2E6C3B65"/>
    <w:rsid w:val="2E6E76B6"/>
    <w:rsid w:val="2E946D80"/>
    <w:rsid w:val="2EAE1A2D"/>
    <w:rsid w:val="2EBC05C2"/>
    <w:rsid w:val="2EC25B60"/>
    <w:rsid w:val="2F0B22FF"/>
    <w:rsid w:val="2F3970E2"/>
    <w:rsid w:val="2F6D036B"/>
    <w:rsid w:val="2F762D9A"/>
    <w:rsid w:val="2F917C4D"/>
    <w:rsid w:val="2FBD0A96"/>
    <w:rsid w:val="2FDE08BB"/>
    <w:rsid w:val="2FE62817"/>
    <w:rsid w:val="2FEE3FA8"/>
    <w:rsid w:val="2FF70E21"/>
    <w:rsid w:val="2FF95846"/>
    <w:rsid w:val="2FFC5410"/>
    <w:rsid w:val="301461DC"/>
    <w:rsid w:val="304E3E86"/>
    <w:rsid w:val="30601421"/>
    <w:rsid w:val="30717AD3"/>
    <w:rsid w:val="307A0735"/>
    <w:rsid w:val="30800DD3"/>
    <w:rsid w:val="3088073D"/>
    <w:rsid w:val="308C0468"/>
    <w:rsid w:val="30B8300C"/>
    <w:rsid w:val="30CA7F0F"/>
    <w:rsid w:val="30CC23DC"/>
    <w:rsid w:val="30D71199"/>
    <w:rsid w:val="310F57FD"/>
    <w:rsid w:val="31215055"/>
    <w:rsid w:val="31280191"/>
    <w:rsid w:val="31397881"/>
    <w:rsid w:val="314409B1"/>
    <w:rsid w:val="31444C8B"/>
    <w:rsid w:val="31505D6B"/>
    <w:rsid w:val="31705EE7"/>
    <w:rsid w:val="31745184"/>
    <w:rsid w:val="31B90F57"/>
    <w:rsid w:val="31BC7B89"/>
    <w:rsid w:val="31C30701"/>
    <w:rsid w:val="31C46C93"/>
    <w:rsid w:val="31CB082A"/>
    <w:rsid w:val="31CB646A"/>
    <w:rsid w:val="31D75713"/>
    <w:rsid w:val="31E3055C"/>
    <w:rsid w:val="321B2C8F"/>
    <w:rsid w:val="32286155"/>
    <w:rsid w:val="32406EBB"/>
    <w:rsid w:val="32696CB3"/>
    <w:rsid w:val="32834BDC"/>
    <w:rsid w:val="32B51EF8"/>
    <w:rsid w:val="32B72DD0"/>
    <w:rsid w:val="32BD5FF0"/>
    <w:rsid w:val="32D615B6"/>
    <w:rsid w:val="32DFF1CE"/>
    <w:rsid w:val="33094D84"/>
    <w:rsid w:val="330E0802"/>
    <w:rsid w:val="33136C1F"/>
    <w:rsid w:val="33256C59"/>
    <w:rsid w:val="334645C0"/>
    <w:rsid w:val="3374535A"/>
    <w:rsid w:val="3381002D"/>
    <w:rsid w:val="33956E65"/>
    <w:rsid w:val="34230E48"/>
    <w:rsid w:val="342F42CF"/>
    <w:rsid w:val="34467865"/>
    <w:rsid w:val="346F60D7"/>
    <w:rsid w:val="34713BFD"/>
    <w:rsid w:val="34835207"/>
    <w:rsid w:val="34993154"/>
    <w:rsid w:val="34BB2B58"/>
    <w:rsid w:val="34CA2D4D"/>
    <w:rsid w:val="34D275A9"/>
    <w:rsid w:val="351E7EA3"/>
    <w:rsid w:val="353E7E87"/>
    <w:rsid w:val="357D1F95"/>
    <w:rsid w:val="35941976"/>
    <w:rsid w:val="35DB7EC8"/>
    <w:rsid w:val="35DF54CB"/>
    <w:rsid w:val="363A51DA"/>
    <w:rsid w:val="36400C61"/>
    <w:rsid w:val="3668554A"/>
    <w:rsid w:val="36795CB8"/>
    <w:rsid w:val="36A24189"/>
    <w:rsid w:val="36F03C5A"/>
    <w:rsid w:val="36F52036"/>
    <w:rsid w:val="372E4027"/>
    <w:rsid w:val="3738232A"/>
    <w:rsid w:val="37981CAD"/>
    <w:rsid w:val="37B55139"/>
    <w:rsid w:val="37DA5EAF"/>
    <w:rsid w:val="37F92887"/>
    <w:rsid w:val="38085354"/>
    <w:rsid w:val="380A05F1"/>
    <w:rsid w:val="38431D54"/>
    <w:rsid w:val="384D2A0F"/>
    <w:rsid w:val="38787C50"/>
    <w:rsid w:val="38A642DF"/>
    <w:rsid w:val="38AB53B4"/>
    <w:rsid w:val="38B16CBE"/>
    <w:rsid w:val="38BF587F"/>
    <w:rsid w:val="38C95885"/>
    <w:rsid w:val="38FE30B3"/>
    <w:rsid w:val="38FE7A29"/>
    <w:rsid w:val="390C0398"/>
    <w:rsid w:val="39154E76"/>
    <w:rsid w:val="39211236"/>
    <w:rsid w:val="394250B4"/>
    <w:rsid w:val="39440D68"/>
    <w:rsid w:val="39875C71"/>
    <w:rsid w:val="39AC0C19"/>
    <w:rsid w:val="3A052D2A"/>
    <w:rsid w:val="3A5327DE"/>
    <w:rsid w:val="3A726921"/>
    <w:rsid w:val="3A761B04"/>
    <w:rsid w:val="3A891719"/>
    <w:rsid w:val="3AA37A8D"/>
    <w:rsid w:val="3AC76C6D"/>
    <w:rsid w:val="3AE13C97"/>
    <w:rsid w:val="3AE66DAF"/>
    <w:rsid w:val="3AF74508"/>
    <w:rsid w:val="3B015DFB"/>
    <w:rsid w:val="3B310D9D"/>
    <w:rsid w:val="3B753ABB"/>
    <w:rsid w:val="3B7F1D55"/>
    <w:rsid w:val="3B8440E8"/>
    <w:rsid w:val="3BB76081"/>
    <w:rsid w:val="3C2F6110"/>
    <w:rsid w:val="3C3570EA"/>
    <w:rsid w:val="3C544530"/>
    <w:rsid w:val="3C681CE2"/>
    <w:rsid w:val="3C6863A2"/>
    <w:rsid w:val="3C755046"/>
    <w:rsid w:val="3C77021F"/>
    <w:rsid w:val="3C847D6F"/>
    <w:rsid w:val="3C914CDF"/>
    <w:rsid w:val="3C94066E"/>
    <w:rsid w:val="3CA46597"/>
    <w:rsid w:val="3CAD1E92"/>
    <w:rsid w:val="3CC1149A"/>
    <w:rsid w:val="3CCF2795"/>
    <w:rsid w:val="3CD43CFE"/>
    <w:rsid w:val="3CF04229"/>
    <w:rsid w:val="3D0B3773"/>
    <w:rsid w:val="3D0E0B83"/>
    <w:rsid w:val="3D427689"/>
    <w:rsid w:val="3D5347E8"/>
    <w:rsid w:val="3D55095C"/>
    <w:rsid w:val="3D912BEF"/>
    <w:rsid w:val="3D9831EB"/>
    <w:rsid w:val="3DB077D6"/>
    <w:rsid w:val="3DE047BE"/>
    <w:rsid w:val="3DFD7181"/>
    <w:rsid w:val="3E0201FD"/>
    <w:rsid w:val="3E0D2837"/>
    <w:rsid w:val="3E1677F2"/>
    <w:rsid w:val="3E297FFF"/>
    <w:rsid w:val="3E390022"/>
    <w:rsid w:val="3E4E71FE"/>
    <w:rsid w:val="3E5428E0"/>
    <w:rsid w:val="3E5A1BA6"/>
    <w:rsid w:val="3E6477B6"/>
    <w:rsid w:val="3EC84942"/>
    <w:rsid w:val="3ECD2B75"/>
    <w:rsid w:val="3EE642C6"/>
    <w:rsid w:val="3F053C6B"/>
    <w:rsid w:val="3F0A35CC"/>
    <w:rsid w:val="3F361A03"/>
    <w:rsid w:val="3F3E5024"/>
    <w:rsid w:val="3F4E45C7"/>
    <w:rsid w:val="3F593C0C"/>
    <w:rsid w:val="3F5C7598"/>
    <w:rsid w:val="3F66440A"/>
    <w:rsid w:val="3F8A0269"/>
    <w:rsid w:val="3F95429A"/>
    <w:rsid w:val="3FAF1A7E"/>
    <w:rsid w:val="3FB041D5"/>
    <w:rsid w:val="3FBF1EEE"/>
    <w:rsid w:val="3FC67A86"/>
    <w:rsid w:val="3FDF05B5"/>
    <w:rsid w:val="3FFE6FF7"/>
    <w:rsid w:val="401720C2"/>
    <w:rsid w:val="40327E11"/>
    <w:rsid w:val="404B5C4A"/>
    <w:rsid w:val="40820021"/>
    <w:rsid w:val="408E3207"/>
    <w:rsid w:val="40917FC2"/>
    <w:rsid w:val="40B82BB4"/>
    <w:rsid w:val="40CE33F2"/>
    <w:rsid w:val="40D630BA"/>
    <w:rsid w:val="40DE6ABE"/>
    <w:rsid w:val="40E8793D"/>
    <w:rsid w:val="40EF0A8E"/>
    <w:rsid w:val="4105414D"/>
    <w:rsid w:val="4119752B"/>
    <w:rsid w:val="41202514"/>
    <w:rsid w:val="416F4BBD"/>
    <w:rsid w:val="41967399"/>
    <w:rsid w:val="41AF3FB7"/>
    <w:rsid w:val="41B8730F"/>
    <w:rsid w:val="41EE4ADF"/>
    <w:rsid w:val="41F1637D"/>
    <w:rsid w:val="420C58CB"/>
    <w:rsid w:val="42132798"/>
    <w:rsid w:val="427C3B80"/>
    <w:rsid w:val="427D498F"/>
    <w:rsid w:val="42804E7B"/>
    <w:rsid w:val="42826312"/>
    <w:rsid w:val="42907FB1"/>
    <w:rsid w:val="42B23D5F"/>
    <w:rsid w:val="42C70B2E"/>
    <w:rsid w:val="42C92A5C"/>
    <w:rsid w:val="42DC357A"/>
    <w:rsid w:val="42E163F2"/>
    <w:rsid w:val="42E3660E"/>
    <w:rsid w:val="42EB5BB1"/>
    <w:rsid w:val="430D3C5F"/>
    <w:rsid w:val="43906769"/>
    <w:rsid w:val="43B0181A"/>
    <w:rsid w:val="44112D07"/>
    <w:rsid w:val="441928C1"/>
    <w:rsid w:val="44213E6A"/>
    <w:rsid w:val="44330ECF"/>
    <w:rsid w:val="44663053"/>
    <w:rsid w:val="44670B79"/>
    <w:rsid w:val="446C54E5"/>
    <w:rsid w:val="44801C3A"/>
    <w:rsid w:val="44C23FED"/>
    <w:rsid w:val="44DA28E2"/>
    <w:rsid w:val="44DE0BE7"/>
    <w:rsid w:val="44EC107E"/>
    <w:rsid w:val="44F859DA"/>
    <w:rsid w:val="45025018"/>
    <w:rsid w:val="45062140"/>
    <w:rsid w:val="452139DB"/>
    <w:rsid w:val="45256299"/>
    <w:rsid w:val="452B604A"/>
    <w:rsid w:val="452C3983"/>
    <w:rsid w:val="4541586E"/>
    <w:rsid w:val="4554140F"/>
    <w:rsid w:val="455F0974"/>
    <w:rsid w:val="45754EC5"/>
    <w:rsid w:val="4588349D"/>
    <w:rsid w:val="45926257"/>
    <w:rsid w:val="45AD26A1"/>
    <w:rsid w:val="45CE5554"/>
    <w:rsid w:val="45E001CB"/>
    <w:rsid w:val="45ED21B8"/>
    <w:rsid w:val="46015D9B"/>
    <w:rsid w:val="46436156"/>
    <w:rsid w:val="464A767F"/>
    <w:rsid w:val="464E3D9E"/>
    <w:rsid w:val="46584A06"/>
    <w:rsid w:val="469043B7"/>
    <w:rsid w:val="46A63BDA"/>
    <w:rsid w:val="46B61944"/>
    <w:rsid w:val="46C71A07"/>
    <w:rsid w:val="46C92D96"/>
    <w:rsid w:val="46CE4EDF"/>
    <w:rsid w:val="477F0F7D"/>
    <w:rsid w:val="47925F0D"/>
    <w:rsid w:val="47BF1DD0"/>
    <w:rsid w:val="47FD39F5"/>
    <w:rsid w:val="483215ED"/>
    <w:rsid w:val="483B2707"/>
    <w:rsid w:val="485246CB"/>
    <w:rsid w:val="487970CD"/>
    <w:rsid w:val="48B14AB8"/>
    <w:rsid w:val="48D32C81"/>
    <w:rsid w:val="48D5496B"/>
    <w:rsid w:val="48D6308C"/>
    <w:rsid w:val="48E576D2"/>
    <w:rsid w:val="4912529C"/>
    <w:rsid w:val="49423962"/>
    <w:rsid w:val="4946234A"/>
    <w:rsid w:val="49E52E47"/>
    <w:rsid w:val="4A077846"/>
    <w:rsid w:val="4A29727C"/>
    <w:rsid w:val="4A385478"/>
    <w:rsid w:val="4A3B6D2F"/>
    <w:rsid w:val="4A5470E7"/>
    <w:rsid w:val="4A6D528E"/>
    <w:rsid w:val="4AC156E7"/>
    <w:rsid w:val="4AE03433"/>
    <w:rsid w:val="4AE42F23"/>
    <w:rsid w:val="4B0C5FD6"/>
    <w:rsid w:val="4B294D6C"/>
    <w:rsid w:val="4B427C4A"/>
    <w:rsid w:val="4B555BCF"/>
    <w:rsid w:val="4B6F48F4"/>
    <w:rsid w:val="4B9401F2"/>
    <w:rsid w:val="4BDC6A3D"/>
    <w:rsid w:val="4BDE0A8D"/>
    <w:rsid w:val="4C022D66"/>
    <w:rsid w:val="4C115102"/>
    <w:rsid w:val="4C562B54"/>
    <w:rsid w:val="4D1F0243"/>
    <w:rsid w:val="4D205A82"/>
    <w:rsid w:val="4D5A1376"/>
    <w:rsid w:val="4DCE1C69"/>
    <w:rsid w:val="4DD17574"/>
    <w:rsid w:val="4DE17BEE"/>
    <w:rsid w:val="4DED5CE9"/>
    <w:rsid w:val="4DF10DBD"/>
    <w:rsid w:val="4DF23BA9"/>
    <w:rsid w:val="4DF27344"/>
    <w:rsid w:val="4E105388"/>
    <w:rsid w:val="4E295882"/>
    <w:rsid w:val="4E2B0E69"/>
    <w:rsid w:val="4E2D26AD"/>
    <w:rsid w:val="4E3D38DF"/>
    <w:rsid w:val="4E48241F"/>
    <w:rsid w:val="4E4F12F0"/>
    <w:rsid w:val="4E667301"/>
    <w:rsid w:val="4E6C62FE"/>
    <w:rsid w:val="4E7C3473"/>
    <w:rsid w:val="4E8567CB"/>
    <w:rsid w:val="4E946EB1"/>
    <w:rsid w:val="4E98223B"/>
    <w:rsid w:val="4EAC1FAA"/>
    <w:rsid w:val="4EAF462C"/>
    <w:rsid w:val="4EB270FD"/>
    <w:rsid w:val="4ED4505D"/>
    <w:rsid w:val="4EDE412D"/>
    <w:rsid w:val="4F1807EC"/>
    <w:rsid w:val="4F1B7899"/>
    <w:rsid w:val="4F244236"/>
    <w:rsid w:val="4F30643F"/>
    <w:rsid w:val="4F4A5E0F"/>
    <w:rsid w:val="4F5F701C"/>
    <w:rsid w:val="4F8004A8"/>
    <w:rsid w:val="4F8627FB"/>
    <w:rsid w:val="4F9541FD"/>
    <w:rsid w:val="4FC55FCF"/>
    <w:rsid w:val="4FE00299"/>
    <w:rsid w:val="4FEE0289"/>
    <w:rsid w:val="5015592D"/>
    <w:rsid w:val="50205B2E"/>
    <w:rsid w:val="5039255E"/>
    <w:rsid w:val="505846C0"/>
    <w:rsid w:val="50AB4752"/>
    <w:rsid w:val="50CA7DE7"/>
    <w:rsid w:val="50E16F08"/>
    <w:rsid w:val="50EE4AFC"/>
    <w:rsid w:val="50FB08E2"/>
    <w:rsid w:val="50FB16A6"/>
    <w:rsid w:val="51051E45"/>
    <w:rsid w:val="5114609D"/>
    <w:rsid w:val="5115392F"/>
    <w:rsid w:val="514662AB"/>
    <w:rsid w:val="514E7069"/>
    <w:rsid w:val="51597A9B"/>
    <w:rsid w:val="518706B2"/>
    <w:rsid w:val="51A7205C"/>
    <w:rsid w:val="51BA49DE"/>
    <w:rsid w:val="51D3277A"/>
    <w:rsid w:val="51E750AB"/>
    <w:rsid w:val="51FC7B76"/>
    <w:rsid w:val="52086F43"/>
    <w:rsid w:val="52176C0D"/>
    <w:rsid w:val="522D720D"/>
    <w:rsid w:val="52661847"/>
    <w:rsid w:val="52770963"/>
    <w:rsid w:val="527B1AD2"/>
    <w:rsid w:val="52860D64"/>
    <w:rsid w:val="52907CD9"/>
    <w:rsid w:val="52E455A4"/>
    <w:rsid w:val="52FD658C"/>
    <w:rsid w:val="53170F5A"/>
    <w:rsid w:val="532540D9"/>
    <w:rsid w:val="53672943"/>
    <w:rsid w:val="53807A9C"/>
    <w:rsid w:val="53933738"/>
    <w:rsid w:val="539574B0"/>
    <w:rsid w:val="539B1289"/>
    <w:rsid w:val="539D6365"/>
    <w:rsid w:val="53B37000"/>
    <w:rsid w:val="53B77EFD"/>
    <w:rsid w:val="53D457EE"/>
    <w:rsid w:val="53FF113C"/>
    <w:rsid w:val="54240834"/>
    <w:rsid w:val="54632217"/>
    <w:rsid w:val="546925E3"/>
    <w:rsid w:val="547F69A8"/>
    <w:rsid w:val="5486504B"/>
    <w:rsid w:val="548D71D5"/>
    <w:rsid w:val="54BD5148"/>
    <w:rsid w:val="54C664CE"/>
    <w:rsid w:val="54EE0572"/>
    <w:rsid w:val="54F13B29"/>
    <w:rsid w:val="550541C2"/>
    <w:rsid w:val="5507618C"/>
    <w:rsid w:val="552A088E"/>
    <w:rsid w:val="552A7D90"/>
    <w:rsid w:val="555C74CD"/>
    <w:rsid w:val="558318CB"/>
    <w:rsid w:val="5590774E"/>
    <w:rsid w:val="55B16225"/>
    <w:rsid w:val="55FB7373"/>
    <w:rsid w:val="560E5E6D"/>
    <w:rsid w:val="5610122D"/>
    <w:rsid w:val="563E1CA3"/>
    <w:rsid w:val="5655166F"/>
    <w:rsid w:val="56755377"/>
    <w:rsid w:val="569949D6"/>
    <w:rsid w:val="56AB6FEB"/>
    <w:rsid w:val="56B45E9F"/>
    <w:rsid w:val="56B57CE0"/>
    <w:rsid w:val="56BA0FDC"/>
    <w:rsid w:val="56DB6AD4"/>
    <w:rsid w:val="57323268"/>
    <w:rsid w:val="573625D1"/>
    <w:rsid w:val="57715B3F"/>
    <w:rsid w:val="57771803"/>
    <w:rsid w:val="57A777B2"/>
    <w:rsid w:val="57B94760"/>
    <w:rsid w:val="57B95132"/>
    <w:rsid w:val="58093FC9"/>
    <w:rsid w:val="585B47A7"/>
    <w:rsid w:val="587A6C75"/>
    <w:rsid w:val="588E1EC7"/>
    <w:rsid w:val="58975164"/>
    <w:rsid w:val="58ED3B83"/>
    <w:rsid w:val="58F5275D"/>
    <w:rsid w:val="5943175D"/>
    <w:rsid w:val="594B2477"/>
    <w:rsid w:val="5952374E"/>
    <w:rsid w:val="59645264"/>
    <w:rsid w:val="596F471E"/>
    <w:rsid w:val="59C26B97"/>
    <w:rsid w:val="59E44CEE"/>
    <w:rsid w:val="5A1F21EF"/>
    <w:rsid w:val="5A2C0443"/>
    <w:rsid w:val="5A3E4927"/>
    <w:rsid w:val="5A461B6A"/>
    <w:rsid w:val="5A721460"/>
    <w:rsid w:val="5ABC3575"/>
    <w:rsid w:val="5ABF148F"/>
    <w:rsid w:val="5ADB2A5B"/>
    <w:rsid w:val="5AF64A25"/>
    <w:rsid w:val="5AFA711E"/>
    <w:rsid w:val="5B0D3DD0"/>
    <w:rsid w:val="5B460A73"/>
    <w:rsid w:val="5B5E10B5"/>
    <w:rsid w:val="5B602F18"/>
    <w:rsid w:val="5B6670CE"/>
    <w:rsid w:val="5B745BFD"/>
    <w:rsid w:val="5B93425D"/>
    <w:rsid w:val="5BF44F90"/>
    <w:rsid w:val="5BF5503A"/>
    <w:rsid w:val="5BF907F8"/>
    <w:rsid w:val="5C185E99"/>
    <w:rsid w:val="5C227C2E"/>
    <w:rsid w:val="5C42398E"/>
    <w:rsid w:val="5C4D5980"/>
    <w:rsid w:val="5C9522CF"/>
    <w:rsid w:val="5CA057CB"/>
    <w:rsid w:val="5CA95D7B"/>
    <w:rsid w:val="5CC46711"/>
    <w:rsid w:val="5CC70D81"/>
    <w:rsid w:val="5CEB0141"/>
    <w:rsid w:val="5D016D7A"/>
    <w:rsid w:val="5D243653"/>
    <w:rsid w:val="5D2439DC"/>
    <w:rsid w:val="5D3B4A4C"/>
    <w:rsid w:val="5D4A7BD8"/>
    <w:rsid w:val="5D8C35EC"/>
    <w:rsid w:val="5D9F0F2C"/>
    <w:rsid w:val="5DB9023F"/>
    <w:rsid w:val="5DC55D01"/>
    <w:rsid w:val="5E0453D0"/>
    <w:rsid w:val="5E0D40E7"/>
    <w:rsid w:val="5E301D82"/>
    <w:rsid w:val="5E315255"/>
    <w:rsid w:val="5E3E6996"/>
    <w:rsid w:val="5E4365D9"/>
    <w:rsid w:val="5E5BA879"/>
    <w:rsid w:val="5E766542"/>
    <w:rsid w:val="5EAB2570"/>
    <w:rsid w:val="5EC02E47"/>
    <w:rsid w:val="5EE27322"/>
    <w:rsid w:val="5EEE216B"/>
    <w:rsid w:val="5F117C07"/>
    <w:rsid w:val="5F165ACB"/>
    <w:rsid w:val="5F24793A"/>
    <w:rsid w:val="5F5D2E4C"/>
    <w:rsid w:val="5F6C2F9E"/>
    <w:rsid w:val="5F816B3B"/>
    <w:rsid w:val="5F9A0D2D"/>
    <w:rsid w:val="5FCC7C59"/>
    <w:rsid w:val="5FF852DD"/>
    <w:rsid w:val="602D0A71"/>
    <w:rsid w:val="60335DCE"/>
    <w:rsid w:val="606326E4"/>
    <w:rsid w:val="606D4532"/>
    <w:rsid w:val="609F196E"/>
    <w:rsid w:val="60A2320D"/>
    <w:rsid w:val="60B116A2"/>
    <w:rsid w:val="60B7056A"/>
    <w:rsid w:val="60EB30E5"/>
    <w:rsid w:val="611F485D"/>
    <w:rsid w:val="61357BDD"/>
    <w:rsid w:val="617A0E7A"/>
    <w:rsid w:val="617C4D9B"/>
    <w:rsid w:val="61A06982"/>
    <w:rsid w:val="61A10DBA"/>
    <w:rsid w:val="61BF22B1"/>
    <w:rsid w:val="61DB634D"/>
    <w:rsid w:val="61ED6709"/>
    <w:rsid w:val="6233339B"/>
    <w:rsid w:val="627C0B43"/>
    <w:rsid w:val="628C07CD"/>
    <w:rsid w:val="62C25396"/>
    <w:rsid w:val="62DD0AF4"/>
    <w:rsid w:val="631D7434"/>
    <w:rsid w:val="63261A4B"/>
    <w:rsid w:val="63381A01"/>
    <w:rsid w:val="63520F1A"/>
    <w:rsid w:val="636765AE"/>
    <w:rsid w:val="63754C08"/>
    <w:rsid w:val="6393508F"/>
    <w:rsid w:val="63D72BC8"/>
    <w:rsid w:val="63E8362C"/>
    <w:rsid w:val="640124B8"/>
    <w:rsid w:val="64194327"/>
    <w:rsid w:val="641A130C"/>
    <w:rsid w:val="64306BEA"/>
    <w:rsid w:val="643F0D73"/>
    <w:rsid w:val="644D242C"/>
    <w:rsid w:val="64521240"/>
    <w:rsid w:val="646F6A58"/>
    <w:rsid w:val="648669A1"/>
    <w:rsid w:val="648825BC"/>
    <w:rsid w:val="64C17ACE"/>
    <w:rsid w:val="64DB47D3"/>
    <w:rsid w:val="65116325"/>
    <w:rsid w:val="652F2B95"/>
    <w:rsid w:val="65381C0D"/>
    <w:rsid w:val="65807433"/>
    <w:rsid w:val="65A17F37"/>
    <w:rsid w:val="65D9200F"/>
    <w:rsid w:val="660155B5"/>
    <w:rsid w:val="660977B5"/>
    <w:rsid w:val="660B4CA6"/>
    <w:rsid w:val="660B7FCE"/>
    <w:rsid w:val="661066A2"/>
    <w:rsid w:val="664133F1"/>
    <w:rsid w:val="66560085"/>
    <w:rsid w:val="66815672"/>
    <w:rsid w:val="66A3792A"/>
    <w:rsid w:val="66A6783D"/>
    <w:rsid w:val="66CE13D1"/>
    <w:rsid w:val="66D82907"/>
    <w:rsid w:val="66E217EC"/>
    <w:rsid w:val="66EA3218"/>
    <w:rsid w:val="66EB307D"/>
    <w:rsid w:val="66EE6750"/>
    <w:rsid w:val="66F127F8"/>
    <w:rsid w:val="67007CCF"/>
    <w:rsid w:val="67065096"/>
    <w:rsid w:val="67254250"/>
    <w:rsid w:val="67295F4F"/>
    <w:rsid w:val="67334BBF"/>
    <w:rsid w:val="674C37EA"/>
    <w:rsid w:val="67513297"/>
    <w:rsid w:val="6773010B"/>
    <w:rsid w:val="679030DF"/>
    <w:rsid w:val="67A45F44"/>
    <w:rsid w:val="67AD6979"/>
    <w:rsid w:val="67AF2DAF"/>
    <w:rsid w:val="67C019F6"/>
    <w:rsid w:val="67D14FA8"/>
    <w:rsid w:val="67E67E83"/>
    <w:rsid w:val="67F56318"/>
    <w:rsid w:val="684E5A28"/>
    <w:rsid w:val="68694610"/>
    <w:rsid w:val="68B612BE"/>
    <w:rsid w:val="68B95597"/>
    <w:rsid w:val="68CC2F3A"/>
    <w:rsid w:val="68D8174B"/>
    <w:rsid w:val="68D95C4D"/>
    <w:rsid w:val="68DE0B5A"/>
    <w:rsid w:val="68EF2D67"/>
    <w:rsid w:val="692073C4"/>
    <w:rsid w:val="69261209"/>
    <w:rsid w:val="694A4441"/>
    <w:rsid w:val="69777D3A"/>
    <w:rsid w:val="69A66EA4"/>
    <w:rsid w:val="69CB7FE7"/>
    <w:rsid w:val="69D925B6"/>
    <w:rsid w:val="69F66377"/>
    <w:rsid w:val="6A0600AE"/>
    <w:rsid w:val="6A072AD7"/>
    <w:rsid w:val="6A1519C5"/>
    <w:rsid w:val="6A1A02B8"/>
    <w:rsid w:val="6A456A6F"/>
    <w:rsid w:val="6A722A8E"/>
    <w:rsid w:val="6A7763E3"/>
    <w:rsid w:val="6A813EEA"/>
    <w:rsid w:val="6A984619"/>
    <w:rsid w:val="6AC66068"/>
    <w:rsid w:val="6AD364AB"/>
    <w:rsid w:val="6B0D20F3"/>
    <w:rsid w:val="6B0D224E"/>
    <w:rsid w:val="6B1765A5"/>
    <w:rsid w:val="6B225231"/>
    <w:rsid w:val="6B5B2936"/>
    <w:rsid w:val="6B871615"/>
    <w:rsid w:val="6BAC7B3C"/>
    <w:rsid w:val="6BBC6C50"/>
    <w:rsid w:val="6BEC12F9"/>
    <w:rsid w:val="6C264F8F"/>
    <w:rsid w:val="6C305B70"/>
    <w:rsid w:val="6C314B5B"/>
    <w:rsid w:val="6C3F7AD9"/>
    <w:rsid w:val="6C5D58A2"/>
    <w:rsid w:val="6C64070C"/>
    <w:rsid w:val="6C821FC6"/>
    <w:rsid w:val="6C8F0954"/>
    <w:rsid w:val="6C920FFF"/>
    <w:rsid w:val="6CC83FFB"/>
    <w:rsid w:val="6CDE2A3E"/>
    <w:rsid w:val="6CFD7212"/>
    <w:rsid w:val="6D0F6218"/>
    <w:rsid w:val="6D2F5E28"/>
    <w:rsid w:val="6D33482D"/>
    <w:rsid w:val="6D396CA7"/>
    <w:rsid w:val="6D777E2C"/>
    <w:rsid w:val="6D956EBE"/>
    <w:rsid w:val="6D9578A5"/>
    <w:rsid w:val="6DCE7D9B"/>
    <w:rsid w:val="6DE54739"/>
    <w:rsid w:val="6E121FD9"/>
    <w:rsid w:val="6E12373D"/>
    <w:rsid w:val="6E1D779A"/>
    <w:rsid w:val="6E364A2F"/>
    <w:rsid w:val="6E3C5272"/>
    <w:rsid w:val="6E557B10"/>
    <w:rsid w:val="6E8421A4"/>
    <w:rsid w:val="6E9F35BE"/>
    <w:rsid w:val="6EAC488C"/>
    <w:rsid w:val="6EC32CCC"/>
    <w:rsid w:val="6ECB647F"/>
    <w:rsid w:val="6EDA33BB"/>
    <w:rsid w:val="6F03756C"/>
    <w:rsid w:val="6F0F3D9A"/>
    <w:rsid w:val="6F2A11AB"/>
    <w:rsid w:val="6F38357B"/>
    <w:rsid w:val="6F600666"/>
    <w:rsid w:val="6FBF3427"/>
    <w:rsid w:val="6FE841BC"/>
    <w:rsid w:val="700E4CD4"/>
    <w:rsid w:val="707203BC"/>
    <w:rsid w:val="709541F4"/>
    <w:rsid w:val="70D72A5F"/>
    <w:rsid w:val="70DD1F39"/>
    <w:rsid w:val="71080E6A"/>
    <w:rsid w:val="711A6DEF"/>
    <w:rsid w:val="712437CA"/>
    <w:rsid w:val="712C1E83"/>
    <w:rsid w:val="7161057A"/>
    <w:rsid w:val="71754A5F"/>
    <w:rsid w:val="718129CA"/>
    <w:rsid w:val="71A072F4"/>
    <w:rsid w:val="71D074AE"/>
    <w:rsid w:val="71EF4C0C"/>
    <w:rsid w:val="721C6385"/>
    <w:rsid w:val="72243294"/>
    <w:rsid w:val="724D63AB"/>
    <w:rsid w:val="724F4761"/>
    <w:rsid w:val="726F6CC7"/>
    <w:rsid w:val="72807126"/>
    <w:rsid w:val="7285473C"/>
    <w:rsid w:val="728C7E3D"/>
    <w:rsid w:val="72A548E6"/>
    <w:rsid w:val="72B654DE"/>
    <w:rsid w:val="72E43211"/>
    <w:rsid w:val="72EE4D99"/>
    <w:rsid w:val="72F808CB"/>
    <w:rsid w:val="72FB5073"/>
    <w:rsid w:val="73046E24"/>
    <w:rsid w:val="730D6C0C"/>
    <w:rsid w:val="731D17F8"/>
    <w:rsid w:val="733028FA"/>
    <w:rsid w:val="73417EC3"/>
    <w:rsid w:val="73497518"/>
    <w:rsid w:val="736D46B7"/>
    <w:rsid w:val="73AD2B11"/>
    <w:rsid w:val="73B52DFF"/>
    <w:rsid w:val="74086AFA"/>
    <w:rsid w:val="74324B8E"/>
    <w:rsid w:val="743D4642"/>
    <w:rsid w:val="74A873CF"/>
    <w:rsid w:val="74F95E9D"/>
    <w:rsid w:val="752D5DD3"/>
    <w:rsid w:val="75387844"/>
    <w:rsid w:val="754206C3"/>
    <w:rsid w:val="75461650"/>
    <w:rsid w:val="75557EF2"/>
    <w:rsid w:val="75581D7E"/>
    <w:rsid w:val="759251A6"/>
    <w:rsid w:val="75A5083B"/>
    <w:rsid w:val="75CB690A"/>
    <w:rsid w:val="75E41B01"/>
    <w:rsid w:val="76093AD5"/>
    <w:rsid w:val="76183AE1"/>
    <w:rsid w:val="7619717C"/>
    <w:rsid w:val="763C2D3B"/>
    <w:rsid w:val="766E0ED6"/>
    <w:rsid w:val="769938BB"/>
    <w:rsid w:val="76B65003"/>
    <w:rsid w:val="76F1491C"/>
    <w:rsid w:val="76F25A9D"/>
    <w:rsid w:val="76FE06CC"/>
    <w:rsid w:val="77127AA7"/>
    <w:rsid w:val="77135365"/>
    <w:rsid w:val="77194977"/>
    <w:rsid w:val="77334767"/>
    <w:rsid w:val="77493F8A"/>
    <w:rsid w:val="77574317"/>
    <w:rsid w:val="775871DA"/>
    <w:rsid w:val="778F1D25"/>
    <w:rsid w:val="778F64B7"/>
    <w:rsid w:val="77A557E8"/>
    <w:rsid w:val="77AB07A1"/>
    <w:rsid w:val="77FF8363"/>
    <w:rsid w:val="781C344D"/>
    <w:rsid w:val="78482494"/>
    <w:rsid w:val="784D649C"/>
    <w:rsid w:val="7872306D"/>
    <w:rsid w:val="7883527A"/>
    <w:rsid w:val="78947487"/>
    <w:rsid w:val="78B86DF9"/>
    <w:rsid w:val="78DF2927"/>
    <w:rsid w:val="78F46224"/>
    <w:rsid w:val="79193FB0"/>
    <w:rsid w:val="793B5B55"/>
    <w:rsid w:val="79807070"/>
    <w:rsid w:val="79A8143C"/>
    <w:rsid w:val="79AB6836"/>
    <w:rsid w:val="79E675CF"/>
    <w:rsid w:val="79F91F7E"/>
    <w:rsid w:val="7A194B28"/>
    <w:rsid w:val="7A412AB0"/>
    <w:rsid w:val="7A6917F0"/>
    <w:rsid w:val="7A811C8D"/>
    <w:rsid w:val="7A911427"/>
    <w:rsid w:val="7A9814B1"/>
    <w:rsid w:val="7ABB1E58"/>
    <w:rsid w:val="7ACC2F08"/>
    <w:rsid w:val="7B0326A2"/>
    <w:rsid w:val="7B124498"/>
    <w:rsid w:val="7B39786C"/>
    <w:rsid w:val="7BBA0FB3"/>
    <w:rsid w:val="7BCE4A5E"/>
    <w:rsid w:val="7BD759D6"/>
    <w:rsid w:val="7BDD7714"/>
    <w:rsid w:val="7C262AEC"/>
    <w:rsid w:val="7C324FED"/>
    <w:rsid w:val="7C635AEE"/>
    <w:rsid w:val="7C66113B"/>
    <w:rsid w:val="7C72188D"/>
    <w:rsid w:val="7C817D22"/>
    <w:rsid w:val="7C914409"/>
    <w:rsid w:val="7CC13E01"/>
    <w:rsid w:val="7CC3033B"/>
    <w:rsid w:val="7D2D6B0F"/>
    <w:rsid w:val="7D6925B1"/>
    <w:rsid w:val="7D893333"/>
    <w:rsid w:val="7D9A7679"/>
    <w:rsid w:val="7DAA6921"/>
    <w:rsid w:val="7DCE6F97"/>
    <w:rsid w:val="7DDD59D4"/>
    <w:rsid w:val="7DE91552"/>
    <w:rsid w:val="7DF7361C"/>
    <w:rsid w:val="7DFB58B2"/>
    <w:rsid w:val="7DFD5ACF"/>
    <w:rsid w:val="7DFDCE97"/>
    <w:rsid w:val="7DFF7FC5"/>
    <w:rsid w:val="7E154BC6"/>
    <w:rsid w:val="7E352F04"/>
    <w:rsid w:val="7EB228DF"/>
    <w:rsid w:val="7EC00FD6"/>
    <w:rsid w:val="7ED32789"/>
    <w:rsid w:val="7EEE33D2"/>
    <w:rsid w:val="7EFD1EA8"/>
    <w:rsid w:val="7F1B4997"/>
    <w:rsid w:val="7F207CC7"/>
    <w:rsid w:val="7F2A52B3"/>
    <w:rsid w:val="7F311759"/>
    <w:rsid w:val="7F3E1EFB"/>
    <w:rsid w:val="7F6A7194"/>
    <w:rsid w:val="7F6E1521"/>
    <w:rsid w:val="7F7608BD"/>
    <w:rsid w:val="7F9B559F"/>
    <w:rsid w:val="7FBA5628"/>
    <w:rsid w:val="7FF151BF"/>
    <w:rsid w:val="7FF8654D"/>
    <w:rsid w:val="7FFC695F"/>
    <w:rsid w:val="BDEE4122"/>
    <w:rsid w:val="BF5FB680"/>
    <w:rsid w:val="BF798E10"/>
    <w:rsid w:val="BFAF1E0D"/>
    <w:rsid w:val="BFEDCE25"/>
    <w:rsid w:val="BFFF64B0"/>
    <w:rsid w:val="CAB51ADC"/>
    <w:rsid w:val="DFDE6CD4"/>
    <w:rsid w:val="E093163F"/>
    <w:rsid w:val="E5738BFF"/>
    <w:rsid w:val="F24D2B3A"/>
    <w:rsid w:val="F3EEFEED"/>
    <w:rsid w:val="F7BBCE84"/>
    <w:rsid w:val="F9F73F37"/>
    <w:rsid w:val="FE3F7D57"/>
    <w:rsid w:val="FE5EFBD1"/>
    <w:rsid w:val="FEEF318D"/>
    <w:rsid w:val="FEF9FBD2"/>
    <w:rsid w:val="FEFB4613"/>
    <w:rsid w:val="FEFE7CDB"/>
    <w:rsid w:val="FF95B3D6"/>
    <w:rsid w:val="FFFE1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3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3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3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3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34"/>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35"/>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3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0"/>
    <w:semiHidden/>
    <w:unhideWhenUsed/>
    <w:qFormat/>
    <w:uiPriority w:val="99"/>
  </w:style>
  <w:style w:type="paragraph" w:styleId="12">
    <w:name w:val="Salutation"/>
    <w:basedOn w:val="1"/>
    <w:next w:val="1"/>
    <w:unhideWhenUsed/>
    <w:qFormat/>
    <w:uiPriority w:val="99"/>
  </w:style>
  <w:style w:type="paragraph" w:styleId="13">
    <w:name w:val="toc 3"/>
    <w:basedOn w:val="1"/>
    <w:next w:val="1"/>
    <w:unhideWhenUsed/>
    <w:qFormat/>
    <w:uiPriority w:val="39"/>
    <w:pPr>
      <w:ind w:left="840" w:leftChars="400"/>
    </w:pPr>
  </w:style>
  <w:style w:type="paragraph" w:styleId="14">
    <w:name w:val="footer"/>
    <w:basedOn w:val="1"/>
    <w:link w:val="49"/>
    <w:unhideWhenUsed/>
    <w:qFormat/>
    <w:uiPriority w:val="99"/>
    <w:pPr>
      <w:tabs>
        <w:tab w:val="center" w:pos="4153"/>
        <w:tab w:val="right" w:pos="8306"/>
      </w:tabs>
      <w:snapToGrid w:val="0"/>
      <w:spacing w:line="240" w:lineRule="auto"/>
    </w:pPr>
    <w:rPr>
      <w:sz w:val="18"/>
      <w:szCs w:val="18"/>
    </w:rPr>
  </w:style>
  <w:style w:type="paragraph" w:styleId="15">
    <w:name w:val="header"/>
    <w:basedOn w:val="1"/>
    <w:link w:val="48"/>
    <w:unhideWhenUsed/>
    <w:qFormat/>
    <w:uiPriority w:val="99"/>
    <w:pPr>
      <w:tabs>
        <w:tab w:val="center" w:pos="4153"/>
        <w:tab w:val="right" w:pos="8306"/>
      </w:tabs>
      <w:snapToGrid w:val="0"/>
      <w:spacing w:line="240" w:lineRule="auto"/>
      <w:jc w:val="center"/>
    </w:pPr>
    <w:rPr>
      <w:sz w:val="18"/>
      <w:szCs w:val="18"/>
    </w:rPr>
  </w:style>
  <w:style w:type="paragraph" w:styleId="16">
    <w:name w:val="toc 1"/>
    <w:basedOn w:val="1"/>
    <w:next w:val="1"/>
    <w:unhideWhenUsed/>
    <w:qFormat/>
    <w:uiPriority w:val="39"/>
  </w:style>
  <w:style w:type="paragraph" w:styleId="17">
    <w:name w:val="Subtitle"/>
    <w:basedOn w:val="1"/>
    <w:next w:val="1"/>
    <w:link w:val="4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oc 2"/>
    <w:basedOn w:val="1"/>
    <w:next w:val="1"/>
    <w:unhideWhenUsed/>
    <w:qFormat/>
    <w:uiPriority w:val="39"/>
    <w:pPr>
      <w:ind w:left="420" w:leftChars="200"/>
    </w:p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rPr>
  </w:style>
  <w:style w:type="paragraph" w:styleId="20">
    <w:name w:val="Normal (Web)"/>
    <w:basedOn w:val="1"/>
    <w:unhideWhenUsed/>
    <w:qFormat/>
    <w:uiPriority w:val="99"/>
    <w:pPr>
      <w:spacing w:beforeAutospacing="1" w:after="0" w:afterAutospacing="1"/>
    </w:pPr>
    <w:rPr>
      <w:rFonts w:cs="Times New Roman"/>
      <w:kern w:val="0"/>
      <w:sz w:val="24"/>
    </w:rPr>
  </w:style>
  <w:style w:type="paragraph" w:styleId="21">
    <w:name w:val="Title"/>
    <w:basedOn w:val="1"/>
    <w:next w:val="1"/>
    <w:link w:val="3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22">
    <w:name w:val="annotation subject"/>
    <w:basedOn w:val="11"/>
    <w:next w:val="11"/>
    <w:link w:val="51"/>
    <w:semiHidden/>
    <w:unhideWhenUsed/>
    <w:qFormat/>
    <w:uiPriority w:val="99"/>
    <w:rPr>
      <w:b/>
      <w:bCs/>
    </w:rPr>
  </w:style>
  <w:style w:type="table" w:styleId="24">
    <w:name w:val="Table Grid"/>
    <w:basedOn w:val="23"/>
    <w:qFormat/>
    <w:uiPriority w:val="0"/>
    <w:rPr>
      <w:rFonts w:hint="eastAsia" w:ascii="等线" w:hAnsi="等线" w:eastAsia="等线" w:cs="等线"/>
      <w:kern w:val="2"/>
      <w:sz w:val="22"/>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22"/>
    <w:rPr>
      <w:b/>
      <w:bCs/>
    </w:rPr>
  </w:style>
  <w:style w:type="character" w:styleId="27">
    <w:name w:val="FollowedHyperlink"/>
    <w:basedOn w:val="25"/>
    <w:semiHidden/>
    <w:unhideWhenUsed/>
    <w:qFormat/>
    <w:uiPriority w:val="99"/>
    <w:rPr>
      <w:color w:val="954F72"/>
      <w:u w:val="single"/>
    </w:rPr>
  </w:style>
  <w:style w:type="character" w:styleId="28">
    <w:name w:val="Hyperlink"/>
    <w:basedOn w:val="25"/>
    <w:unhideWhenUsed/>
    <w:qFormat/>
    <w:uiPriority w:val="99"/>
    <w:rPr>
      <w:color w:val="0563C1"/>
      <w:u w:val="single"/>
    </w:rPr>
  </w:style>
  <w:style w:type="character" w:styleId="29">
    <w:name w:val="annotation reference"/>
    <w:basedOn w:val="25"/>
    <w:semiHidden/>
    <w:unhideWhenUsed/>
    <w:qFormat/>
    <w:uiPriority w:val="99"/>
    <w:rPr>
      <w:sz w:val="21"/>
      <w:szCs w:val="21"/>
    </w:rPr>
  </w:style>
  <w:style w:type="character" w:customStyle="1" w:styleId="30">
    <w:name w:val="标题 1 字符"/>
    <w:basedOn w:val="25"/>
    <w:link w:val="2"/>
    <w:qFormat/>
    <w:uiPriority w:val="9"/>
    <w:rPr>
      <w:rFonts w:asciiTheme="majorHAnsi" w:hAnsiTheme="majorHAnsi" w:eastAsiaTheme="majorEastAsia" w:cstheme="majorBidi"/>
      <w:color w:val="2F5597" w:themeColor="accent1" w:themeShade="BF"/>
      <w:sz w:val="48"/>
      <w:szCs w:val="48"/>
    </w:rPr>
  </w:style>
  <w:style w:type="character" w:customStyle="1" w:styleId="31">
    <w:name w:val="标题 2 字符"/>
    <w:basedOn w:val="25"/>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32">
    <w:name w:val="标题 3 字符"/>
    <w:basedOn w:val="25"/>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33">
    <w:name w:val="标题 4 字符"/>
    <w:basedOn w:val="25"/>
    <w:link w:val="5"/>
    <w:semiHidden/>
    <w:qFormat/>
    <w:uiPriority w:val="9"/>
    <w:rPr>
      <w:rFonts w:cstheme="majorBidi"/>
      <w:color w:val="2F5597" w:themeColor="accent1" w:themeShade="BF"/>
      <w:sz w:val="28"/>
      <w:szCs w:val="28"/>
    </w:rPr>
  </w:style>
  <w:style w:type="character" w:customStyle="1" w:styleId="34">
    <w:name w:val="标题 5 字符"/>
    <w:basedOn w:val="25"/>
    <w:link w:val="6"/>
    <w:semiHidden/>
    <w:qFormat/>
    <w:uiPriority w:val="9"/>
    <w:rPr>
      <w:rFonts w:cstheme="majorBidi"/>
      <w:color w:val="2F5597" w:themeColor="accent1" w:themeShade="BF"/>
      <w:sz w:val="24"/>
    </w:rPr>
  </w:style>
  <w:style w:type="character" w:customStyle="1" w:styleId="35">
    <w:name w:val="标题 6 字符"/>
    <w:basedOn w:val="25"/>
    <w:link w:val="7"/>
    <w:semiHidden/>
    <w:qFormat/>
    <w:uiPriority w:val="9"/>
    <w:rPr>
      <w:rFonts w:cstheme="majorBidi"/>
      <w:b/>
      <w:bCs/>
      <w:color w:val="2F5597" w:themeColor="accent1" w:themeShade="BF"/>
    </w:rPr>
  </w:style>
  <w:style w:type="character" w:customStyle="1" w:styleId="36">
    <w:name w:val="标题 7 字符"/>
    <w:basedOn w:val="2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7">
    <w:name w:val="标题 8 字符"/>
    <w:basedOn w:val="2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8">
    <w:name w:val="标题 9 字符"/>
    <w:basedOn w:val="2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9">
    <w:name w:val="标题 字符"/>
    <w:basedOn w:val="25"/>
    <w:link w:val="21"/>
    <w:qFormat/>
    <w:uiPriority w:val="10"/>
    <w:rPr>
      <w:rFonts w:asciiTheme="majorHAnsi" w:hAnsiTheme="majorHAnsi" w:eastAsiaTheme="majorEastAsia" w:cstheme="majorBidi"/>
      <w:spacing w:val="-10"/>
      <w:kern w:val="28"/>
      <w:sz w:val="56"/>
      <w:szCs w:val="56"/>
    </w:rPr>
  </w:style>
  <w:style w:type="character" w:customStyle="1" w:styleId="40">
    <w:name w:val="副标题 字符"/>
    <w:basedOn w:val="25"/>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1">
    <w:name w:val="Quote"/>
    <w:basedOn w:val="1"/>
    <w:next w:val="1"/>
    <w:link w:val="4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2">
    <w:name w:val="引用 字符"/>
    <w:basedOn w:val="25"/>
    <w:link w:val="41"/>
    <w:qFormat/>
    <w:uiPriority w:val="29"/>
    <w:rPr>
      <w:i/>
      <w:iCs/>
      <w:color w:val="404040" w:themeColor="text1" w:themeTint="BF"/>
      <w14:textFill>
        <w14:solidFill>
          <w14:schemeClr w14:val="tx1">
            <w14:lumMod w14:val="75000"/>
            <w14:lumOff w14:val="25000"/>
          </w14:schemeClr>
        </w14:solidFill>
      </w14:textFill>
    </w:rPr>
  </w:style>
  <w:style w:type="paragraph" w:styleId="43">
    <w:name w:val="List Paragraph"/>
    <w:basedOn w:val="1"/>
    <w:qFormat/>
    <w:uiPriority w:val="34"/>
    <w:pPr>
      <w:ind w:left="720"/>
      <w:contextualSpacing/>
    </w:pPr>
  </w:style>
  <w:style w:type="character" w:customStyle="1" w:styleId="44">
    <w:name w:val="明显强调1"/>
    <w:basedOn w:val="25"/>
    <w:qFormat/>
    <w:uiPriority w:val="21"/>
    <w:rPr>
      <w:i/>
      <w:iCs/>
      <w:color w:val="2F5597" w:themeColor="accent1" w:themeShade="BF"/>
    </w:rPr>
  </w:style>
  <w:style w:type="paragraph" w:styleId="45">
    <w:name w:val="Intense Quote"/>
    <w:basedOn w:val="1"/>
    <w:next w:val="1"/>
    <w:link w:val="4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6">
    <w:name w:val="明显引用 字符"/>
    <w:basedOn w:val="25"/>
    <w:link w:val="45"/>
    <w:qFormat/>
    <w:uiPriority w:val="30"/>
    <w:rPr>
      <w:i/>
      <w:iCs/>
      <w:color w:val="2F5597" w:themeColor="accent1" w:themeShade="BF"/>
    </w:rPr>
  </w:style>
  <w:style w:type="character" w:customStyle="1" w:styleId="47">
    <w:name w:val="明显参考1"/>
    <w:basedOn w:val="25"/>
    <w:qFormat/>
    <w:uiPriority w:val="32"/>
    <w:rPr>
      <w:b/>
      <w:bCs/>
      <w:smallCaps/>
      <w:color w:val="2F5597" w:themeColor="accent1" w:themeShade="BF"/>
      <w:spacing w:val="5"/>
    </w:rPr>
  </w:style>
  <w:style w:type="character" w:customStyle="1" w:styleId="48">
    <w:name w:val="页眉 字符"/>
    <w:basedOn w:val="25"/>
    <w:link w:val="15"/>
    <w:qFormat/>
    <w:uiPriority w:val="99"/>
    <w:rPr>
      <w:sz w:val="18"/>
      <w:szCs w:val="18"/>
    </w:rPr>
  </w:style>
  <w:style w:type="character" w:customStyle="1" w:styleId="49">
    <w:name w:val="页脚 字符"/>
    <w:basedOn w:val="25"/>
    <w:link w:val="14"/>
    <w:qFormat/>
    <w:uiPriority w:val="99"/>
    <w:rPr>
      <w:sz w:val="18"/>
      <w:szCs w:val="18"/>
    </w:rPr>
  </w:style>
  <w:style w:type="character" w:customStyle="1" w:styleId="50">
    <w:name w:val="批注文字 字符"/>
    <w:basedOn w:val="25"/>
    <w:link w:val="11"/>
    <w:semiHidden/>
    <w:qFormat/>
    <w:uiPriority w:val="99"/>
    <w:rPr>
      <w:rFonts w:asciiTheme="minorHAnsi" w:hAnsiTheme="minorHAnsi" w:eastAsiaTheme="minorEastAsia" w:cstheme="minorBidi"/>
      <w:kern w:val="2"/>
      <w:sz w:val="22"/>
      <w:szCs w:val="24"/>
      <w14:ligatures w14:val="standardContextual"/>
    </w:rPr>
  </w:style>
  <w:style w:type="character" w:customStyle="1" w:styleId="51">
    <w:name w:val="批注主题 字符"/>
    <w:basedOn w:val="50"/>
    <w:link w:val="22"/>
    <w:semiHidden/>
    <w:qFormat/>
    <w:uiPriority w:val="99"/>
    <w:rPr>
      <w:rFonts w:asciiTheme="minorHAnsi" w:hAnsiTheme="minorHAnsi" w:eastAsiaTheme="minorEastAsia" w:cstheme="minorBidi"/>
      <w:b/>
      <w:bCs/>
      <w:kern w:val="2"/>
      <w:sz w:val="22"/>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4303</Words>
  <Characters>4369</Characters>
  <Lines>459</Lines>
  <Paragraphs>299</Paragraphs>
  <TotalTime>15</TotalTime>
  <ScaleCrop>false</ScaleCrop>
  <LinksUpToDate>false</LinksUpToDate>
  <CharactersWithSpaces>4450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2025-02-26T00:14:00Z</dcterms:created>
  <dc:creator>13031702788@163.com</dc:creator>
  <cp:lastModifiedBy>uos</cp:lastModifiedBy>
  <cp:lastPrinted>2026-07-03T15:11:50Z</cp:lastPrinted>
  <dcterms:modified xsi:type="dcterms:W3CDTF">2026-07-03T15:27:03Z</dcterms:modified>
  <cp:revision>878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477BD84A042B4A91967F60BD19622E4B_13</vt:lpwstr>
  </property>
  <property fmtid="{D5CDD505-2E9C-101B-9397-08002B2CF9AE}" pid="4" name="KSOTemplateDocerSaveRecord">
    <vt:lpwstr>eyJoZGlkIjoiODlkZDQ0NTJiYjRhY2E1OGFmZGUwYzgxMmQ0OTkxNTUiLCJ1c2VySWQiOiI2MTg3NzY4MDgifQ==</vt:lpwstr>
  </property>
</Properties>
</file>