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Times New Roman" w:hAnsi="Times New Roman" w:cs="Times New Roman"/>
          <w:color w:val="auto"/>
          <w:sz w:val="28"/>
          <w:szCs w:val="28"/>
        </w:rPr>
      </w:pPr>
      <w:r>
        <w:rPr>
          <w:rFonts w:hint="default" w:ascii="Times New Roman" w:hAnsi="Times New Roman" w:eastAsia="方正黑体_GBK" w:cs="Times New Roman"/>
          <w:snapToGrid w:val="0"/>
          <w:color w:val="auto"/>
          <w:kern w:val="0"/>
          <w:sz w:val="28"/>
          <w:szCs w:val="28"/>
        </w:rPr>
        <w:t xml:space="preserve">                                                </w:t>
      </w:r>
    </w:p>
    <w:p>
      <w:pPr>
        <w:pStyle w:val="47"/>
        <w:tabs>
          <w:tab w:val="left" w:pos="2456"/>
        </w:tabs>
        <w:spacing w:line="560" w:lineRule="exact"/>
        <w:rPr>
          <w:rFonts w:hint="default" w:ascii="Times New Roman" w:hAnsi="Times New Roman" w:eastAsia="等线" w:cs="Times New Roman"/>
          <w:color w:val="auto"/>
          <w:sz w:val="28"/>
          <w:szCs w:val="28"/>
        </w:rPr>
      </w:pPr>
      <w:r>
        <w:rPr>
          <w:rFonts w:hint="default" w:ascii="Times New Roman" w:hAnsi="Times New Roman" w:cs="Times New Roman"/>
          <w:color w:val="auto"/>
          <w:sz w:val="28"/>
          <w:szCs w:val="28"/>
        </w:rPr>
        <w:tab/>
      </w:r>
    </w:p>
    <w:p>
      <w:pPr>
        <w:pStyle w:val="17"/>
        <w:adjustRightInd w:val="0"/>
        <w:snapToGrid w:val="0"/>
        <w:spacing w:line="560" w:lineRule="exact"/>
        <w:ind w:firstLine="0"/>
        <w:jc w:val="center"/>
        <w:rPr>
          <w:rFonts w:hint="default" w:ascii="Times New Roman" w:hAnsi="Times New Roman" w:eastAsia="方正小标宋简体" w:cs="Times New Roman"/>
          <w:b w:val="0"/>
          <w:bCs/>
          <w:snapToGrid w:val="0"/>
          <w:color w:val="auto"/>
          <w:spacing w:val="40"/>
          <w:kern w:val="0"/>
          <w:sz w:val="48"/>
          <w:szCs w:val="48"/>
        </w:rPr>
      </w:pPr>
      <w:r>
        <w:rPr>
          <w:rFonts w:hint="default" w:ascii="Times New Roman" w:hAnsi="Times New Roman" w:eastAsia="方正小标宋简体" w:cs="Times New Roman"/>
          <w:b w:val="0"/>
          <w:bCs/>
          <w:snapToGrid w:val="0"/>
          <w:color w:val="auto"/>
          <w:spacing w:val="40"/>
          <w:kern w:val="0"/>
          <w:sz w:val="48"/>
          <w:szCs w:val="48"/>
        </w:rPr>
        <w:t>三亚市“十五五”自然资源</w:t>
      </w:r>
    </w:p>
    <w:p>
      <w:pPr>
        <w:pStyle w:val="17"/>
        <w:adjustRightInd w:val="0"/>
        <w:snapToGrid w:val="0"/>
        <w:spacing w:line="560" w:lineRule="exact"/>
        <w:ind w:firstLine="0"/>
        <w:jc w:val="center"/>
        <w:rPr>
          <w:rFonts w:hint="default" w:ascii="Times New Roman" w:hAnsi="Times New Roman" w:eastAsia="方正小标宋简体" w:cs="Times New Roman"/>
          <w:b w:val="0"/>
          <w:bCs/>
          <w:snapToGrid w:val="0"/>
          <w:color w:val="auto"/>
          <w:spacing w:val="40"/>
          <w:kern w:val="0"/>
          <w:sz w:val="48"/>
          <w:szCs w:val="48"/>
        </w:rPr>
      </w:pPr>
      <w:r>
        <w:rPr>
          <w:rFonts w:hint="default" w:ascii="Times New Roman" w:hAnsi="Times New Roman" w:eastAsia="方正小标宋简体" w:cs="Times New Roman"/>
          <w:b w:val="0"/>
          <w:bCs/>
          <w:snapToGrid w:val="0"/>
          <w:color w:val="auto"/>
          <w:spacing w:val="40"/>
          <w:kern w:val="0"/>
          <w:sz w:val="48"/>
          <w:szCs w:val="48"/>
        </w:rPr>
        <w:t>保护和利用规划</w:t>
      </w:r>
    </w:p>
    <w:p>
      <w:pPr>
        <w:pStyle w:val="2"/>
        <w:spacing w:line="560" w:lineRule="exact"/>
        <w:ind w:firstLine="560"/>
        <w:jc w:val="center"/>
        <w:rPr>
          <w:rFonts w:hint="default" w:ascii="Times New Roman" w:hAnsi="Times New Roman" w:eastAsia="楷体" w:cs="Times New Roman"/>
          <w:snapToGrid w:val="0"/>
          <w:color w:val="auto"/>
          <w:kern w:val="0"/>
          <w:sz w:val="28"/>
          <w:szCs w:val="28"/>
        </w:rPr>
      </w:pPr>
    </w:p>
    <w:p>
      <w:pPr>
        <w:pStyle w:val="2"/>
        <w:spacing w:line="560" w:lineRule="exact"/>
        <w:ind w:firstLine="560"/>
        <w:jc w:val="center"/>
        <w:rPr>
          <w:rFonts w:hint="default" w:ascii="Times New Roman" w:hAnsi="Times New Roman" w:eastAsia="楷体" w:cs="Times New Roman"/>
          <w:snapToGrid w:val="0"/>
          <w:color w:val="auto"/>
          <w:kern w:val="0"/>
          <w:sz w:val="28"/>
          <w:szCs w:val="28"/>
        </w:rPr>
      </w:pPr>
    </w:p>
    <w:p>
      <w:pPr>
        <w:pStyle w:val="2"/>
        <w:spacing w:line="560" w:lineRule="exact"/>
        <w:ind w:firstLine="560"/>
        <w:jc w:val="center"/>
        <w:rPr>
          <w:rFonts w:hint="default" w:ascii="Times New Roman" w:hAnsi="Times New Roman" w:eastAsia="楷体" w:cs="Times New Roman"/>
          <w:snapToGrid w:val="0"/>
          <w:color w:val="auto"/>
          <w:kern w:val="0"/>
          <w:sz w:val="28"/>
          <w:szCs w:val="28"/>
        </w:rPr>
      </w:pPr>
    </w:p>
    <w:p>
      <w:pPr>
        <w:pStyle w:val="2"/>
        <w:spacing w:line="560" w:lineRule="exact"/>
        <w:ind w:firstLine="560"/>
        <w:jc w:val="center"/>
        <w:rPr>
          <w:rFonts w:hint="default" w:ascii="Times New Roman" w:hAnsi="Times New Roman" w:eastAsia="楷体" w:cs="Times New Roman"/>
          <w:snapToGrid w:val="0"/>
          <w:color w:val="auto"/>
          <w:kern w:val="0"/>
          <w:sz w:val="28"/>
          <w:szCs w:val="28"/>
        </w:rPr>
      </w:pPr>
    </w:p>
    <w:p>
      <w:pPr>
        <w:pStyle w:val="2"/>
        <w:spacing w:line="560" w:lineRule="exact"/>
        <w:ind w:firstLine="560"/>
        <w:jc w:val="center"/>
        <w:rPr>
          <w:rFonts w:hint="default" w:ascii="Times New Roman" w:hAnsi="Times New Roman" w:eastAsia="楷体" w:cs="Times New Roman"/>
          <w:snapToGrid w:val="0"/>
          <w:color w:val="auto"/>
          <w:kern w:val="0"/>
          <w:sz w:val="28"/>
          <w:szCs w:val="28"/>
        </w:rPr>
      </w:pPr>
    </w:p>
    <w:p>
      <w:pPr>
        <w:pStyle w:val="2"/>
        <w:spacing w:line="560" w:lineRule="exact"/>
        <w:ind w:firstLine="560"/>
        <w:jc w:val="center"/>
        <w:rPr>
          <w:rFonts w:hint="default" w:ascii="Times New Roman" w:hAnsi="Times New Roman" w:eastAsia="楷体" w:cs="Times New Roman"/>
          <w:snapToGrid w:val="0"/>
          <w:color w:val="auto"/>
          <w:kern w:val="0"/>
          <w:sz w:val="28"/>
          <w:szCs w:val="28"/>
        </w:rPr>
      </w:pPr>
    </w:p>
    <w:p>
      <w:pPr>
        <w:pStyle w:val="2"/>
        <w:spacing w:line="560" w:lineRule="exact"/>
        <w:ind w:firstLine="560"/>
        <w:jc w:val="center"/>
        <w:rPr>
          <w:rFonts w:hint="default" w:ascii="Times New Roman" w:hAnsi="Times New Roman" w:eastAsia="楷体" w:cs="Times New Roman"/>
          <w:snapToGrid w:val="0"/>
          <w:color w:val="auto"/>
          <w:kern w:val="0"/>
          <w:sz w:val="28"/>
          <w:szCs w:val="28"/>
        </w:rPr>
      </w:pPr>
    </w:p>
    <w:p>
      <w:pPr>
        <w:pStyle w:val="2"/>
        <w:spacing w:line="560" w:lineRule="exact"/>
        <w:ind w:firstLine="560"/>
        <w:jc w:val="center"/>
        <w:rPr>
          <w:rFonts w:hint="default" w:ascii="Times New Roman" w:hAnsi="Times New Roman" w:eastAsia="楷体" w:cs="Times New Roman"/>
          <w:snapToGrid w:val="0"/>
          <w:color w:val="auto"/>
          <w:kern w:val="0"/>
          <w:sz w:val="28"/>
          <w:szCs w:val="28"/>
        </w:rPr>
      </w:pPr>
    </w:p>
    <w:p>
      <w:pPr>
        <w:pStyle w:val="2"/>
        <w:spacing w:line="560" w:lineRule="exact"/>
        <w:ind w:firstLine="560"/>
        <w:jc w:val="center"/>
        <w:rPr>
          <w:rFonts w:hint="default" w:ascii="Times New Roman" w:hAnsi="Times New Roman" w:eastAsia="楷体" w:cs="Times New Roman"/>
          <w:snapToGrid w:val="0"/>
          <w:color w:val="auto"/>
          <w:kern w:val="0"/>
          <w:sz w:val="28"/>
          <w:szCs w:val="28"/>
        </w:rPr>
      </w:pPr>
    </w:p>
    <w:p>
      <w:pPr>
        <w:pStyle w:val="2"/>
        <w:spacing w:line="560" w:lineRule="exact"/>
        <w:ind w:firstLine="560"/>
        <w:jc w:val="center"/>
        <w:rPr>
          <w:rFonts w:hint="default" w:ascii="Times New Roman" w:hAnsi="Times New Roman" w:eastAsia="楷体" w:cs="Times New Roman"/>
          <w:snapToGrid w:val="0"/>
          <w:color w:val="auto"/>
          <w:kern w:val="0"/>
          <w:sz w:val="28"/>
          <w:szCs w:val="28"/>
        </w:rPr>
      </w:pPr>
    </w:p>
    <w:p>
      <w:pPr>
        <w:pStyle w:val="2"/>
        <w:spacing w:line="560" w:lineRule="exact"/>
        <w:ind w:firstLine="560"/>
        <w:jc w:val="center"/>
        <w:rPr>
          <w:rFonts w:hint="default" w:ascii="Times New Roman" w:hAnsi="Times New Roman" w:eastAsia="楷体" w:cs="Times New Roman"/>
          <w:snapToGrid w:val="0"/>
          <w:color w:val="auto"/>
          <w:kern w:val="0"/>
          <w:sz w:val="28"/>
          <w:szCs w:val="28"/>
        </w:rPr>
      </w:pPr>
    </w:p>
    <w:p>
      <w:pPr>
        <w:pStyle w:val="2"/>
        <w:spacing w:line="560" w:lineRule="exact"/>
        <w:ind w:firstLine="0" w:firstLineChars="0"/>
        <w:jc w:val="center"/>
        <w:rPr>
          <w:rFonts w:hint="default" w:ascii="Times New Roman" w:hAnsi="Times New Roman" w:eastAsia="楷体" w:cs="Times New Roman"/>
          <w:snapToGrid w:val="0"/>
          <w:color w:val="auto"/>
          <w:kern w:val="0"/>
          <w:sz w:val="28"/>
          <w:szCs w:val="28"/>
        </w:rPr>
      </w:pPr>
    </w:p>
    <w:p>
      <w:pPr>
        <w:pStyle w:val="2"/>
        <w:spacing w:line="560" w:lineRule="exact"/>
        <w:ind w:firstLine="0" w:firstLineChars="0"/>
        <w:jc w:val="center"/>
        <w:rPr>
          <w:rFonts w:hint="default" w:ascii="Times New Roman" w:hAnsi="Times New Roman" w:eastAsia="楷体" w:cs="Times New Roman"/>
          <w:snapToGrid w:val="0"/>
          <w:color w:val="auto"/>
          <w:kern w:val="0"/>
          <w:sz w:val="28"/>
          <w:szCs w:val="28"/>
        </w:rPr>
      </w:pPr>
    </w:p>
    <w:p>
      <w:pPr>
        <w:pStyle w:val="2"/>
        <w:spacing w:line="560" w:lineRule="exact"/>
        <w:ind w:firstLine="0" w:firstLineChars="0"/>
        <w:jc w:val="center"/>
        <w:rPr>
          <w:rFonts w:hint="default" w:ascii="Times New Roman" w:hAnsi="Times New Roman" w:eastAsia="楷体" w:cs="Times New Roman"/>
          <w:snapToGrid w:val="0"/>
          <w:color w:val="auto"/>
          <w:kern w:val="0"/>
          <w:sz w:val="28"/>
          <w:szCs w:val="28"/>
        </w:rPr>
      </w:pPr>
    </w:p>
    <w:p>
      <w:pPr>
        <w:pStyle w:val="2"/>
        <w:spacing w:line="560" w:lineRule="exact"/>
        <w:ind w:firstLine="0" w:firstLineChars="0"/>
        <w:jc w:val="center"/>
        <w:rPr>
          <w:rFonts w:hint="default" w:ascii="Times New Roman" w:hAnsi="Times New Roman" w:eastAsia="楷体" w:cs="Times New Roman"/>
          <w:snapToGrid w:val="0"/>
          <w:color w:val="auto"/>
          <w:kern w:val="0"/>
          <w:sz w:val="28"/>
          <w:szCs w:val="28"/>
        </w:rPr>
      </w:pPr>
    </w:p>
    <w:p>
      <w:pPr>
        <w:pStyle w:val="2"/>
        <w:spacing w:line="560" w:lineRule="exact"/>
        <w:ind w:firstLine="0" w:firstLineChars="0"/>
        <w:jc w:val="center"/>
        <w:rPr>
          <w:rFonts w:hint="default" w:ascii="Times New Roman" w:hAnsi="Times New Roman" w:eastAsia="仿宋_GB2312" w:cs="Times New Roman"/>
          <w:snapToGrid w:val="0"/>
          <w:color w:val="auto"/>
          <w:kern w:val="0"/>
          <w:sz w:val="32"/>
          <w:szCs w:val="32"/>
          <w:lang w:val="en"/>
        </w:rPr>
      </w:pPr>
      <w:r>
        <w:rPr>
          <w:rFonts w:hint="default" w:ascii="Times New Roman" w:hAnsi="Times New Roman" w:eastAsia="仿宋_GB2312" w:cs="Times New Roman"/>
          <w:snapToGrid w:val="0"/>
          <w:color w:val="auto"/>
          <w:kern w:val="0"/>
          <w:sz w:val="32"/>
          <w:szCs w:val="32"/>
          <w:lang w:val="en"/>
        </w:rPr>
        <w:t>三亚市自然资源和规划局</w:t>
      </w:r>
    </w:p>
    <w:p>
      <w:pPr>
        <w:adjustRightInd w:val="0"/>
        <w:snapToGrid w:val="0"/>
        <w:spacing w:line="560" w:lineRule="exact"/>
        <w:jc w:val="center"/>
        <w:rPr>
          <w:rFonts w:hint="default" w:ascii="Times New Roman" w:hAnsi="Times New Roman" w:eastAsia="仿宋_GB2312" w:cs="Times New Roman"/>
          <w:bCs/>
          <w:snapToGrid w:val="0"/>
          <w:color w:val="auto"/>
          <w:kern w:val="0"/>
          <w:sz w:val="32"/>
          <w:szCs w:val="32"/>
        </w:rPr>
        <w:sectPr>
          <w:footerReference r:id="rId3" w:type="default"/>
          <w:pgSz w:w="11900" w:h="16840"/>
          <w:pgMar w:top="2098" w:right="1474" w:bottom="1985" w:left="1588" w:header="851" w:footer="992" w:gutter="340"/>
          <w:lnNumType w:countBy="0" w:restart="continuous"/>
          <w:pgNumType w:fmt="decimal"/>
          <w:cols w:space="720" w:num="1"/>
          <w:docGrid w:type="lines" w:linePitch="312" w:charSpace="0"/>
        </w:sectPr>
      </w:pPr>
      <w:r>
        <w:rPr>
          <w:rFonts w:hint="default" w:ascii="Times New Roman" w:hAnsi="Times New Roman" w:eastAsia="仿宋_GB2312" w:cs="Times New Roman"/>
          <w:bCs/>
          <w:snapToGrid w:val="0"/>
          <w:color w:val="auto"/>
          <w:kern w:val="0"/>
          <w:sz w:val="32"/>
          <w:szCs w:val="32"/>
        </w:rPr>
        <w:t>2026年</w:t>
      </w:r>
      <w:r>
        <w:rPr>
          <w:rFonts w:hint="default" w:ascii="Times New Roman" w:hAnsi="Times New Roman" w:eastAsia="仿宋_GB2312" w:cs="Times New Roman"/>
          <w:bCs/>
          <w:snapToGrid w:val="0"/>
          <w:color w:val="auto"/>
          <w:kern w:val="0"/>
          <w:sz w:val="32"/>
          <w:szCs w:val="32"/>
          <w:lang w:val="en" w:eastAsia="zh-CN"/>
        </w:rPr>
        <w:t>7</w:t>
      </w:r>
      <w:r>
        <w:rPr>
          <w:rFonts w:hint="default" w:ascii="Times New Roman" w:hAnsi="Times New Roman" w:eastAsia="仿宋_GB2312" w:cs="Times New Roman"/>
          <w:bCs/>
          <w:snapToGrid w:val="0"/>
          <w:color w:val="auto"/>
          <w:kern w:val="0"/>
          <w:sz w:val="32"/>
          <w:szCs w:val="32"/>
        </w:rPr>
        <w:t>月</w:t>
      </w:r>
    </w:p>
    <w:p>
      <w:pPr>
        <w:pStyle w:val="13"/>
        <w:spacing w:line="560" w:lineRule="exact"/>
        <w:ind w:left="0"/>
        <w:jc w:val="center"/>
        <w:rPr>
          <w:rFonts w:hint="default" w:ascii="Times New Roman" w:hAnsi="Times New Roman" w:eastAsia="方正小标宋简体" w:cs="Times New Roman"/>
          <w:color w:val="auto"/>
          <w:kern w:val="0"/>
          <w:sz w:val="44"/>
          <w:szCs w:val="44"/>
          <w:lang w:val="en" w:bidi="ar"/>
        </w:rPr>
      </w:pPr>
      <w:r>
        <w:rPr>
          <w:rFonts w:hint="default" w:ascii="Times New Roman" w:hAnsi="Times New Roman" w:eastAsia="方正小标宋简体" w:cs="Times New Roman"/>
          <w:color w:val="auto"/>
          <w:kern w:val="0"/>
          <w:sz w:val="44"/>
          <w:szCs w:val="44"/>
          <w:lang w:val="en" w:bidi="ar"/>
        </w:rPr>
        <w:t xml:space="preserve">目 </w:t>
      </w:r>
      <w:r>
        <w:rPr>
          <w:rFonts w:hint="default" w:ascii="Times New Roman" w:hAnsi="Times New Roman" w:eastAsia="方正小标宋简体" w:cs="Times New Roman"/>
          <w:color w:val="auto"/>
          <w:kern w:val="0"/>
          <w:sz w:val="44"/>
          <w:szCs w:val="44"/>
          <w:lang w:bidi="ar"/>
        </w:rPr>
        <w:t xml:space="preserve"> </w:t>
      </w:r>
      <w:r>
        <w:rPr>
          <w:rFonts w:hint="default" w:ascii="Times New Roman" w:hAnsi="Times New Roman" w:eastAsia="方正小标宋简体" w:cs="Times New Roman"/>
          <w:color w:val="auto"/>
          <w:kern w:val="0"/>
          <w:sz w:val="44"/>
          <w:szCs w:val="44"/>
          <w:lang w:val="en" w:bidi="ar"/>
        </w:rPr>
        <w:t>录</w:t>
      </w:r>
    </w:p>
    <w:p>
      <w:pPr>
        <w:pStyle w:val="21"/>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color w:val="auto"/>
          <w:kern w:val="0"/>
          <w:sz w:val="28"/>
          <w:szCs w:val="28"/>
          <w:lang w:bidi="ar"/>
        </w:rPr>
        <w:instrText xml:space="preserve">TOC \o "1-3" \h \u </w:instrText>
      </w:r>
      <w:r>
        <w:rPr>
          <w:rFonts w:hint="default" w:ascii="Times New Roman" w:hAnsi="Times New Roman" w:eastAsia="仿宋_GB2312" w:cs="Times New Roman"/>
          <w:color w:val="auto"/>
          <w:kern w:val="0"/>
          <w:sz w:val="28"/>
          <w:szCs w:val="28"/>
          <w:lang w:bidi="ar"/>
        </w:rPr>
        <w:fldChar w:fldCharType="separate"/>
      </w:r>
      <w:r>
        <w:rPr>
          <w:rFonts w:hint="default" w:ascii="Times New Roman" w:hAnsi="Times New Roman" w:eastAsia="黑体" w:cs="Times New Roman"/>
          <w:kern w:val="0"/>
          <w:sz w:val="28"/>
          <w:szCs w:val="28"/>
          <w:lang w:bidi="ar"/>
        </w:rPr>
        <w:fldChar w:fldCharType="begin"/>
      </w:r>
      <w:r>
        <w:rPr>
          <w:rFonts w:hint="default" w:ascii="Times New Roman" w:hAnsi="Times New Roman" w:eastAsia="黑体" w:cs="Times New Roman"/>
          <w:kern w:val="0"/>
          <w:sz w:val="28"/>
          <w:szCs w:val="28"/>
          <w:lang w:bidi="ar"/>
        </w:rPr>
        <w:instrText xml:space="preserve"> HYPERLINK \l _Toc1299586618 </w:instrText>
      </w:r>
      <w:r>
        <w:rPr>
          <w:rFonts w:hint="default" w:ascii="Times New Roman" w:hAnsi="Times New Roman" w:eastAsia="黑体" w:cs="Times New Roman"/>
          <w:kern w:val="0"/>
          <w:sz w:val="28"/>
          <w:szCs w:val="28"/>
          <w:lang w:bidi="ar"/>
        </w:rPr>
        <w:fldChar w:fldCharType="separate"/>
      </w:r>
      <w:r>
        <w:rPr>
          <w:rFonts w:hint="default" w:ascii="Times New Roman" w:hAnsi="Times New Roman" w:eastAsia="黑体" w:cs="Times New Roman"/>
          <w:kern w:val="0"/>
          <w:sz w:val="28"/>
          <w:szCs w:val="28"/>
          <w:lang w:bidi="ar"/>
        </w:rPr>
        <w:t>前  言</w:t>
      </w:r>
      <w:r>
        <w:rPr>
          <w:rFonts w:hint="default" w:ascii="Times New Roman" w:hAnsi="Times New Roman" w:eastAsia="黑体" w:cs="Times New Roman"/>
          <w:kern w:val="0"/>
          <w:sz w:val="28"/>
          <w:szCs w:val="28"/>
          <w:lang w:bidi="ar"/>
        </w:rPr>
        <w:tab/>
      </w:r>
      <w:r>
        <w:rPr>
          <w:rFonts w:hint="default" w:ascii="Times New Roman" w:hAnsi="Times New Roman" w:eastAsia="仿宋_GB2312" w:cs="Times New Roman"/>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PAGEREF _Toc1299586618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kern w:val="0"/>
          <w:sz w:val="28"/>
          <w:szCs w:val="28"/>
          <w:lang w:bidi="ar"/>
        </w:rPr>
        <w:t>1</w:t>
      </w:r>
      <w:r>
        <w:rPr>
          <w:rFonts w:hint="default" w:ascii="Times New Roman" w:hAnsi="Times New Roman" w:eastAsia="仿宋_GB2312" w:cs="Times New Roman"/>
          <w:kern w:val="0"/>
          <w:sz w:val="28"/>
          <w:szCs w:val="28"/>
          <w:lang w:bidi="ar"/>
        </w:rPr>
        <w:fldChar w:fldCharType="end"/>
      </w:r>
      <w:r>
        <w:rPr>
          <w:rFonts w:hint="default" w:ascii="Times New Roman" w:hAnsi="Times New Roman" w:eastAsia="黑体" w:cs="Times New Roman"/>
          <w:kern w:val="0"/>
          <w:sz w:val="28"/>
          <w:szCs w:val="28"/>
          <w:lang w:bidi="ar"/>
        </w:rPr>
        <w:fldChar w:fldCharType="end"/>
      </w:r>
    </w:p>
    <w:p>
      <w:pPr>
        <w:pStyle w:val="21"/>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_Toc946731654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黑体" w:cs="Times New Roman"/>
          <w:sz w:val="28"/>
          <w:szCs w:val="28"/>
        </w:rPr>
        <w:t>第一章  现状与形势</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_Toc946731654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_Toc1289364122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sz w:val="28"/>
          <w:szCs w:val="28"/>
        </w:rPr>
        <w:t>第一节  “十四五”时期主要成效</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_Toc1289364122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_Toc1564258060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bCs w:val="0"/>
          <w:sz w:val="28"/>
          <w:szCs w:val="28"/>
        </w:rPr>
        <w:t xml:space="preserve">第二节 </w:t>
      </w:r>
      <w:r>
        <w:rPr>
          <w:rFonts w:hint="default" w:ascii="Times New Roman" w:hAnsi="Times New Roman" w:eastAsia="仿宋_GB2312" w:cs="Times New Roman"/>
          <w:bCs w:val="0"/>
          <w:sz w:val="28"/>
          <w:szCs w:val="28"/>
          <w:lang w:val="en"/>
        </w:rPr>
        <w:t xml:space="preserve"> </w:t>
      </w:r>
      <w:r>
        <w:rPr>
          <w:rFonts w:hint="default" w:ascii="Times New Roman" w:hAnsi="Times New Roman" w:eastAsia="仿宋_GB2312" w:cs="Times New Roman"/>
          <w:bCs w:val="0"/>
          <w:sz w:val="28"/>
          <w:szCs w:val="28"/>
        </w:rPr>
        <w:t>“十四五”时期面临问题</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_Toc1564258060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_Toc578378209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bCs w:val="0"/>
          <w:sz w:val="28"/>
          <w:szCs w:val="28"/>
        </w:rPr>
        <w:t>第三节</w:t>
      </w:r>
      <w:r>
        <w:rPr>
          <w:rFonts w:hint="default" w:ascii="Times New Roman" w:hAnsi="Times New Roman" w:eastAsia="仿宋_GB2312" w:cs="Times New Roman"/>
          <w:bCs w:val="0"/>
          <w:sz w:val="28"/>
          <w:szCs w:val="28"/>
          <w:lang w:val="en"/>
        </w:rPr>
        <w:t xml:space="preserve"> </w:t>
      </w:r>
      <w:r>
        <w:rPr>
          <w:rFonts w:hint="default" w:ascii="Times New Roman" w:hAnsi="Times New Roman" w:eastAsia="仿宋_GB2312" w:cs="Times New Roman"/>
          <w:bCs w:val="0"/>
          <w:sz w:val="28"/>
          <w:szCs w:val="28"/>
        </w:rPr>
        <w:t xml:space="preserve"> “十五五”时期发展形势</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_Toc578378209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8</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1"/>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_Toc297256073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黑体" w:cs="Times New Roman"/>
          <w:kern w:val="0"/>
          <w:sz w:val="28"/>
          <w:szCs w:val="28"/>
          <w:lang w:bidi="ar"/>
        </w:rPr>
        <w:t>第二章  总体要求</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_Toc297256073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_Toc2085628162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sz w:val="28"/>
          <w:szCs w:val="28"/>
        </w:rPr>
        <w:t>第一节  指导思想</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_Toc2085628162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_Toc1239397916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sz w:val="28"/>
          <w:szCs w:val="28"/>
        </w:rPr>
        <w:t>第二节  基本原则</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_Toc1239397916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_Toc852808812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sz w:val="28"/>
          <w:szCs w:val="28"/>
        </w:rPr>
        <w:t>第三节  主要目标</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_Toc852808812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12</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1"/>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_Toc180243476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黑体" w:cs="Times New Roman"/>
          <w:kern w:val="0"/>
          <w:sz w:val="28"/>
          <w:szCs w:val="28"/>
          <w:lang w:bidi="ar"/>
        </w:rPr>
        <w:t>第三章  优化国土空间发展格局</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_Toc180243476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17</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_Toc576553401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sz w:val="28"/>
          <w:szCs w:val="28"/>
        </w:rPr>
        <w:t>第一节  构建区域协调发展新格局</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_Toc576553401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17</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_Toc894284584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sz w:val="28"/>
          <w:szCs w:val="28"/>
        </w:rPr>
        <w:t>第二节  统筹国土空间布局优化与管理</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_Toc894284584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20</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_Toc1274394010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sz w:val="28"/>
          <w:szCs w:val="28"/>
        </w:rPr>
        <w:t>第三节  推动新型城镇化建设</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_Toc1274394010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22</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_Toc1481926581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sz w:val="28"/>
          <w:szCs w:val="28"/>
        </w:rPr>
        <w:t>第四节  支撑乡村全面振兴</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_Toc1481926581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25</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1"/>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_Toc1536117099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黑体" w:cs="Times New Roman"/>
          <w:kern w:val="0"/>
          <w:sz w:val="28"/>
          <w:szCs w:val="28"/>
          <w:lang w:bidi="ar"/>
        </w:rPr>
        <w:t>第四章 落实最严格的耕地保护制度</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_Toc1536117099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28</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_Toc275659091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sz w:val="28"/>
          <w:szCs w:val="28"/>
        </w:rPr>
        <w:t>第一节  严守耕地和永久基本农田保护红线</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_Toc275659091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28</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_Toc1950794378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sz w:val="28"/>
          <w:szCs w:val="28"/>
        </w:rPr>
        <w:t>第二节  优化耕地空间布局</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_Toc1950794378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30</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_Toc58294047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sz w:val="28"/>
          <w:szCs w:val="28"/>
        </w:rPr>
        <w:t>第三节  落实耕地保护监管机制</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_Toc58294047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32</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1"/>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_Toc1103646303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黑体" w:cs="Times New Roman"/>
          <w:kern w:val="0"/>
          <w:sz w:val="28"/>
          <w:szCs w:val="28"/>
          <w:lang w:bidi="ar"/>
        </w:rPr>
        <w:t>第五章  加强自然资源资产管理</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_Toc1103646303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33</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_Toc121987891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sz w:val="28"/>
          <w:szCs w:val="28"/>
        </w:rPr>
        <w:t>第一节  开展自然资源统一调查监测和确权登记</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_Toc121987891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33</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_Toc394341877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sz w:val="28"/>
          <w:szCs w:val="28"/>
        </w:rPr>
        <w:t>第二节  深化自然资源资产产权管理</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_Toc394341877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36</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_Toc17456251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sz w:val="28"/>
          <w:szCs w:val="28"/>
        </w:rPr>
        <w:t>第三节  集约高效利用自然资源</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_Toc17456251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37</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_Toc308545645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sz w:val="28"/>
          <w:szCs w:val="28"/>
        </w:rPr>
        <w:t>第四节  大力推进存量资源盘活利用</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_Toc308545645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39</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1"/>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_Toc529996772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黑体" w:cs="Times New Roman"/>
          <w:kern w:val="0"/>
          <w:sz w:val="28"/>
          <w:szCs w:val="28"/>
          <w:lang w:bidi="ar"/>
        </w:rPr>
        <w:t>第六章  强化自然资源要素保障与防灾减灾能力</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_Toc529996772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43</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_Toc738940413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sz w:val="28"/>
          <w:szCs w:val="28"/>
        </w:rPr>
        <w:t>第一节</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保障重点园区与重大项目资源要素需求</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_Toc738940413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43</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_Toc936439932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sz w:val="28"/>
          <w:szCs w:val="28"/>
        </w:rPr>
        <w:t xml:space="preserve">第二节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优化土地供应与利用模式</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_Toc936439932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45</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_Toc1127495868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sz w:val="28"/>
          <w:szCs w:val="28"/>
        </w:rPr>
        <w:t>第三节</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推进矿产资源勘查普查、供给和</w:t>
      </w:r>
      <w:r>
        <w:rPr>
          <w:rFonts w:hint="default" w:ascii="Times New Roman" w:hAnsi="Times New Roman" w:eastAsia="仿宋_GB2312" w:cs="Times New Roman"/>
          <w:sz w:val="28"/>
          <w:szCs w:val="28"/>
          <w:lang w:val="en-US" w:eastAsia="zh-CN"/>
        </w:rPr>
        <w:t>生态治理</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_Toc1127495868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47</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_Toc1019815622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sz w:val="28"/>
          <w:szCs w:val="28"/>
        </w:rPr>
        <w:t>第四节</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优化水资源用地布局</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_Toc1019815622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48</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_Toc2122828433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sz w:val="28"/>
          <w:szCs w:val="28"/>
        </w:rPr>
        <w:t>第</w:t>
      </w:r>
      <w:r>
        <w:rPr>
          <w:rFonts w:hint="default" w:ascii="Times New Roman" w:hAnsi="Times New Roman" w:eastAsia="仿宋_GB2312" w:cs="Times New Roman"/>
          <w:sz w:val="28"/>
          <w:szCs w:val="28"/>
          <w:lang w:val="en-US" w:eastAsia="zh-CN"/>
        </w:rPr>
        <w:t>五</w:t>
      </w:r>
      <w:r>
        <w:rPr>
          <w:rFonts w:hint="default" w:ascii="Times New Roman" w:hAnsi="Times New Roman" w:eastAsia="仿宋_GB2312" w:cs="Times New Roman"/>
          <w:sz w:val="28"/>
          <w:szCs w:val="28"/>
        </w:rPr>
        <w:t>节</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提升</w:t>
      </w:r>
      <w:r>
        <w:rPr>
          <w:rFonts w:hint="default" w:ascii="Times New Roman" w:hAnsi="Times New Roman" w:eastAsia="仿宋_GB2312" w:cs="Times New Roman"/>
          <w:sz w:val="28"/>
          <w:szCs w:val="28"/>
          <w:lang w:val="en-US" w:eastAsia="zh-CN"/>
        </w:rPr>
        <w:t>防灾减灾</w:t>
      </w:r>
      <w:r>
        <w:rPr>
          <w:rFonts w:hint="default" w:ascii="Times New Roman" w:hAnsi="Times New Roman" w:eastAsia="仿宋_GB2312" w:cs="Times New Roman"/>
          <w:sz w:val="28"/>
          <w:szCs w:val="28"/>
          <w:lang w:eastAsia="zh-CN"/>
        </w:rPr>
        <w:t>能力</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_Toc2122828433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49</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1"/>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_Toc2015984736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黑体" w:cs="Times New Roman"/>
          <w:kern w:val="0"/>
          <w:sz w:val="28"/>
          <w:szCs w:val="28"/>
          <w:lang w:bidi="ar"/>
        </w:rPr>
        <w:t>第七章  加强海洋资源开发保护服务海洋强市</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_Toc2015984736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50</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_Toc378365418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bCs w:val="0"/>
          <w:sz w:val="28"/>
          <w:szCs w:val="28"/>
        </w:rPr>
        <w:t>第一节  推进海域合理布局与资源有序利用</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_Toc378365418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50</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_Toc1274931403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bCs w:val="0"/>
          <w:sz w:val="28"/>
          <w:szCs w:val="28"/>
        </w:rPr>
        <w:t>第二节  提高海洋资源服务保障和监管能力</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_Toc1274931403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52</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1"/>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_Toc815232742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黑体" w:cs="Times New Roman"/>
          <w:kern w:val="0"/>
          <w:sz w:val="28"/>
          <w:szCs w:val="28"/>
          <w:lang w:bidi="ar"/>
        </w:rPr>
        <w:t>第八章  推进国土空间生态保护修复提质增效</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_Toc815232742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54</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_Toc1667729540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bCs w:val="0"/>
          <w:sz w:val="28"/>
          <w:szCs w:val="28"/>
        </w:rPr>
        <w:t>第一节  做好生态保护修复及系统治理</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_Toc1667729540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54</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_Toc691705815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bCs w:val="0"/>
          <w:sz w:val="28"/>
          <w:szCs w:val="28"/>
        </w:rPr>
        <w:t>第二节  持续推进海洋生态保护修复</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_Toc691705815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55</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_Toc1393610952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bCs w:val="0"/>
          <w:sz w:val="28"/>
          <w:szCs w:val="28"/>
        </w:rPr>
        <w:t>第三节  加强陆域生态保护修复</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_Toc1393610952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57</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1"/>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_Toc1964985614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黑体" w:cs="Times New Roman"/>
          <w:kern w:val="0"/>
          <w:sz w:val="28"/>
          <w:szCs w:val="28"/>
          <w:lang w:bidi="ar"/>
        </w:rPr>
        <w:t>第九章  推进自然资源治理体系和治理能力现代化</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_Toc1964985614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58</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_Toc629850330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bCs/>
          <w:sz w:val="28"/>
          <w:szCs w:val="28"/>
        </w:rPr>
        <w:t>第一节  深化自然资源领域改革</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_Toc629850330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58</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_Toc485525220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bCs/>
          <w:sz w:val="28"/>
          <w:szCs w:val="28"/>
        </w:rPr>
        <w:t>第二节  健全自然资源法治与监管体系</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_Toc485525220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59</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_Toc670310778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bCs/>
          <w:sz w:val="28"/>
          <w:szCs w:val="28"/>
        </w:rPr>
        <w:t>第三节  推进数字化治理与科技创新应用</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_Toc670310778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1"/>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_Toc810093806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黑体" w:cs="Times New Roman"/>
          <w:kern w:val="0"/>
          <w:sz w:val="28"/>
          <w:szCs w:val="28"/>
          <w:lang w:bidi="ar"/>
        </w:rPr>
        <w:t>第十章  保障措施</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_Toc810093806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62</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_Toc1062078621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bCs/>
          <w:sz w:val="28"/>
          <w:szCs w:val="28"/>
        </w:rPr>
        <w:t>第一节  坚持党的全面领导</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_Toc1062078621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62</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_Toc1564595362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bCs/>
          <w:sz w:val="28"/>
          <w:szCs w:val="28"/>
        </w:rPr>
        <w:t>第二节  锻造高素质人才队伍</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_Toc1564595362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63</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_Toc2084487816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bCs/>
          <w:sz w:val="28"/>
          <w:szCs w:val="28"/>
        </w:rPr>
        <w:t>第三节  加强实施监督评估</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_Toc2084487816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64</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24"/>
        <w:keepNext w:val="0"/>
        <w:keepLines w:val="0"/>
        <w:pageBreakBefore w:val="0"/>
        <w:widowControl w:val="0"/>
        <w:tabs>
          <w:tab w:val="right" w:leader="dot" w:pos="8499"/>
        </w:tabs>
        <w:kinsoku/>
        <w:wordWrap/>
        <w:overflowPunct/>
        <w:topLinePunct w:val="0"/>
        <w:autoSpaceDE/>
        <w:autoSpaceDN/>
        <w:bidi w:val="0"/>
        <w:adjustRightInd/>
        <w:snapToGrid/>
        <w:spacing w:line="520" w:lineRule="exact"/>
        <w:textAlignment w:val="auto"/>
        <w:rPr>
          <w:rFonts w:hint="default" w:ascii="Times New Roman" w:hAnsi="Times New Roman" w:cs="Times New Roman"/>
        </w:rPr>
      </w:pPr>
      <w:r>
        <w:rPr>
          <w:rFonts w:hint="default" w:ascii="Times New Roman" w:hAnsi="Times New Roman" w:eastAsia="仿宋_GB2312" w:cs="Times New Roman"/>
          <w:color w:val="auto"/>
          <w:kern w:val="0"/>
          <w:sz w:val="28"/>
          <w:szCs w:val="28"/>
          <w:lang w:bidi="ar"/>
        </w:rPr>
        <w:fldChar w:fldCharType="begin"/>
      </w:r>
      <w:r>
        <w:rPr>
          <w:rFonts w:hint="default" w:ascii="Times New Roman" w:hAnsi="Times New Roman" w:eastAsia="仿宋_GB2312" w:cs="Times New Roman"/>
          <w:kern w:val="0"/>
          <w:sz w:val="28"/>
          <w:szCs w:val="28"/>
          <w:lang w:bidi="ar"/>
        </w:rPr>
        <w:instrText xml:space="preserve"> HYPERLINK \l _Toc396521554 </w:instrText>
      </w:r>
      <w:r>
        <w:rPr>
          <w:rFonts w:hint="default" w:ascii="Times New Roman" w:hAnsi="Times New Roman" w:eastAsia="仿宋_GB2312" w:cs="Times New Roman"/>
          <w:kern w:val="0"/>
          <w:sz w:val="28"/>
          <w:szCs w:val="28"/>
          <w:lang w:bidi="ar"/>
        </w:rPr>
        <w:fldChar w:fldCharType="separate"/>
      </w:r>
      <w:r>
        <w:rPr>
          <w:rFonts w:hint="default" w:ascii="Times New Roman" w:hAnsi="Times New Roman" w:eastAsia="仿宋_GB2312" w:cs="Times New Roman"/>
          <w:bCs/>
          <w:sz w:val="28"/>
          <w:szCs w:val="28"/>
          <w:lang w:val="en"/>
        </w:rPr>
        <w:t>第四节</w:t>
      </w:r>
      <w:r>
        <w:rPr>
          <w:rFonts w:hint="default" w:ascii="Times New Roman" w:hAnsi="Times New Roman" w:eastAsia="仿宋_GB2312" w:cs="Times New Roman"/>
          <w:bCs/>
          <w:sz w:val="28"/>
          <w:szCs w:val="28"/>
        </w:rPr>
        <w:t xml:space="preserve">  凝聚动员社会力量</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_Toc396521554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64</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28"/>
          <w:szCs w:val="28"/>
          <w:lang w:bidi="ar"/>
        </w:rPr>
        <w:fldChar w:fldCharType="end"/>
      </w:r>
    </w:p>
    <w:p>
      <w:pPr>
        <w:pStyle w:val="12"/>
        <w:keepNext w:val="0"/>
        <w:keepLines w:val="0"/>
        <w:pageBreakBefore w:val="0"/>
        <w:widowControl w:val="0"/>
        <w:kinsoku/>
        <w:wordWrap/>
        <w:overflowPunct/>
        <w:topLinePunct w:val="0"/>
        <w:autoSpaceDE/>
        <w:autoSpaceDN/>
        <w:bidi w:val="0"/>
        <w:adjustRightInd/>
        <w:snapToGrid/>
        <w:spacing w:after="0" w:line="520" w:lineRule="exact"/>
        <w:ind w:left="0" w:leftChars="0" w:firstLine="420" w:firstLineChars="200"/>
        <w:jc w:val="left"/>
        <w:textAlignment w:val="auto"/>
        <w:rPr>
          <w:rFonts w:hint="default" w:ascii="Times New Roman" w:hAnsi="Times New Roman" w:cs="Times New Roman"/>
          <w:color w:val="auto"/>
          <w:kern w:val="0"/>
          <w:sz w:val="28"/>
          <w:szCs w:val="28"/>
          <w:lang w:bidi="ar"/>
        </w:rPr>
        <w:sectPr>
          <w:footerReference r:id="rId4" w:type="default"/>
          <w:pgSz w:w="11900" w:h="16840"/>
          <w:pgMar w:top="2098" w:right="1474" w:bottom="1984" w:left="1587" w:header="851" w:footer="992" w:gutter="340"/>
          <w:lnNumType w:countBy="0" w:restart="continuous"/>
          <w:pgNumType w:fmt="decimal" w:start="1"/>
          <w:cols w:space="720" w:num="1"/>
          <w:docGrid w:type="lines" w:linePitch="312" w:charSpace="0"/>
        </w:sectPr>
      </w:pPr>
      <w:r>
        <w:rPr>
          <w:rFonts w:hint="default" w:ascii="Times New Roman" w:hAnsi="Times New Roman" w:eastAsia="仿宋_GB2312" w:cs="Times New Roman"/>
          <w:color w:val="auto"/>
          <w:kern w:val="0"/>
          <w:szCs w:val="28"/>
          <w:lang w:bidi="ar"/>
        </w:rPr>
        <w:fldChar w:fldCharType="end"/>
      </w:r>
    </w:p>
    <w:p>
      <w:pPr>
        <w:pStyle w:val="4"/>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color w:val="auto"/>
          <w:sz w:val="44"/>
          <w:lang w:bidi="ar"/>
        </w:rPr>
      </w:pPr>
      <w:bookmarkStart w:id="0" w:name="_Toc1299586618"/>
      <w:bookmarkStart w:id="1" w:name="_Toc147051805"/>
      <w:r>
        <w:rPr>
          <w:rFonts w:hint="default" w:ascii="Times New Roman" w:hAnsi="Times New Roman" w:cs="Times New Roman"/>
          <w:color w:val="auto"/>
          <w:sz w:val="44"/>
          <w:lang w:bidi="ar"/>
        </w:rPr>
        <w:t>前  言</w:t>
      </w:r>
      <w:bookmarkEnd w:id="0"/>
      <w:bookmarkEnd w:id="1"/>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为深入学习贯彻习近平生态文明思想和习近平总书记关于自然资源工作重要论述、关于海南工作的系列重要讲话和指示批示精神，全面落实《海南省“十五五”自然资源保护和利用规划（送审稿）》《三亚市国民经济和社会发展第十五个五年规划纲要》《三亚市国土空间总体规划（2021—2035年）》部署要求，以建设21世纪海上丝绸之路战略支点、国际旅游胜地、海南自贸港科创高地为战略目标，立足三亚陆海统筹、山海联动、资源融通的资源禀赋，统筹发展与安全、保护与开发、利用与修复，深化运用“四位一体”资源要素保障体系，切实履行“两统一”核心职责，科学谋划“十五五”时期全市自然资源保护、开发、利用、整治、修复与管理工作，严守耕地保护红线，筑牢生态安全屏障，优化国土空间布局，提升资源节约集约利用水平，服务“一标杆、五个区”，助力</w:t>
      </w:r>
      <w:r>
        <w:rPr>
          <w:rFonts w:hint="default" w:ascii="Times New Roman" w:hAnsi="Times New Roman" w:eastAsia="仿宋_GB2312" w:cs="Times New Roman"/>
          <w:color w:val="auto"/>
          <w:kern w:val="0"/>
          <w:sz w:val="32"/>
          <w:szCs w:val="32"/>
          <w:lang w:val="en" w:eastAsia="zh-CN" w:bidi="ar"/>
        </w:rPr>
        <w:t>崖州湾科技城高新区</w:t>
      </w:r>
      <w:r>
        <w:rPr>
          <w:rFonts w:hint="default" w:ascii="Times New Roman" w:hAnsi="Times New Roman" w:eastAsia="仿宋_GB2312" w:cs="Times New Roman"/>
          <w:color w:val="auto"/>
          <w:kern w:val="0"/>
          <w:sz w:val="32"/>
          <w:szCs w:val="32"/>
          <w:lang w:bidi="ar"/>
        </w:rPr>
        <w:t>、中央商务区、三亚海棠湾国家海岸休闲园区重点园区建设，特编制本规划。</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cs="Times New Roman"/>
          <w:color w:val="auto"/>
        </w:rPr>
      </w:pPr>
      <w:r>
        <w:rPr>
          <w:rFonts w:hint="default" w:ascii="Times New Roman" w:hAnsi="Times New Roman" w:eastAsia="仿宋_GB2312" w:cs="Times New Roman"/>
          <w:color w:val="auto"/>
          <w:kern w:val="0"/>
          <w:sz w:val="32"/>
          <w:szCs w:val="32"/>
          <w:lang w:bidi="ar"/>
        </w:rPr>
        <w:t>本规划立足建设世界知名宜居宜游宜业现代化滨海城市定位，衔接国土空间规划，明确“十五五”时期自然资源保护和利用的总体思路、主要目标、重点任务和实施路径，是未来五年三亚市统筹推进高水平资源保护和高水平要素保障的行动纲领，为三亚全面建设现代化热带滨海旅游精品城市、服务海南自由贸易港高质量发展提供坚实的自然资源保障。规划期为2026年至2030年。</w:t>
      </w:r>
      <w:bookmarkStart w:id="2" w:name="_Toc733293783"/>
      <w:bookmarkStart w:id="3" w:name="_Toc812072971"/>
      <w:bookmarkStart w:id="4" w:name="_Toc1991641388"/>
      <w:bookmarkStart w:id="5" w:name="_Toc580464062"/>
      <w:bookmarkStart w:id="6" w:name="_Toc1655515210"/>
      <w:bookmarkStart w:id="7" w:name="_Toc337823836"/>
      <w:bookmarkStart w:id="8" w:name="_Toc2033567194"/>
      <w:bookmarkStart w:id="9" w:name="_Toc24033924"/>
      <w:bookmarkStart w:id="10" w:name="_Toc273710469"/>
      <w:bookmarkStart w:id="11" w:name="_Toc82585402"/>
      <w:bookmarkStart w:id="12" w:name="_Toc1862428349"/>
      <w:bookmarkStart w:id="13" w:name="_Toc1725259740"/>
      <w:bookmarkStart w:id="14" w:name="_Toc180713381"/>
      <w:bookmarkStart w:id="15" w:name="_Toc1917661268"/>
      <w:bookmarkStart w:id="16" w:name="_Toc30241"/>
      <w:bookmarkStart w:id="17" w:name="_Toc120577234"/>
      <w:bookmarkStart w:id="18" w:name="_Toc1640575166"/>
      <w:bookmarkStart w:id="19" w:name="_Toc254426211"/>
      <w:bookmarkStart w:id="20" w:name="_Toc1214028573"/>
      <w:bookmarkStart w:id="21" w:name="_Toc296306751"/>
      <w:bookmarkStart w:id="22" w:name="_Toc873862934"/>
      <w:bookmarkStart w:id="23" w:name="_Toc921552153"/>
      <w:bookmarkStart w:id="24" w:name="_Toc884171297"/>
      <w:bookmarkStart w:id="25" w:name="_Toc1205266907"/>
      <w:bookmarkStart w:id="26" w:name="_Toc1697123103"/>
      <w:bookmarkStart w:id="27" w:name="_Toc64331495"/>
      <w:bookmarkStart w:id="28" w:name="_Toc214633333"/>
      <w:bookmarkStart w:id="29" w:name="_Toc211592713"/>
      <w:bookmarkStart w:id="30" w:name="_Toc1493250543"/>
      <w:bookmarkStart w:id="31" w:name="_Toc1589463011"/>
      <w:bookmarkStart w:id="32" w:name="_Toc11075"/>
      <w:bookmarkStart w:id="33" w:name="_Toc1988178603"/>
      <w:bookmarkStart w:id="34" w:name="_Toc1636859851"/>
      <w:bookmarkStart w:id="35" w:name="_Toc2021855440"/>
      <w:bookmarkStart w:id="36" w:name="_Toc102116280"/>
      <w:bookmarkStart w:id="37" w:name="_Toc1711601777"/>
      <w:bookmarkStart w:id="38" w:name="_Toc1564113792"/>
      <w:bookmarkStart w:id="39" w:name="_Toc398751474"/>
      <w:bookmarkStart w:id="40" w:name="_Toc1625684727"/>
      <w:bookmarkStart w:id="41" w:name="_Toc1051119486"/>
      <w:bookmarkStart w:id="42" w:name="_Toc691590200"/>
      <w:bookmarkStart w:id="43" w:name="_Toc213169681"/>
      <w:bookmarkStart w:id="44" w:name="_Toc221017012"/>
      <w:bookmarkStart w:id="45" w:name="_Toc1768294600"/>
      <w:bookmarkStart w:id="46" w:name="_Toc1987869295"/>
      <w:bookmarkStart w:id="47" w:name="_Toc934742118"/>
      <w:bookmarkStart w:id="48" w:name="_Toc1608907979"/>
      <w:bookmarkStart w:id="49" w:name="_Toc194132289"/>
      <w:bookmarkStart w:id="50" w:name="_Toc329030205"/>
      <w:bookmarkStart w:id="51" w:name="_Toc1507494321"/>
      <w:bookmarkStart w:id="52" w:name="_Toc1474051240"/>
      <w:bookmarkStart w:id="53" w:name="_Toc2019177508"/>
      <w:bookmarkStart w:id="54" w:name="_Toc1371421787"/>
      <w:bookmarkStart w:id="55" w:name="_Toc1179102798"/>
      <w:bookmarkStart w:id="56" w:name="_Toc1356659115"/>
      <w:bookmarkStart w:id="57" w:name="_Toc1488201570"/>
      <w:bookmarkStart w:id="58" w:name="_Toc684749781"/>
      <w:bookmarkStart w:id="59" w:name="_Toc1813697711"/>
      <w:bookmarkStart w:id="60" w:name="_Toc1931804836"/>
      <w:bookmarkStart w:id="61" w:name="_Toc2114604307"/>
      <w:bookmarkStart w:id="62" w:name="_Toc1309209366"/>
      <w:bookmarkStart w:id="63" w:name="_Toc280856471"/>
      <w:bookmarkStart w:id="64" w:name="_Toc1406149707"/>
      <w:bookmarkStart w:id="65" w:name="_Toc29702"/>
      <w:bookmarkStart w:id="66" w:name="_Toc376581625"/>
      <w:bookmarkStart w:id="67" w:name="_Toc951411435"/>
    </w:p>
    <w:p>
      <w:pPr>
        <w:pStyle w:val="4"/>
        <w:keepNext w:val="0"/>
        <w:keepLines w:val="0"/>
        <w:spacing w:line="560" w:lineRule="exact"/>
        <w:jc w:val="center"/>
        <w:rPr>
          <w:rFonts w:hint="default" w:ascii="Times New Roman" w:hAnsi="Times New Roman" w:cs="Times New Roman"/>
          <w:color w:val="auto"/>
        </w:rPr>
      </w:pPr>
      <w:bookmarkStart w:id="68" w:name="_Toc972884689"/>
      <w:bookmarkStart w:id="69" w:name="_Toc946731654"/>
      <w:bookmarkStart w:id="70" w:name="_Toc1043657221"/>
      <w:r>
        <w:rPr>
          <w:rFonts w:hint="default" w:ascii="Times New Roman" w:hAnsi="Times New Roman" w:cs="Times New Roman"/>
          <w:color w:val="auto"/>
          <w:szCs w:val="32"/>
        </w:rPr>
        <w:t>第一章  现状与形势</w:t>
      </w:r>
      <w:bookmarkEnd w:id="68"/>
      <w:bookmarkEnd w:id="69"/>
      <w:bookmarkEnd w:id="70"/>
    </w:p>
    <w:p>
      <w:pPr>
        <w:spacing w:line="560" w:lineRule="exact"/>
        <w:jc w:val="center"/>
        <w:rPr>
          <w:rFonts w:hint="default" w:ascii="Times New Roman" w:hAnsi="Times New Roman" w:eastAsia="楷体" w:cs="Times New Roman"/>
          <w:color w:val="auto"/>
        </w:rPr>
      </w:pPr>
      <w:bookmarkStart w:id="71" w:name="_Toc2011016670"/>
    </w:p>
    <w:p>
      <w:pPr>
        <w:pStyle w:val="5"/>
        <w:keepNext w:val="0"/>
        <w:keepLines w:val="0"/>
        <w:spacing w:line="560" w:lineRule="exact"/>
        <w:jc w:val="center"/>
        <w:rPr>
          <w:rFonts w:hint="default" w:ascii="Times New Roman" w:hAnsi="Times New Roman" w:eastAsia="楷体" w:cs="Times New Roman"/>
          <w:b w:val="0"/>
          <w:color w:val="auto"/>
        </w:rPr>
      </w:pPr>
      <w:bookmarkStart w:id="72" w:name="_Toc1289364122"/>
      <w:bookmarkStart w:id="73" w:name="_Toc1906479470"/>
      <w:r>
        <w:rPr>
          <w:rFonts w:hint="default" w:ascii="Times New Roman" w:hAnsi="Times New Roman" w:eastAsia="楷体" w:cs="Times New Roman"/>
          <w:b w:val="0"/>
          <w:color w:val="auto"/>
        </w:rPr>
        <w:t>第一节  “十四五”时期主要成效</w:t>
      </w:r>
      <w:bookmarkEnd w:id="71"/>
      <w:bookmarkEnd w:id="72"/>
      <w:bookmarkEnd w:id="73"/>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“十四五”时期，三亚市自然资源和规划部门扛牢自然资源“两统一”核心职责，围绕海南建设“三区一中心”战略定位，统筹推进高水平资源保护和高水平要素保障，为“十五五”发展奠定坚实基础。</w:t>
      </w:r>
    </w:p>
    <w:p>
      <w:pPr>
        <w:keepNext w:val="0"/>
        <w:keepLines w:val="0"/>
        <w:pageBreakBefore w:val="0"/>
        <w:widowControl w:val="0"/>
        <w:kinsoku/>
        <w:wordWrap/>
        <w:overflowPunct/>
        <w:topLinePunct w:val="0"/>
        <w:bidi w:val="0"/>
        <w:adjustRightInd/>
        <w:snapToGrid/>
        <w:spacing w:line="560" w:lineRule="exact"/>
        <w:ind w:firstLine="642" w:firstLineChars="200"/>
        <w:textAlignment w:val="auto"/>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国土空间发展格局持续优化</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十四五”期间，《三亚市国土空间总体规划（2021—2035年）》批复实施，划定“三区三线”，奠定城乡统筹发展的空间格局；完成教育、医疗、城市更新、地下空间、历史文化名镇名村等一系列专项规划，启动编制三亚市“十五五”海洋经济发展专项规划，形成陆海统筹、全域覆盖、衔接联动的专项规划支撑体系，为空间精准管控、项目高效落地提供坚实规划保障；连续开展3次城市体检，完成45个控制性详细规划批复、61个村庄规划修编、171个垦区生产队规划编制，基本实现城镇开发边界内与乡村地区详细规划全域覆盖，各类主体功能区发展路径更加清晰；优化城镇开发边界内详细规划以及城镇开发边界外村庄规划的实施管理制度，严格落实国土空间用途管制制度。</w:t>
      </w: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firstLine="642" w:firstLineChars="200"/>
        <w:jc w:val="both"/>
        <w:textAlignment w:val="auto"/>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落实最严格的耕地保护制度</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“十四五”期间，累计恢复耕地约0.65万亩</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bidi="ar"/>
        </w:rPr>
        <w:t>新增耕地0.73万亩（其中新增水田为0.68万亩），提质改造水田面积约0.09万亩。2025年全市耕地实际保有量24.41万亩，永久基本农田面积19.09万亩，完成约0.34万亩永久基本农田储备区划定，超额完成“十三五”期间流失耕地恢复任务，牢牢守住耕地</w:t>
      </w:r>
      <w:r>
        <w:rPr>
          <w:rFonts w:hint="default" w:ascii="Times New Roman" w:hAnsi="Times New Roman" w:eastAsia="仿宋_GB2312" w:cs="Times New Roman"/>
          <w:color w:val="auto"/>
          <w:kern w:val="0"/>
          <w:sz w:val="32"/>
          <w:szCs w:val="32"/>
          <w:lang w:val="en-US" w:eastAsia="zh-CN" w:bidi="ar"/>
        </w:rPr>
        <w:t>保护</w:t>
      </w:r>
      <w:r>
        <w:rPr>
          <w:rFonts w:hint="default" w:ascii="Times New Roman" w:hAnsi="Times New Roman" w:eastAsia="仿宋_GB2312" w:cs="Times New Roman"/>
          <w:color w:val="auto"/>
          <w:kern w:val="0"/>
          <w:sz w:val="32"/>
          <w:szCs w:val="32"/>
          <w:lang w:bidi="ar"/>
        </w:rPr>
        <w:t>红线和粮食安全底线。扎实开展耕地数量、质量、生态“三位一体”保护，有序推进耕地</w:t>
      </w:r>
      <w:r>
        <w:rPr>
          <w:rFonts w:hint="default" w:ascii="Times New Roman" w:hAnsi="Times New Roman" w:eastAsia="仿宋_GB2312" w:cs="Times New Roman"/>
          <w:color w:val="auto"/>
          <w:kern w:val="0"/>
          <w:sz w:val="32"/>
          <w:szCs w:val="32"/>
          <w:lang w:eastAsia="zh-CN" w:bidi="ar"/>
        </w:rPr>
        <w:t>占补平衡</w:t>
      </w:r>
      <w:r>
        <w:rPr>
          <w:rFonts w:hint="default" w:ascii="Times New Roman" w:hAnsi="Times New Roman" w:eastAsia="仿宋_GB2312" w:cs="Times New Roman"/>
          <w:color w:val="auto"/>
          <w:kern w:val="0"/>
          <w:sz w:val="32"/>
          <w:szCs w:val="32"/>
          <w:lang w:bidi="ar"/>
        </w:rPr>
        <w:t>、撂荒耕地及流失耕地治理、永久基本农田优化调整，持续提升崖州南繁硅谷核心区耕地集中连片度、质量</w:t>
      </w:r>
      <w:r>
        <w:rPr>
          <w:rFonts w:hint="default" w:ascii="Times New Roman" w:hAnsi="Times New Roman" w:eastAsia="仿宋_GB2312" w:cs="Times New Roman"/>
          <w:color w:val="auto"/>
          <w:kern w:val="0"/>
          <w:sz w:val="32"/>
          <w:szCs w:val="32"/>
          <w:lang w:val="en-US" w:eastAsia="zh-CN" w:bidi="ar"/>
        </w:rPr>
        <w:t>水平</w:t>
      </w:r>
      <w:r>
        <w:rPr>
          <w:rFonts w:hint="default" w:ascii="Times New Roman" w:hAnsi="Times New Roman" w:eastAsia="仿宋_GB2312" w:cs="Times New Roman"/>
          <w:color w:val="auto"/>
          <w:kern w:val="0"/>
          <w:sz w:val="32"/>
          <w:szCs w:val="32"/>
          <w:lang w:bidi="ar"/>
        </w:rPr>
        <w:t>与生态本底环境，夯实国家南繁种业安全根基。创新耕地数字化管理系统，“耕智查</w:t>
      </w:r>
      <w:r>
        <w:rPr>
          <w:rFonts w:hint="default" w:ascii="Times New Roman" w:hAnsi="Times New Roman" w:eastAsia="仿宋_GB2312" w:cs="Times New Roman"/>
          <w:color w:val="auto"/>
          <w:kern w:val="0"/>
          <w:sz w:val="32"/>
          <w:szCs w:val="32"/>
          <w:lang w:eastAsia="zh-CN" w:bidi="ar"/>
        </w:rPr>
        <w:t>”系统实现全市112个村、26475个耕地地块“一码可查”，“</w:t>
      </w:r>
      <w:r>
        <w:rPr>
          <w:rFonts w:hint="default" w:ascii="Times New Roman" w:hAnsi="Times New Roman" w:eastAsia="仿宋_GB2312" w:cs="Times New Roman"/>
          <w:color w:val="auto"/>
          <w:kern w:val="0"/>
          <w:sz w:val="32"/>
          <w:szCs w:val="32"/>
          <w:lang w:bidi="ar"/>
        </w:rPr>
        <w:t>耕智巡”系统每季度自动化巡查，通过“空中+地面”对耕地“非农化”“非粮化”行为</w:t>
      </w:r>
      <w:r>
        <w:rPr>
          <w:rFonts w:hint="default" w:ascii="Times New Roman" w:hAnsi="Times New Roman" w:eastAsia="仿宋_GB2312" w:cs="Times New Roman"/>
          <w:color w:val="auto"/>
          <w:kern w:val="2"/>
          <w:sz w:val="32"/>
          <w:szCs w:val="32"/>
          <w:lang w:val="en-US" w:eastAsia="zh-CN" w:bidi="ar"/>
        </w:rPr>
        <w:t>进行监测</w:t>
      </w:r>
      <w:r>
        <w:rPr>
          <w:rFonts w:hint="default" w:ascii="Times New Roman" w:hAnsi="Times New Roman" w:eastAsia="仿宋_GB2312" w:cs="Times New Roman"/>
          <w:color w:val="auto"/>
          <w:kern w:val="0"/>
          <w:sz w:val="32"/>
          <w:szCs w:val="32"/>
          <w:lang w:bidi="ar"/>
        </w:rPr>
        <w:t>。</w:t>
      </w:r>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left="0" w:right="0" w:firstLine="642" w:firstLineChars="200"/>
        <w:jc w:val="both"/>
        <w:textAlignment w:val="auto"/>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坚持山水林田湖草沙海一体化保护和系统治理</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“十四五”期间，组织申报并实施海南南部山水工程</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bidi="ar"/>
        </w:rPr>
        <w:t>三亚市共布设22个子项目，争取中央资金12.92亿元，累计完成修复面积29.70万亩，有力守护海南南部生态安全屏障。大力推进海洋生态修复，成功申报中央海洋生态保护修复资金项目，</w:t>
      </w:r>
      <w:r>
        <w:rPr>
          <w:rFonts w:hint="default" w:ascii="Times New Roman" w:hAnsi="Times New Roman" w:eastAsia="仿宋_GB2312" w:cs="Times New Roman"/>
          <w:color w:val="auto"/>
          <w:sz w:val="32"/>
          <w:szCs w:val="32"/>
        </w:rPr>
        <w:t>完成海洋生态修复项目</w:t>
      </w:r>
      <w:r>
        <w:rPr>
          <w:rFonts w:hint="default" w:ascii="Times New Roman" w:hAnsi="Times New Roman" w:eastAsia="仿宋_GB2312" w:cs="Times New Roman"/>
          <w:color w:val="auto"/>
          <w:kern w:val="0"/>
          <w:sz w:val="32"/>
          <w:szCs w:val="32"/>
          <w:lang w:bidi="ar"/>
        </w:rPr>
        <w:t>15个（含海南三亚国家级珊瑚礁自然保护区），涉及珊瑚礁、红树林、岸线、海岛等陆海生态系统修复与韧性提升内容</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营造红树林589.5亩，</w:t>
      </w:r>
      <w:r>
        <w:rPr>
          <w:rFonts w:hint="default" w:ascii="Times New Roman" w:hAnsi="Times New Roman" w:eastAsia="仿宋_GB2312" w:cs="Times New Roman"/>
          <w:color w:val="auto"/>
          <w:kern w:val="0"/>
          <w:sz w:val="32"/>
          <w:szCs w:val="32"/>
          <w:lang w:bidi="ar"/>
        </w:rPr>
        <w:t>自然岸线保有率</w:t>
      </w:r>
      <w:r>
        <w:rPr>
          <w:rFonts w:hint="default" w:ascii="Times New Roman" w:hAnsi="Times New Roman" w:eastAsia="仿宋_GB2312" w:cs="Times New Roman"/>
          <w:color w:val="auto"/>
          <w:kern w:val="0"/>
          <w:sz w:val="32"/>
          <w:szCs w:val="32"/>
          <w:lang w:val="en" w:bidi="ar"/>
        </w:rPr>
        <w:t>达到</w:t>
      </w:r>
      <w:r>
        <w:rPr>
          <w:rFonts w:hint="default" w:ascii="Times New Roman" w:hAnsi="Times New Roman" w:eastAsia="仿宋_GB2312" w:cs="Times New Roman"/>
          <w:color w:val="auto"/>
          <w:kern w:val="0"/>
          <w:sz w:val="32"/>
          <w:szCs w:val="32"/>
          <w:lang w:bidi="ar"/>
        </w:rPr>
        <w:t>64.51%。持续开展矿山生态修复，完成8处历史遗留废弃闭坑矿山生态修复，累计修复面积118亩；全市1个生产矿山达到绿色矿山建设标准，有力促进矿产资源开发与生态环境保护协调发展。联合水务部门扎实推进“六水共治”，地表水治理水平成效显著，水土保持率96.36%，2022年以来地表水达到或好于Ⅲ类水体的比例连年稳定为100</w:t>
      </w:r>
      <w:r>
        <w:rPr>
          <w:rFonts w:hint="default" w:ascii="Times New Roman" w:hAnsi="Times New Roman" w:eastAsia="仿宋_GB2312" w:cs="Times New Roman"/>
          <w:color w:val="auto"/>
          <w:kern w:val="0"/>
          <w:sz w:val="32"/>
          <w:szCs w:val="32"/>
          <w:highlight w:val="none"/>
          <w:lang w:bidi="ar"/>
        </w:rPr>
        <w:t>%</w:t>
      </w:r>
      <w:r>
        <w:rPr>
          <w:rFonts w:hint="default" w:ascii="Times New Roman" w:hAnsi="Times New Roman" w:eastAsia="仿宋_GB2312" w:cs="Times New Roman"/>
          <w:color w:val="auto"/>
          <w:kern w:val="0"/>
          <w:sz w:val="32"/>
          <w:szCs w:val="32"/>
          <w:lang w:bidi="ar"/>
        </w:rPr>
        <w:t>，无劣V类断面</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bidi="ar"/>
        </w:rPr>
        <w:t>入海河流水质达标率保持100%。</w:t>
      </w:r>
      <w:r>
        <w:rPr>
          <w:rFonts w:hint="default" w:ascii="Times New Roman" w:hAnsi="Times New Roman" w:eastAsia="仿宋_GB2312" w:cs="Times New Roman"/>
          <w:b w:val="0"/>
          <w:color w:val="auto"/>
          <w:kern w:val="0"/>
          <w:sz w:val="32"/>
          <w:szCs w:val="32"/>
          <w:lang w:bidi="ar"/>
        </w:rPr>
        <w:t>三亚湾、海棠湾、亚龙湾入选国家级美丽海湾典型案例，</w:t>
      </w:r>
      <w:r>
        <w:rPr>
          <w:rFonts w:hint="default" w:ascii="Times New Roman" w:hAnsi="Times New Roman" w:eastAsia="仿宋_GB2312" w:cs="Times New Roman"/>
          <w:color w:val="auto"/>
          <w:kern w:val="2"/>
          <w:sz w:val="32"/>
          <w:szCs w:val="32"/>
          <w:lang w:val="en-US" w:eastAsia="zh-CN" w:bidi="ar"/>
        </w:rPr>
        <w:t>“三亚市蜈支洲岛珊瑚礁生态系统保护修复案例”入选自然资源部2024年海洋生态保护修复典型案例名单，</w:t>
      </w:r>
      <w:r>
        <w:rPr>
          <w:rFonts w:hint="default" w:ascii="Times New Roman" w:hAnsi="Times New Roman" w:eastAsia="仿宋_GB2312" w:cs="Times New Roman"/>
          <w:color w:val="auto"/>
          <w:kern w:val="2"/>
          <w:sz w:val="32"/>
          <w:szCs w:val="32"/>
          <w:lang w:eastAsia="zh-CN" w:bidi="ar"/>
        </w:rPr>
        <w:t>“</w:t>
      </w:r>
      <w:r>
        <w:rPr>
          <w:rFonts w:hint="default" w:ascii="Times New Roman" w:hAnsi="Times New Roman" w:eastAsia="仿宋_GB2312" w:cs="Times New Roman"/>
          <w:color w:val="auto"/>
          <w:kern w:val="2"/>
          <w:sz w:val="32"/>
          <w:szCs w:val="32"/>
          <w:lang w:val="en-US" w:eastAsia="zh-CN" w:bidi="ar"/>
        </w:rPr>
        <w:t>三亚市海岸带保护修复工程综合成效预评估</w:t>
      </w:r>
      <w:r>
        <w:rPr>
          <w:rFonts w:hint="default" w:ascii="Times New Roman" w:hAnsi="Times New Roman" w:eastAsia="仿宋_GB2312" w:cs="Times New Roman"/>
          <w:color w:val="auto"/>
          <w:kern w:val="2"/>
          <w:sz w:val="32"/>
          <w:szCs w:val="32"/>
          <w:lang w:eastAsia="zh-CN" w:bidi="ar"/>
        </w:rPr>
        <w:t>”</w:t>
      </w:r>
      <w:r>
        <w:rPr>
          <w:rFonts w:hint="default" w:ascii="Times New Roman" w:hAnsi="Times New Roman" w:eastAsia="仿宋_GB2312" w:cs="Times New Roman"/>
          <w:color w:val="auto"/>
          <w:kern w:val="2"/>
          <w:sz w:val="32"/>
          <w:szCs w:val="32"/>
          <w:lang w:val="en-US" w:eastAsia="zh-CN" w:bidi="ar"/>
        </w:rPr>
        <w:t>被自然资源部工作组评级为优秀</w:t>
      </w:r>
      <w:r>
        <w:rPr>
          <w:rFonts w:hint="default" w:ascii="Times New Roman" w:hAnsi="Times New Roman" w:eastAsia="仿宋_GB2312" w:cs="Times New Roman"/>
          <w:color w:val="auto"/>
          <w:kern w:val="2"/>
          <w:sz w:val="32"/>
          <w:szCs w:val="32"/>
          <w:lang w:eastAsia="zh-CN" w:bidi="ar"/>
        </w:rPr>
        <w:t>。</w:t>
      </w: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firstLine="642" w:firstLineChars="200"/>
        <w:jc w:val="both"/>
        <w:textAlignment w:val="auto"/>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自然资源要素保障能力不断增强</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推行多审合一、联合审批、告知承诺制，审批流程持续优化、效能显著提升。细化地价评估、产业基准地价、地下空间管理、集体经营性建设用地入市等配套政策，构建要素保障、空间管控、资源配置等制度体系。坚持“项目跟着规划走、要素跟着项目走”，</w:t>
      </w:r>
      <w:r>
        <w:rPr>
          <w:rFonts w:hint="default" w:ascii="Times New Roman" w:hAnsi="Times New Roman" w:eastAsia="仿宋_GB2312" w:cs="Times New Roman"/>
          <w:color w:val="auto"/>
          <w:sz w:val="32"/>
          <w:szCs w:val="32"/>
        </w:rPr>
        <w:t>完成工程建设项目采挖砂石土资源转</w:t>
      </w:r>
      <w:r>
        <w:rPr>
          <w:rFonts w:hint="default" w:ascii="Times New Roman" w:hAnsi="Times New Roman" w:eastAsia="仿宋_GB2312" w:cs="Times New Roman"/>
          <w:color w:val="auto"/>
          <w:kern w:val="0"/>
          <w:sz w:val="32"/>
          <w:szCs w:val="32"/>
          <w:lang w:bidi="ar"/>
        </w:rPr>
        <w:t>让4宗、调拨8宗，保障全市建筑用砂石土资源需求。</w:t>
      </w:r>
      <w:r>
        <w:rPr>
          <w:rFonts w:hint="default" w:ascii="Times New Roman" w:hAnsi="Times New Roman" w:eastAsia="仿宋_GB2312" w:cs="Times New Roman"/>
          <w:color w:val="auto"/>
          <w:sz w:val="32"/>
          <w:szCs w:val="32"/>
        </w:rPr>
        <w:t>编制完成土地征收成片开发方</w:t>
      </w:r>
      <w:r>
        <w:rPr>
          <w:rFonts w:hint="default" w:ascii="Times New Roman" w:hAnsi="Times New Roman" w:eastAsia="仿宋_GB2312" w:cs="Times New Roman"/>
          <w:color w:val="auto"/>
          <w:kern w:val="0"/>
          <w:sz w:val="32"/>
          <w:szCs w:val="32"/>
          <w:lang w:bidi="ar"/>
        </w:rPr>
        <w:t>案44宗，总面积4.12万亩；办理农转用和土地征收报批444宗，总面积3.20万</w:t>
      </w:r>
      <w:r>
        <w:rPr>
          <w:rFonts w:hint="default" w:ascii="Times New Roman" w:hAnsi="Times New Roman" w:eastAsia="仿宋_GB2312" w:cs="Times New Roman"/>
          <w:color w:val="auto"/>
          <w:sz w:val="32"/>
          <w:szCs w:val="32"/>
        </w:rPr>
        <w:t>亩。</w:t>
      </w:r>
      <w:r>
        <w:rPr>
          <w:rFonts w:hint="default" w:ascii="Times New Roman" w:hAnsi="Times New Roman" w:eastAsia="仿宋_GB2312" w:cs="Times New Roman"/>
          <w:color w:val="auto"/>
          <w:kern w:val="0"/>
          <w:sz w:val="32"/>
          <w:szCs w:val="32"/>
          <w:lang w:bidi="ar"/>
        </w:rPr>
        <w:t>2021年以来，全市累计供应国有建设用地</w:t>
      </w:r>
      <w:r>
        <w:rPr>
          <w:rFonts w:hint="default" w:ascii="Times New Roman" w:hAnsi="Times New Roman" w:eastAsia="仿宋_GB2312" w:cs="Times New Roman"/>
          <w:color w:val="auto"/>
          <w:kern w:val="0"/>
          <w:sz w:val="32"/>
          <w:szCs w:val="32"/>
          <w:lang w:val="en" w:bidi="ar"/>
        </w:rPr>
        <w:t>3.17万亩（约</w:t>
      </w:r>
      <w:r>
        <w:rPr>
          <w:rFonts w:hint="default" w:ascii="Times New Roman" w:hAnsi="Times New Roman" w:eastAsia="仿宋_GB2312" w:cs="Times New Roman"/>
          <w:color w:val="auto"/>
          <w:kern w:val="0"/>
          <w:sz w:val="32"/>
          <w:szCs w:val="32"/>
          <w:lang w:bidi="ar"/>
        </w:rPr>
        <w:t>2115.38公顷</w:t>
      </w:r>
      <w:r>
        <w:rPr>
          <w:rFonts w:hint="default" w:ascii="Times New Roman" w:hAnsi="Times New Roman" w:eastAsia="仿宋_GB2312" w:cs="Times New Roman"/>
          <w:color w:val="auto"/>
          <w:kern w:val="0"/>
          <w:sz w:val="32"/>
          <w:szCs w:val="32"/>
          <w:lang w:val="en" w:bidi="ar"/>
        </w:rPr>
        <w:t>）</w:t>
      </w:r>
      <w:r>
        <w:rPr>
          <w:rFonts w:hint="default" w:ascii="Times New Roman" w:hAnsi="Times New Roman" w:eastAsia="仿宋_GB2312" w:cs="Times New Roman"/>
          <w:color w:val="auto"/>
          <w:kern w:val="0"/>
          <w:sz w:val="32"/>
          <w:szCs w:val="32"/>
          <w:lang w:bidi="ar"/>
        </w:rPr>
        <w:t>，其中划拨方式供应2.18万亩（约1454.66公顷），出让方式供应0.99万亩（约660.72公顷）；审批用海4257.83公顷，累计出让海域127宗，海域使用金约6.24</w:t>
      </w:r>
      <w:r>
        <w:rPr>
          <w:rFonts w:hint="default" w:ascii="Times New Roman" w:hAnsi="Times New Roman" w:eastAsia="仿宋_GB2312" w:cs="Times New Roman"/>
          <w:color w:val="auto"/>
          <w:sz w:val="32"/>
          <w:szCs w:val="32"/>
        </w:rPr>
        <w:t>亿元</w:t>
      </w:r>
      <w:r>
        <w:rPr>
          <w:rFonts w:hint="default" w:ascii="Times New Roman" w:hAnsi="Times New Roman" w:eastAsia="仿宋_GB2312" w:cs="Times New Roman"/>
          <w:color w:val="auto"/>
          <w:kern w:val="0"/>
          <w:sz w:val="32"/>
          <w:szCs w:val="32"/>
          <w:lang w:bidi="ar"/>
        </w:rPr>
        <w:t>，有力保障</w:t>
      </w:r>
      <w:r>
        <w:rPr>
          <w:rFonts w:hint="default" w:ascii="Times New Roman" w:hAnsi="Times New Roman" w:eastAsia="仿宋_GB2312" w:cs="Times New Roman"/>
          <w:color w:val="auto"/>
          <w:kern w:val="0"/>
          <w:sz w:val="32"/>
          <w:szCs w:val="32"/>
          <w:lang w:eastAsia="zh-CN" w:bidi="ar"/>
        </w:rPr>
        <w:t>崖州湾科技城高新区</w:t>
      </w:r>
      <w:r>
        <w:rPr>
          <w:rFonts w:hint="default" w:ascii="Times New Roman" w:hAnsi="Times New Roman" w:eastAsia="仿宋_GB2312" w:cs="Times New Roman"/>
          <w:color w:val="auto"/>
          <w:kern w:val="0"/>
          <w:sz w:val="32"/>
          <w:szCs w:val="32"/>
          <w:lang w:bidi="ar"/>
        </w:rPr>
        <w:t>、中央商务区</w:t>
      </w:r>
      <w:r>
        <w:rPr>
          <w:rFonts w:hint="default" w:ascii="Times New Roman" w:hAnsi="Times New Roman" w:eastAsia="仿宋_GB2312" w:cs="Times New Roman"/>
          <w:color w:val="auto"/>
          <w:kern w:val="0"/>
          <w:sz w:val="32"/>
          <w:szCs w:val="32"/>
          <w:lang w:eastAsia="zh-CN" w:bidi="ar"/>
        </w:rPr>
        <w:t>、三亚海棠湾国家海岸休闲园区</w:t>
      </w:r>
      <w:r>
        <w:rPr>
          <w:rFonts w:hint="default" w:ascii="Times New Roman" w:hAnsi="Times New Roman" w:eastAsia="仿宋_GB2312" w:cs="Times New Roman"/>
          <w:color w:val="auto"/>
          <w:kern w:val="0"/>
          <w:sz w:val="32"/>
          <w:szCs w:val="32"/>
          <w:lang w:val="en-US" w:eastAsia="zh-CN" w:bidi="ar"/>
        </w:rPr>
        <w:t>等重点园区以及</w:t>
      </w:r>
      <w:r>
        <w:rPr>
          <w:rFonts w:hint="default" w:ascii="Times New Roman" w:hAnsi="Times New Roman" w:eastAsia="仿宋_GB2312" w:cs="Times New Roman"/>
          <w:color w:val="auto"/>
          <w:kern w:val="0"/>
          <w:sz w:val="32"/>
          <w:szCs w:val="32"/>
          <w:lang w:bidi="ar"/>
        </w:rPr>
        <w:t>重大基础设施、民生工程等</w:t>
      </w:r>
      <w:r>
        <w:rPr>
          <w:rFonts w:hint="default" w:ascii="Times New Roman" w:hAnsi="Times New Roman" w:eastAsia="仿宋_GB2312" w:cs="Times New Roman"/>
          <w:color w:val="auto"/>
          <w:kern w:val="0"/>
          <w:sz w:val="32"/>
          <w:szCs w:val="32"/>
          <w:lang w:val="en-US" w:eastAsia="zh-CN" w:bidi="ar"/>
        </w:rPr>
        <w:t>重大</w:t>
      </w:r>
      <w:r>
        <w:rPr>
          <w:rFonts w:hint="default" w:ascii="Times New Roman" w:hAnsi="Times New Roman" w:eastAsia="仿宋_GB2312" w:cs="Times New Roman"/>
          <w:color w:val="auto"/>
          <w:kern w:val="0"/>
          <w:sz w:val="32"/>
          <w:szCs w:val="32"/>
          <w:lang w:bidi="ar"/>
        </w:rPr>
        <w:t>项目落地，实现重大项目</w:t>
      </w:r>
      <w:r>
        <w:rPr>
          <w:rFonts w:hint="eastAsia" w:eastAsia="仿宋_GB2312" w:cs="Times New Roman"/>
          <w:color w:val="auto"/>
          <w:kern w:val="0"/>
          <w:sz w:val="32"/>
          <w:szCs w:val="32"/>
          <w:lang w:eastAsia="zh-CN" w:bidi="ar"/>
        </w:rPr>
        <w:t>应</w:t>
      </w:r>
      <w:r>
        <w:rPr>
          <w:rFonts w:hint="default" w:ascii="Times New Roman" w:hAnsi="Times New Roman" w:eastAsia="仿宋_GB2312" w:cs="Times New Roman"/>
          <w:color w:val="auto"/>
          <w:kern w:val="0"/>
          <w:sz w:val="32"/>
          <w:szCs w:val="32"/>
          <w:lang w:bidi="ar"/>
        </w:rPr>
        <w:t>保尽保。规划海洋网箱养殖海域1.24万公顷，已出让养殖海域1823.8公顷；开展三亚湾现代渔业产业园整体规划，确保</w:t>
      </w:r>
      <w:r>
        <w:rPr>
          <w:rFonts w:hint="default" w:ascii="Times New Roman" w:hAnsi="Times New Roman" w:eastAsia="仿宋_GB2312" w:cs="Times New Roman"/>
          <w:b w:val="0"/>
          <w:bCs w:val="0"/>
          <w:color w:val="auto"/>
          <w:kern w:val="0"/>
          <w:sz w:val="32"/>
          <w:szCs w:val="32"/>
          <w:lang w:val="en-US" w:eastAsia="zh-CN" w:bidi="ar"/>
        </w:rPr>
        <w:t>深远海养殖</w:t>
      </w:r>
      <w:r>
        <w:rPr>
          <w:rFonts w:hint="default" w:ascii="Times New Roman" w:hAnsi="Times New Roman" w:eastAsia="仿宋_GB2312" w:cs="Times New Roman"/>
          <w:b w:val="0"/>
          <w:bCs w:val="0"/>
          <w:color w:val="auto"/>
          <w:kern w:val="0"/>
          <w:sz w:val="32"/>
          <w:szCs w:val="32"/>
          <w:lang w:eastAsia="zh-CN" w:bidi="ar"/>
        </w:rPr>
        <w:t>增速稳定</w:t>
      </w:r>
      <w:r>
        <w:rPr>
          <w:rFonts w:hint="default" w:ascii="Times New Roman" w:hAnsi="Times New Roman" w:eastAsia="仿宋_GB2312" w:cs="Times New Roman"/>
          <w:color w:val="auto"/>
          <w:kern w:val="0"/>
          <w:sz w:val="32"/>
          <w:szCs w:val="32"/>
          <w:lang w:bidi="ar"/>
        </w:rPr>
        <w:t>。严格落实南繁科研育种保护区管控要求，加强育种基地耕地资源保护与利用，不断优化崖州南繁核心区空间布局。深化农村土地制度改革，稳步推进天涯区等集体经营性建设用地入市，盘活乡村存量资源，累计入市3宗12.47亩，村集体及村民直接获得收益1035万元。</w:t>
      </w:r>
    </w:p>
    <w:p>
      <w:pPr>
        <w:keepNext w:val="0"/>
        <w:keepLines w:val="0"/>
        <w:pageBreakBefore w:val="0"/>
        <w:widowControl w:val="0"/>
        <w:kinsoku/>
        <w:wordWrap/>
        <w:overflowPunct/>
        <w:topLinePunct w:val="0"/>
        <w:bidi w:val="0"/>
        <w:adjustRightInd/>
        <w:snapToGrid/>
        <w:spacing w:line="560" w:lineRule="exact"/>
        <w:ind w:firstLine="642" w:firstLineChars="200"/>
        <w:textAlignment w:val="auto"/>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自然资源节约集约利用水平稳步提高</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大力开展存量资源盘活利用工作，土地利用方式由外延扩张向内涵提质转变。“十四五”时期，全市累计处置批而未供土地1.96万亩，处置闲置土地1.56万亩；全市单位GDP建设用地使用面积下降率为12%，均超额完成省级下达的任务目标。严控新设矿业权，强化绿色矿山建设，积极推动矿业用地存量盘活与生态修复。落实最严格的围填海管控制度和岸线管控措施，除国家重大项目外，不再新设围填海。推进“净海”出让，探索海域立体分层设权。严格落实水资源刚性约束制度，全市万元地区生产总值用水量、万元工业增加值用水量较2020年分别下降26.3%、40.7%。</w:t>
      </w: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firstLine="642" w:firstLineChars="200"/>
        <w:jc w:val="both"/>
        <w:textAlignment w:val="auto"/>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自然资源资产管理能力全面提升</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完成全市国土“三调”及年度变更调查，全面查清陆域国土利用现状。开展全市全民所有自然资源资产清查，完成珊瑚礁碳汇潜力调查，摸清自然资源资产“家底”。自然资源统一确权登记完成预划登记单元232个、总面积109.98万亩（73320.96公顷），划清自然资源资产所有权、使用权边界，归属清晰、权责明确、保护严格、监管有效的自然资源资产产权制度初步建立。不动产登记改革持续深化推进，全面完成集体土地所有权确权登记成果更新汇交，成果顺利纳入不动产登记数据库；</w:t>
      </w:r>
      <w:r>
        <w:rPr>
          <w:rFonts w:hint="default" w:ascii="Times New Roman" w:hAnsi="Times New Roman" w:eastAsia="仿宋_GB2312" w:cs="Times New Roman"/>
          <w:color w:val="auto"/>
          <w:sz w:val="32"/>
          <w:szCs w:val="32"/>
        </w:rPr>
        <w:t>开展不动产历史遗留问题清理化解专项行动，累计化解41个不动产登记前端环节历史遗留问题，涉及业主约2.6万户；推动处置农垦“7·31”历史遗留问题，涉及用地面积</w:t>
      </w:r>
      <w:r>
        <w:rPr>
          <w:rFonts w:hint="default" w:ascii="Times New Roman" w:hAnsi="Times New Roman" w:eastAsia="仿宋_GB2312" w:cs="Times New Roman"/>
          <w:color w:val="auto"/>
          <w:sz w:val="32"/>
          <w:szCs w:val="32"/>
          <w:lang w:val="en"/>
        </w:rPr>
        <w:t>2.67万亩（约</w:t>
      </w:r>
      <w:r>
        <w:rPr>
          <w:rFonts w:hint="default" w:ascii="Times New Roman" w:hAnsi="Times New Roman" w:eastAsia="仿宋_GB2312" w:cs="Times New Roman"/>
          <w:color w:val="auto"/>
          <w:sz w:val="32"/>
          <w:szCs w:val="32"/>
        </w:rPr>
        <w:t>1778.15公顷</w:t>
      </w:r>
      <w:r>
        <w:rPr>
          <w:rFonts w:hint="default" w:ascii="Times New Roman" w:hAnsi="Times New Roman" w:eastAsia="仿宋_GB2312" w:cs="Times New Roman"/>
          <w:color w:val="auto"/>
          <w:sz w:val="32"/>
          <w:szCs w:val="32"/>
          <w:lang w:val="en"/>
        </w:rPr>
        <w:t>）</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kern w:val="0"/>
          <w:sz w:val="32"/>
          <w:szCs w:val="32"/>
          <w:lang w:bidi="ar"/>
        </w:rPr>
        <w:t>规范开展农村不动产登记，全面完成“房地一体”农村宅基地和集体建设用地确权登记，完成农村宅基地应发证登薄27120宗及集体建设用地应发证登薄153宗。“不见面办理”、跨省通办、“带押过户”等不动产登记便利化水平不断提高。开展测绘地理信息成果质量监督检查，协同开展城市国土空间监测，地理信息数据管理不断规范。法治政府建设和依法行政水平不断提升，行政机关负责人应诉率100%。</w:t>
      </w:r>
    </w:p>
    <w:p>
      <w:pPr>
        <w:pStyle w:val="5"/>
        <w:keepNext w:val="0"/>
        <w:keepLines w:val="0"/>
        <w:spacing w:line="560" w:lineRule="exact"/>
        <w:ind w:firstLine="200"/>
        <w:jc w:val="center"/>
        <w:rPr>
          <w:rFonts w:hint="default" w:ascii="Times New Roman" w:hAnsi="Times New Roman" w:eastAsia="楷体_GB2312" w:cs="Times New Roman"/>
          <w:b w:val="0"/>
          <w:bCs w:val="0"/>
          <w:color w:val="auto"/>
        </w:rPr>
      </w:pPr>
      <w:bookmarkStart w:id="74" w:name="_Toc862172930"/>
      <w:bookmarkStart w:id="75" w:name="_Toc158245126"/>
      <w:bookmarkStart w:id="76" w:name="_Toc1564258060"/>
      <w:r>
        <w:rPr>
          <w:rFonts w:hint="default" w:ascii="Times New Roman" w:hAnsi="Times New Roman" w:eastAsia="楷体_GB2312" w:cs="Times New Roman"/>
          <w:b w:val="0"/>
          <w:bCs w:val="0"/>
          <w:color w:val="auto"/>
        </w:rPr>
        <w:t>第二节</w:t>
      </w:r>
      <w:bookmarkStart w:id="77" w:name="_Toc15358"/>
      <w:bookmarkStart w:id="78" w:name="_Toc20998"/>
      <w:bookmarkStart w:id="79" w:name="_Toc469"/>
      <w:bookmarkStart w:id="80" w:name="_Toc3196"/>
      <w:r>
        <w:rPr>
          <w:rFonts w:hint="default" w:ascii="Times New Roman" w:hAnsi="Times New Roman" w:eastAsia="楷体_GB2312" w:cs="Times New Roman"/>
          <w:b w:val="0"/>
          <w:bCs w:val="0"/>
          <w:color w:val="auto"/>
        </w:rPr>
        <w:t xml:space="preserve"> </w:t>
      </w:r>
      <w:r>
        <w:rPr>
          <w:rFonts w:hint="default" w:ascii="Times New Roman" w:hAnsi="Times New Roman" w:eastAsia="楷体_GB2312" w:cs="Times New Roman"/>
          <w:b w:val="0"/>
          <w:bCs w:val="0"/>
          <w:color w:val="auto"/>
          <w:lang w:val="en"/>
        </w:rPr>
        <w:t xml:space="preserve"> </w:t>
      </w:r>
      <w:r>
        <w:rPr>
          <w:rFonts w:hint="default" w:ascii="Times New Roman" w:hAnsi="Times New Roman" w:eastAsia="楷体_GB2312" w:cs="Times New Roman"/>
          <w:b w:val="0"/>
          <w:bCs w:val="0"/>
          <w:color w:val="auto"/>
        </w:rPr>
        <w:t>“十四五”时期面临问题</w:t>
      </w:r>
      <w:bookmarkEnd w:id="74"/>
      <w:bookmarkEnd w:id="75"/>
      <w:bookmarkEnd w:id="76"/>
      <w:bookmarkEnd w:id="77"/>
      <w:bookmarkEnd w:id="78"/>
      <w:bookmarkEnd w:id="79"/>
      <w:bookmarkEnd w:id="80"/>
    </w:p>
    <w:p>
      <w:pPr>
        <w:spacing w:line="560" w:lineRule="exact"/>
        <w:ind w:firstLine="642" w:firstLineChars="200"/>
        <w:rPr>
          <w:rFonts w:hint="default" w:ascii="Times New Roman" w:hAnsi="Times New Roman" w:eastAsia="仿宋_GB2312" w:cs="Times New Roman"/>
          <w:color w:val="auto"/>
          <w:kern w:val="0"/>
          <w:sz w:val="32"/>
          <w:szCs w:val="32"/>
        </w:rPr>
      </w:pPr>
      <w:bookmarkStart w:id="81" w:name="_Toc21064"/>
      <w:r>
        <w:rPr>
          <w:rFonts w:hint="default" w:ascii="Times New Roman" w:hAnsi="Times New Roman" w:eastAsia="仿宋_GB2312" w:cs="Times New Roman"/>
          <w:b/>
          <w:bCs/>
          <w:color w:val="auto"/>
          <w:kern w:val="0"/>
          <w:sz w:val="32"/>
          <w:szCs w:val="32"/>
          <w:lang w:bidi="ar"/>
        </w:rPr>
        <w:t>城乡融合发展不均衡</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城市空间呈狭长带状，东西跨度长、南北纵深短，组团分散、功能衔接不强，人口与公共服务设施分布不均衡，跨区域交通衔接不畅、职住融合不充分。城乡二元结构差异比较明显，城镇发展重心集中于滨海</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bidi="ar"/>
        </w:rPr>
        <w:t>腹地乡村发展滞后。城镇建成区与可拓展空间有限，难以同时满足</w:t>
      </w:r>
      <w:r>
        <w:rPr>
          <w:rFonts w:hint="default" w:ascii="Times New Roman" w:hAnsi="Times New Roman" w:eastAsia="仿宋_GB2312" w:cs="Times New Roman"/>
          <w:color w:val="auto"/>
          <w:kern w:val="0"/>
          <w:sz w:val="32"/>
          <w:szCs w:val="32"/>
          <w:lang w:eastAsia="zh-CN" w:bidi="ar"/>
        </w:rPr>
        <w:t>崖州湾科技城高新区</w:t>
      </w:r>
      <w:r>
        <w:rPr>
          <w:rFonts w:hint="default" w:ascii="Times New Roman" w:hAnsi="Times New Roman" w:eastAsia="仿宋_GB2312" w:cs="Times New Roman"/>
          <w:color w:val="auto"/>
          <w:kern w:val="0"/>
          <w:sz w:val="32"/>
          <w:szCs w:val="32"/>
          <w:lang w:bidi="ar"/>
        </w:rPr>
        <w:t>、中央商务区、</w:t>
      </w:r>
      <w:r>
        <w:rPr>
          <w:rFonts w:hint="default" w:ascii="Times New Roman" w:hAnsi="Times New Roman" w:eastAsia="仿宋_GB2312" w:cs="Times New Roman"/>
          <w:color w:val="auto"/>
          <w:kern w:val="0"/>
          <w:sz w:val="32"/>
          <w:szCs w:val="32"/>
          <w:lang w:eastAsia="zh-CN" w:bidi="ar"/>
        </w:rPr>
        <w:t>三亚海棠湾国家海岸休闲园区</w:t>
      </w:r>
      <w:r>
        <w:rPr>
          <w:rFonts w:hint="default" w:ascii="Times New Roman" w:hAnsi="Times New Roman" w:eastAsia="仿宋_GB2312" w:cs="Times New Roman"/>
          <w:color w:val="auto"/>
          <w:kern w:val="0"/>
          <w:sz w:val="32"/>
          <w:szCs w:val="32"/>
          <w:lang w:bidi="ar"/>
        </w:rPr>
        <w:t>、G98“北抬”、垦地融合等多维空间需求，空间拓展与融合压力加大。</w:t>
      </w:r>
    </w:p>
    <w:p>
      <w:pPr>
        <w:spacing w:line="560" w:lineRule="exact"/>
        <w:ind w:firstLine="642" w:firstLineChars="200"/>
        <w:rPr>
          <w:rFonts w:hint="default" w:ascii="Times New Roman" w:hAnsi="Times New Roman" w:eastAsia="仿宋_GB2312" w:cs="Times New Roman"/>
          <w:b/>
          <w:bCs/>
          <w:color w:val="auto"/>
          <w:kern w:val="0"/>
          <w:sz w:val="32"/>
          <w:szCs w:val="32"/>
          <w:highlight w:val="none"/>
          <w:lang w:val="en-US"/>
        </w:rPr>
      </w:pPr>
      <w:r>
        <w:rPr>
          <w:rFonts w:hint="default" w:ascii="Times New Roman" w:hAnsi="Times New Roman" w:eastAsia="仿宋_GB2312" w:cs="Times New Roman"/>
          <w:b/>
          <w:bCs/>
          <w:color w:val="auto"/>
          <w:kern w:val="0"/>
          <w:sz w:val="32"/>
          <w:szCs w:val="32"/>
          <w:lang w:bidi="ar"/>
        </w:rPr>
        <w:t>耕地和永久基本农田保护压力加大</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val="en-US" w:eastAsia="zh-CN" w:bidi="ar"/>
        </w:rPr>
        <w:t>受自然地形制约，耕地资源空间分布零散，耕地布局仍存在破碎化</w:t>
      </w:r>
      <w:r>
        <w:rPr>
          <w:rFonts w:hint="default" w:ascii="Times New Roman" w:hAnsi="Times New Roman" w:eastAsia="仿宋_GB2312" w:cs="Times New Roman"/>
          <w:color w:val="auto"/>
          <w:kern w:val="0"/>
          <w:sz w:val="32"/>
          <w:szCs w:val="32"/>
          <w:lang w:eastAsia="zh-CN" w:bidi="ar"/>
        </w:rPr>
        <w:t>、25°以上坡耕地等问题</w:t>
      </w:r>
      <w:r>
        <w:rPr>
          <w:rFonts w:hint="default"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bidi="ar"/>
        </w:rPr>
        <w:t>耕地中永久基本农田占比</w:t>
      </w:r>
      <w:r>
        <w:rPr>
          <w:rFonts w:hint="default" w:ascii="Times New Roman" w:hAnsi="Times New Roman" w:eastAsia="仿宋_GB2312" w:cs="Times New Roman"/>
          <w:color w:val="auto"/>
          <w:kern w:val="0"/>
          <w:sz w:val="32"/>
          <w:szCs w:val="32"/>
          <w:lang w:eastAsia="zh-CN" w:bidi="ar"/>
        </w:rPr>
        <w:t>较</w:t>
      </w:r>
      <w:r>
        <w:rPr>
          <w:rFonts w:hint="default" w:ascii="Times New Roman" w:hAnsi="Times New Roman" w:eastAsia="仿宋_GB2312" w:cs="Times New Roman"/>
          <w:color w:val="auto"/>
          <w:kern w:val="0"/>
          <w:sz w:val="32"/>
          <w:szCs w:val="32"/>
          <w:lang w:bidi="ar"/>
        </w:rPr>
        <w:t>高，城镇开发边界与永久基本农田布局交叉，保护空间与建设空间存在重叠。受经济利益驱动，耕地“非农化”“非粮化”压力持续增加，整改复耕难度大</w:t>
      </w:r>
      <w:r>
        <w:rPr>
          <w:rFonts w:hint="default" w:ascii="Times New Roman" w:hAnsi="Times New Roman" w:eastAsia="仿宋_GB2312" w:cs="Times New Roman"/>
          <w:color w:val="auto"/>
          <w:kern w:val="0"/>
          <w:sz w:val="32"/>
          <w:szCs w:val="32"/>
          <w:lang w:eastAsia="zh-CN" w:bidi="ar"/>
        </w:rPr>
        <w:t>，且存在反复整改现象</w:t>
      </w:r>
      <w:r>
        <w:rPr>
          <w:rFonts w:hint="default" w:ascii="Times New Roman" w:hAnsi="Times New Roman" w:eastAsia="仿宋_GB2312" w:cs="Times New Roman"/>
          <w:color w:val="auto"/>
          <w:kern w:val="0"/>
          <w:sz w:val="32"/>
          <w:szCs w:val="32"/>
          <w:lang w:bidi="ar"/>
        </w:rPr>
        <w:t>。耕地后备资源总量不足、潜力有限，耕</w:t>
      </w:r>
      <w:r>
        <w:rPr>
          <w:rFonts w:hint="default" w:ascii="Times New Roman" w:hAnsi="Times New Roman" w:eastAsia="仿宋_GB2312" w:cs="Times New Roman"/>
          <w:color w:val="auto"/>
          <w:kern w:val="0"/>
          <w:sz w:val="32"/>
          <w:szCs w:val="32"/>
          <w:highlight w:val="none"/>
          <w:lang w:bidi="ar"/>
        </w:rPr>
        <w:t>地保护在数量、质量、生态三重平衡上压力长期存在，撂荒耕地长效管护不到位。</w:t>
      </w:r>
    </w:p>
    <w:p>
      <w:pPr>
        <w:spacing w:line="560" w:lineRule="exact"/>
        <w:ind w:firstLine="642"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b/>
          <w:bCs/>
          <w:color w:val="auto"/>
          <w:kern w:val="0"/>
          <w:sz w:val="32"/>
          <w:szCs w:val="32"/>
          <w:highlight w:val="none"/>
          <w:lang w:bidi="ar"/>
        </w:rPr>
        <w:t>陆海统筹有待加强</w:t>
      </w:r>
      <w:r>
        <w:rPr>
          <w:rFonts w:hint="default" w:ascii="Times New Roman" w:hAnsi="Times New Roman" w:eastAsia="仿宋_GB2312" w:cs="Times New Roman"/>
          <w:b w:val="0"/>
          <w:bCs w:val="0"/>
          <w:color w:val="auto"/>
          <w:kern w:val="0"/>
          <w:sz w:val="32"/>
          <w:szCs w:val="32"/>
          <w:highlight w:val="none"/>
          <w:lang w:bidi="ar"/>
        </w:rPr>
        <w:t>。</w:t>
      </w:r>
      <w:r>
        <w:rPr>
          <w:rFonts w:hint="default" w:ascii="Times New Roman" w:hAnsi="Times New Roman" w:eastAsia="仿宋_GB2312" w:cs="Times New Roman"/>
          <w:color w:val="auto"/>
          <w:kern w:val="0"/>
          <w:sz w:val="32"/>
          <w:szCs w:val="32"/>
          <w:lang w:bidi="ar"/>
        </w:rPr>
        <w:t>崖州湾深海科技、临港产业、滨海文旅等陆海联动项目用地用海保障衔接不畅，近岸开发强度偏高、深远海资源利用挖掘不足，海岸线节约集约利用水平有待提高。</w:t>
      </w:r>
      <w:r>
        <w:rPr>
          <w:rFonts w:hint="default" w:ascii="Times New Roman" w:hAnsi="Times New Roman" w:eastAsia="仿宋_GB2312" w:cs="Times New Roman"/>
          <w:color w:val="auto"/>
          <w:kern w:val="0"/>
          <w:sz w:val="32"/>
          <w:szCs w:val="32"/>
          <w:highlight w:val="none"/>
          <w:lang w:bidi="ar"/>
        </w:rPr>
        <w:t>港口岸线资源整体使用</w:t>
      </w:r>
      <w:r>
        <w:rPr>
          <w:rFonts w:hint="default" w:ascii="Times New Roman" w:hAnsi="Times New Roman" w:eastAsia="仿宋_GB2312" w:cs="Times New Roman"/>
          <w:color w:val="auto"/>
          <w:kern w:val="0"/>
          <w:sz w:val="32"/>
          <w:szCs w:val="32"/>
          <w:lang w:bidi="ar"/>
        </w:rPr>
        <w:t>效率较低，滨海局部开发强度偏高，内陆开发利用效率偏低，港口功能单一，“港、产、城”缺乏有效融合，港口腹地经济水平低。浅近海资源开发强度偏高，深远海资源开发滞后。</w:t>
      </w:r>
    </w:p>
    <w:p>
      <w:pPr>
        <w:spacing w:line="560" w:lineRule="exact"/>
        <w:ind w:firstLine="642"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b/>
          <w:bCs/>
          <w:color w:val="auto"/>
          <w:kern w:val="0"/>
          <w:sz w:val="32"/>
          <w:szCs w:val="32"/>
          <w:lang w:bidi="ar"/>
        </w:rPr>
        <w:t>自然资源空间保护利用水平有待提升</w:t>
      </w:r>
      <w:r>
        <w:rPr>
          <w:rFonts w:hint="default" w:ascii="Times New Roman" w:hAnsi="Times New Roman" w:eastAsia="仿宋_GB2312" w:cs="Times New Roman"/>
          <w:b w:val="0"/>
          <w:bCs w:val="0"/>
          <w:color w:val="auto"/>
          <w:kern w:val="0"/>
          <w:sz w:val="32"/>
          <w:szCs w:val="32"/>
          <w:lang w:val="en-US" w:eastAsia="zh-CN" w:bidi="ar"/>
        </w:rPr>
        <w:t>。</w:t>
      </w:r>
      <w:r>
        <w:rPr>
          <w:rFonts w:hint="default" w:ascii="Times New Roman" w:hAnsi="Times New Roman" w:eastAsia="仿宋_GB2312" w:cs="Times New Roman"/>
          <w:color w:val="auto"/>
          <w:kern w:val="0"/>
          <w:sz w:val="32"/>
          <w:szCs w:val="32"/>
          <w:lang w:bidi="ar"/>
        </w:rPr>
        <w:t>生态系统本底脆弱，红树林、珊瑚礁等关键生态系统保护监管不足。海岸带保护和利用</w:t>
      </w:r>
      <w:r>
        <w:rPr>
          <w:rFonts w:hint="default" w:ascii="Times New Roman" w:hAnsi="Times New Roman" w:eastAsia="仿宋_GB2312" w:cs="Times New Roman"/>
          <w:color w:val="auto"/>
          <w:kern w:val="0"/>
          <w:sz w:val="32"/>
          <w:szCs w:val="32"/>
          <w:lang w:val="en-US" w:eastAsia="zh-CN" w:bidi="ar"/>
        </w:rPr>
        <w:t>存在矛盾</w:t>
      </w:r>
      <w:r>
        <w:rPr>
          <w:rFonts w:hint="default" w:ascii="Times New Roman" w:hAnsi="Times New Roman" w:eastAsia="仿宋_GB2312" w:cs="Times New Roman"/>
          <w:color w:val="auto"/>
          <w:kern w:val="0"/>
          <w:sz w:val="32"/>
          <w:szCs w:val="32"/>
          <w:lang w:bidi="ar"/>
        </w:rPr>
        <w:t>，自然岸线保有率距省级下达65%的指标尚有一定差距。滨海自然资源利用效率有待提升，现状海洋资源利用以观光和渔业为主，高附加值的海洋科技产业处于起步阶段;优质海岸资源利用以房地产和酒店为主，缺乏价值链长、重游率高的复合型旅游吸引物；铁炉港红树林自然保护核心区和缓冲区内人工捕鱼活动仍较为普遍，珊瑚礁生态系统出现退化，局部区域的珊瑚礁呈现破碎化状态；农林、山地资源利用以传统种植业为主，产业链短、附加值低。</w:t>
      </w:r>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自然资源治理效能有待提升</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自然资源统一确权登记覆盖面仍需拓展，产权界定、价值评估、权益实现机制仍不完善。自然资源资产管理制度框架初步建立，但生态保护补偿、资产价值核算、负债表编制、权益清单等关键成果尚未全面应用。自然资源管理数字化、智能化应用场景尚未全覆盖，全域全流程空间治理体系尚未成型，制度集成创新与治理效能有待整体提升。</w:t>
      </w:r>
    </w:p>
    <w:bookmarkEnd w:id="81"/>
    <w:p>
      <w:pPr>
        <w:pStyle w:val="5"/>
        <w:keepNext w:val="0"/>
        <w:keepLines w:val="0"/>
        <w:spacing w:line="560" w:lineRule="exact"/>
        <w:ind w:firstLine="200"/>
        <w:jc w:val="center"/>
        <w:rPr>
          <w:rFonts w:hint="default" w:ascii="Times New Roman" w:hAnsi="Times New Roman" w:eastAsia="楷体_GB2312" w:cs="Times New Roman"/>
          <w:b w:val="0"/>
          <w:bCs w:val="0"/>
          <w:color w:val="auto"/>
        </w:rPr>
      </w:pPr>
      <w:bookmarkStart w:id="82" w:name="_Toc657337458"/>
      <w:bookmarkStart w:id="83" w:name="_Toc578378209"/>
      <w:bookmarkStart w:id="84" w:name="_Toc230470303"/>
      <w:r>
        <w:rPr>
          <w:rFonts w:hint="default" w:ascii="Times New Roman" w:hAnsi="Times New Roman" w:eastAsia="楷体_GB2312" w:cs="Times New Roman"/>
          <w:b w:val="0"/>
          <w:bCs w:val="0"/>
          <w:color w:val="auto"/>
        </w:rPr>
        <w:t>第三节</w:t>
      </w:r>
      <w:r>
        <w:rPr>
          <w:rFonts w:hint="default" w:ascii="Times New Roman" w:hAnsi="Times New Roman" w:eastAsia="楷体_GB2312" w:cs="Times New Roman"/>
          <w:b w:val="0"/>
          <w:bCs w:val="0"/>
          <w:color w:val="auto"/>
          <w:lang w:val="en"/>
        </w:rPr>
        <w:t xml:space="preserve"> </w:t>
      </w:r>
      <w:r>
        <w:rPr>
          <w:rFonts w:hint="default" w:ascii="Times New Roman" w:hAnsi="Times New Roman" w:eastAsia="楷体_GB2312" w:cs="Times New Roman"/>
          <w:b w:val="0"/>
          <w:bCs w:val="0"/>
          <w:color w:val="auto"/>
        </w:rPr>
        <w:t xml:space="preserve"> “十五五”时期发展形势</w:t>
      </w:r>
      <w:bookmarkEnd w:id="82"/>
      <w:bookmarkEnd w:id="83"/>
      <w:bookmarkEnd w:id="84"/>
    </w:p>
    <w:p>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“十五五”时期是自贸港封关运作的关键阶段，也是三亚自然资源领域实现“守底线、促发展、提效能”的战略机遇期，面临的形势呈现出新的时代特征。</w:t>
      </w:r>
    </w:p>
    <w:p>
      <w:pPr>
        <w:keepNext w:val="0"/>
        <w:keepLines w:val="0"/>
        <w:pageBreakBefore w:val="0"/>
        <w:widowControl w:val="0"/>
        <w:shd w:val="clea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b/>
          <w:bCs/>
          <w:color w:val="auto"/>
          <w:kern w:val="0"/>
          <w:sz w:val="32"/>
          <w:szCs w:val="32"/>
          <w:highlight w:val="none"/>
          <w:lang w:bidi="ar"/>
        </w:rPr>
        <w:t>“十五五”时期是三亚国土空间格局的战略重构期</w:t>
      </w:r>
      <w:r>
        <w:rPr>
          <w:rFonts w:hint="default" w:ascii="Times New Roman" w:hAnsi="Times New Roman" w:eastAsia="仿宋_GB2312" w:cs="Times New Roman"/>
          <w:b w:val="0"/>
          <w:bCs w:val="0"/>
          <w:color w:val="auto"/>
          <w:kern w:val="0"/>
          <w:sz w:val="32"/>
          <w:szCs w:val="32"/>
          <w:highlight w:val="none"/>
          <w:lang w:bidi="ar"/>
        </w:rPr>
        <w:t>。</w:t>
      </w:r>
      <w:r>
        <w:rPr>
          <w:rFonts w:hint="default" w:ascii="Times New Roman" w:hAnsi="Times New Roman" w:eastAsia="仿宋_GB2312" w:cs="Times New Roman"/>
          <w:color w:val="auto"/>
          <w:kern w:val="0"/>
          <w:sz w:val="32"/>
          <w:szCs w:val="32"/>
          <w:highlight w:val="none"/>
          <w:lang w:bidi="ar"/>
        </w:rPr>
        <w:t>“十五五”时期，三亚将深度融入海南自贸港建设大局，立足“三极一带一区”发展格局，城市核心辐射力、要素集聚力持续增强，人口与产业加速向中心城区、重点园区集聚。全市空间发展呈现优化提质与拓展赋能并行态势，吉阳、天涯两区聚焦内涵提升、功能更新，推动空间集约高效利用；海棠区着力强化产业支撑、补齐公共服务短板，促进旅游与城市功能融合；崖州区依托南繁深海产业优势，加快基础设施完善与产城融合步伐；育才生态区立足生态禀赋，稳步推进乡村振兴与垦地融合</w:t>
      </w:r>
      <w:r>
        <w:rPr>
          <w:rFonts w:hint="default" w:ascii="Times New Roman" w:hAnsi="Times New Roman" w:eastAsia="仿宋_GB2312" w:cs="Times New Roman"/>
          <w:color w:val="auto"/>
          <w:kern w:val="0"/>
          <w:sz w:val="32"/>
          <w:szCs w:val="32"/>
          <w:highlight w:val="none"/>
          <w:lang w:val="en-US" w:eastAsia="zh-CN" w:bidi="ar"/>
        </w:rPr>
        <w:t>协同发展</w:t>
      </w:r>
      <w:r>
        <w:rPr>
          <w:rFonts w:hint="default" w:ascii="Times New Roman" w:hAnsi="Times New Roman" w:eastAsia="仿宋_GB2312" w:cs="Times New Roman"/>
          <w:color w:val="auto"/>
          <w:kern w:val="0"/>
          <w:sz w:val="32"/>
          <w:szCs w:val="32"/>
          <w:highlight w:val="none"/>
          <w:lang w:bidi="ar"/>
        </w:rPr>
        <w:t>。全市空间布局将逐步由狭长带状、组团分散向一体化、网络化、集约高效格局转变，</w:t>
      </w:r>
      <w:r>
        <w:rPr>
          <w:rFonts w:hint="default" w:ascii="Times New Roman" w:hAnsi="Times New Roman" w:eastAsia="仿宋_GB2312" w:cs="Times New Roman"/>
          <w:color w:val="auto"/>
          <w:kern w:val="0"/>
          <w:sz w:val="32"/>
          <w:szCs w:val="32"/>
          <w:highlight w:val="none"/>
          <w:lang w:eastAsia="zh-CN" w:bidi="ar"/>
        </w:rPr>
        <w:t>崖州湾科技城高新区</w:t>
      </w:r>
      <w:r>
        <w:rPr>
          <w:rFonts w:hint="default" w:ascii="Times New Roman" w:hAnsi="Times New Roman" w:eastAsia="仿宋_GB2312" w:cs="Times New Roman"/>
          <w:color w:val="auto"/>
          <w:kern w:val="0"/>
          <w:sz w:val="32"/>
          <w:szCs w:val="32"/>
          <w:highlight w:val="none"/>
          <w:lang w:bidi="ar"/>
        </w:rPr>
        <w:t>、中央商务区、</w:t>
      </w:r>
      <w:r>
        <w:rPr>
          <w:rFonts w:hint="default" w:ascii="Times New Roman" w:hAnsi="Times New Roman" w:eastAsia="仿宋_GB2312" w:cs="Times New Roman"/>
          <w:color w:val="auto"/>
          <w:kern w:val="0"/>
          <w:sz w:val="32"/>
          <w:szCs w:val="32"/>
          <w:highlight w:val="none"/>
          <w:lang w:eastAsia="zh-CN" w:bidi="ar"/>
        </w:rPr>
        <w:t>三亚海棠湾国家海岸休闲园区</w:t>
      </w:r>
      <w:r>
        <w:rPr>
          <w:rFonts w:hint="default" w:ascii="Times New Roman" w:hAnsi="Times New Roman" w:eastAsia="仿宋_GB2312" w:cs="Times New Roman"/>
          <w:color w:val="auto"/>
          <w:kern w:val="0"/>
          <w:sz w:val="32"/>
          <w:szCs w:val="32"/>
          <w:highlight w:val="none"/>
          <w:lang w:bidi="ar"/>
        </w:rPr>
        <w:t>、G98“北抬”、垦地融合等重大战略实施与重点产业园区建设，为空间重构带来重要机遇，同时也对资源统筹配置提出更高要求。</w:t>
      </w:r>
    </w:p>
    <w:p>
      <w:pPr>
        <w:keepNext w:val="0"/>
        <w:keepLines w:val="0"/>
        <w:pageBreakBefore w:val="0"/>
        <w:widowControl w:val="0"/>
        <w:shd w:val="clea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b/>
          <w:bCs/>
          <w:color w:val="auto"/>
          <w:kern w:val="0"/>
          <w:sz w:val="32"/>
          <w:szCs w:val="32"/>
          <w:highlight w:val="none"/>
          <w:lang w:bidi="ar"/>
        </w:rPr>
        <w:t>“十五五”时期是三亚自然资源要素保障提质增效关键期</w:t>
      </w:r>
      <w:r>
        <w:rPr>
          <w:rFonts w:hint="default" w:ascii="Times New Roman" w:hAnsi="Times New Roman" w:eastAsia="仿宋_GB2312" w:cs="Times New Roman"/>
          <w:b w:val="0"/>
          <w:bCs w:val="0"/>
          <w:color w:val="auto"/>
          <w:kern w:val="0"/>
          <w:sz w:val="32"/>
          <w:szCs w:val="32"/>
          <w:highlight w:val="none"/>
          <w:lang w:bidi="ar"/>
        </w:rPr>
        <w:t>。</w:t>
      </w:r>
      <w:r>
        <w:rPr>
          <w:rFonts w:hint="default" w:ascii="Times New Roman" w:hAnsi="Times New Roman" w:eastAsia="仿宋_GB2312" w:cs="Times New Roman"/>
          <w:color w:val="auto"/>
          <w:kern w:val="0"/>
          <w:sz w:val="32"/>
          <w:szCs w:val="32"/>
          <w:highlight w:val="none"/>
          <w:lang w:bidi="ar"/>
        </w:rPr>
        <w:t>“十五五”时期，高标准建设自贸港新动能加速集聚，现代化产业体系加速构建，经济增长和城镇化进程稳步推进，资源要素需求呈现高质量、多元化、组合态特征。南繁种业、深海科技、总部经济、高端旅游、热带特色高效农业等重点产业持续壮大，南繁科研育种基地等重大平台扩容升级，用地用海需求稳步增长。深海装备制造、深远海养殖、邮轮游艇等海洋产业加快发展，海域资源配置将更加注重立体分层、高效利用。G98“北抬”、新机场、环岛旅游公路及垦地融合建设等基础设施加快推进，用地保障压力逐步转化为优化配置、精准供给的动力。全市资源禀赋条件下，将更加注重存量盘活、内涵挖潜与生态约束下的高效配置，推动资源供给从规模扩张向质量提升、结构优化转变。</w:t>
      </w:r>
    </w:p>
    <w:p>
      <w:pPr>
        <w:keepNext w:val="0"/>
        <w:keepLines w:val="0"/>
        <w:pageBreakBefore w:val="0"/>
        <w:widowControl w:val="0"/>
        <w:shd w:val="clea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b/>
          <w:bCs/>
          <w:color w:val="auto"/>
          <w:kern w:val="0"/>
          <w:sz w:val="32"/>
          <w:szCs w:val="32"/>
          <w:highlight w:val="none"/>
          <w:lang w:bidi="ar"/>
        </w:rPr>
        <w:t>“十五五”时期是三亚自然资源治理能力现代化的关键提升期</w:t>
      </w:r>
      <w:r>
        <w:rPr>
          <w:rFonts w:hint="default" w:ascii="Times New Roman" w:hAnsi="Times New Roman" w:eastAsia="仿宋_GB2312" w:cs="Times New Roman"/>
          <w:b w:val="0"/>
          <w:bCs w:val="0"/>
          <w:color w:val="auto"/>
          <w:kern w:val="0"/>
          <w:sz w:val="32"/>
          <w:szCs w:val="32"/>
          <w:highlight w:val="none"/>
          <w:lang w:bidi="ar"/>
        </w:rPr>
        <w:t>。</w:t>
      </w:r>
      <w:r>
        <w:rPr>
          <w:rFonts w:hint="default" w:ascii="Times New Roman" w:hAnsi="Times New Roman" w:eastAsia="仿宋_GB2312" w:cs="Times New Roman"/>
          <w:color w:val="auto"/>
          <w:kern w:val="0"/>
          <w:sz w:val="32"/>
          <w:szCs w:val="32"/>
          <w:highlight w:val="none"/>
          <w:lang w:bidi="ar"/>
        </w:rPr>
        <w:t>“十五五”时期，三亚将以自贸港制度集成创新为牵引，落实推进全域全类型全流程自然资源治理工作，推动自然资源治理迈向法治化、规范化、智能化新阶段。依托省级自然资源管理和国土空间规划“一张图”系统，统筹资源监测、要素配置、空间管控与生态保护，规划引领作用持续强化。体系化测绘、数字化监管、智慧化审批等应用不断深化，不动产登记、要素供给、规划服务便利化水平稳步提升。存量时代背景下，规划政策体系、资源配置机制持续优化，制度集成创新动能不断释放。通过深化改革、健全机制、强化监管与数智赋能，将逐步破解体制机制制约，推动自然资源治理体系和治理能力现代化，为自贸港高质量发展提供坚实制度保障。</w:t>
      </w:r>
    </w:p>
    <w:p>
      <w:pPr>
        <w:keepNext w:val="0"/>
        <w:keepLines w:val="0"/>
        <w:pageBreakBefore w:val="0"/>
        <w:widowControl w:val="0"/>
        <w:shd w:val="clea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b/>
          <w:bCs/>
          <w:color w:val="auto"/>
          <w:kern w:val="0"/>
          <w:sz w:val="32"/>
          <w:szCs w:val="32"/>
          <w:highlight w:val="none"/>
          <w:lang w:bidi="ar"/>
        </w:rPr>
        <w:t>“十五五”时期是三亚打造生态文明示范城市、热带滨海旅游城市的巩固提升期</w:t>
      </w:r>
      <w:r>
        <w:rPr>
          <w:rFonts w:hint="default" w:ascii="Times New Roman" w:hAnsi="Times New Roman" w:eastAsia="仿宋_GB2312" w:cs="Times New Roman"/>
          <w:b w:val="0"/>
          <w:bCs w:val="0"/>
          <w:color w:val="auto"/>
          <w:kern w:val="0"/>
          <w:sz w:val="32"/>
          <w:szCs w:val="32"/>
          <w:highlight w:val="none"/>
          <w:lang w:bidi="ar"/>
        </w:rPr>
        <w:t>。</w:t>
      </w:r>
      <w:r>
        <w:rPr>
          <w:rFonts w:hint="default" w:ascii="Times New Roman" w:hAnsi="Times New Roman" w:eastAsia="仿宋_GB2312" w:cs="Times New Roman"/>
          <w:color w:val="auto"/>
          <w:kern w:val="0"/>
          <w:sz w:val="32"/>
          <w:szCs w:val="32"/>
          <w:highlight w:val="none"/>
          <w:lang w:bidi="ar"/>
        </w:rPr>
        <w:t>“十五五”时期，三亚立足美丽中国先行区核心定位，锚定生态文明示范城市、世界知名热带滨海旅游城市建设目标，持续巩固生态优势、推动绿色发展。全市生态环境质量持续保持优良水平，森林、红树林、珊瑚礁等典型生态系统健康稳定，生态本底坚实、生态优势突出。面向高质量发展新要求，将持续统筹陆海生态保护修复，强化岸线管控、生态治理与生物多样性保护。深化耕地保护与生态协同治理，健全山水林田湖草沙海一体化修复机制。畅通生态产品价值实现路径，推动生态优势加速转化为发展优势，助力生态产业化发展。</w:t>
      </w:r>
    </w:p>
    <w:p>
      <w:pPr>
        <w:ind w:firstLine="640" w:firstLineChars="200"/>
        <w:rPr>
          <w:rFonts w:hint="default" w:ascii="Times New Roman" w:hAnsi="Times New Roman" w:eastAsia="仿宋_GB2312" w:cs="Times New Roman"/>
          <w:color w:val="auto"/>
          <w:kern w:val="0"/>
          <w:sz w:val="32"/>
          <w:szCs w:val="32"/>
          <w:lang w:bidi="ar"/>
        </w:rPr>
      </w:pPr>
      <w:bookmarkStart w:id="85" w:name="_Toc275166213"/>
    </w:p>
    <w:p>
      <w:pPr>
        <w:pStyle w:val="4"/>
        <w:keepNext w:val="0"/>
        <w:keepLines w:val="0"/>
        <w:spacing w:line="560" w:lineRule="exact"/>
        <w:jc w:val="center"/>
        <w:rPr>
          <w:rFonts w:hint="default" w:ascii="Times New Roman" w:hAnsi="Times New Roman" w:cs="Times New Roman"/>
          <w:color w:val="auto"/>
          <w:szCs w:val="32"/>
        </w:rPr>
      </w:pPr>
      <w:bookmarkStart w:id="86" w:name="_Toc297256073"/>
      <w:bookmarkStart w:id="87" w:name="_Toc126575779"/>
      <w:r>
        <w:rPr>
          <w:rFonts w:hint="default" w:ascii="Times New Roman" w:hAnsi="Times New Roman" w:cs="Times New Roman"/>
          <w:color w:val="auto"/>
          <w:szCs w:val="32"/>
        </w:rPr>
        <w:t>第二章  总体要求</w:t>
      </w:r>
      <w:bookmarkEnd w:id="85"/>
      <w:bookmarkEnd w:id="86"/>
      <w:bookmarkEnd w:id="87"/>
    </w:p>
    <w:p>
      <w:pPr>
        <w:spacing w:line="560" w:lineRule="exact"/>
        <w:ind w:firstLine="640" w:firstLineChars="200"/>
        <w:rPr>
          <w:rFonts w:hint="default" w:ascii="Times New Roman" w:hAnsi="Times New Roman" w:eastAsia="仿宋_GB2312" w:cs="Times New Roman"/>
          <w:color w:val="auto"/>
          <w:kern w:val="0"/>
          <w:sz w:val="32"/>
          <w:szCs w:val="32"/>
          <w:lang w:bidi="ar"/>
        </w:rPr>
      </w:pPr>
      <w:bookmarkStart w:id="88" w:name="_Toc1663902874"/>
      <w:bookmarkStart w:id="89" w:name="_Toc1070417742"/>
      <w:bookmarkStart w:id="90" w:name="_Toc2044682110"/>
      <w:bookmarkStart w:id="91" w:name="_Toc2038555852"/>
      <w:bookmarkStart w:id="92" w:name="_Toc381860316"/>
      <w:bookmarkStart w:id="93" w:name="_Toc666647252"/>
      <w:bookmarkStart w:id="94" w:name="_Toc1385623352"/>
      <w:bookmarkStart w:id="95" w:name="_Toc820665459"/>
      <w:bookmarkStart w:id="96" w:name="_Toc1087634225"/>
      <w:bookmarkStart w:id="97" w:name="_Toc1550888517"/>
      <w:bookmarkStart w:id="98" w:name="_Toc807390094"/>
      <w:bookmarkStart w:id="99" w:name="_Toc1914964653"/>
      <w:bookmarkStart w:id="100" w:name="_Toc1204073295"/>
      <w:bookmarkStart w:id="101" w:name="_Toc1577538997"/>
      <w:bookmarkStart w:id="102" w:name="_Toc1843113088"/>
      <w:bookmarkStart w:id="103" w:name="_Toc152985454"/>
      <w:bookmarkStart w:id="104" w:name="_Toc543454113"/>
      <w:bookmarkStart w:id="105" w:name="_Toc1407687190"/>
      <w:bookmarkStart w:id="106" w:name="_Toc1167412514"/>
      <w:bookmarkStart w:id="107" w:name="_Toc971224462"/>
      <w:bookmarkStart w:id="108" w:name="_Toc894010757"/>
      <w:bookmarkStart w:id="109" w:name="_Toc835223900"/>
      <w:bookmarkStart w:id="110" w:name="_Toc1271234857"/>
      <w:bookmarkStart w:id="111" w:name="_Toc213169682"/>
      <w:bookmarkStart w:id="112" w:name="_Toc220551629"/>
      <w:bookmarkStart w:id="113" w:name="_Toc2024891920"/>
      <w:bookmarkStart w:id="114" w:name="_Toc2021470046"/>
      <w:bookmarkStart w:id="115" w:name="_Toc2049345634"/>
      <w:bookmarkStart w:id="116" w:name="_Toc854134370"/>
      <w:bookmarkStart w:id="117" w:name="_Toc1288559814"/>
      <w:bookmarkStart w:id="118" w:name="_Toc1883764388"/>
      <w:bookmarkStart w:id="119" w:name="_Toc191211928"/>
      <w:bookmarkStart w:id="120" w:name="_Toc1221430043"/>
      <w:bookmarkStart w:id="121" w:name="_Toc1481619193"/>
      <w:bookmarkStart w:id="122" w:name="_Toc1388381467"/>
      <w:bookmarkStart w:id="123" w:name="_Toc252318974"/>
      <w:bookmarkStart w:id="124" w:name="_Toc221017013"/>
      <w:bookmarkStart w:id="125" w:name="_Toc836209809"/>
      <w:bookmarkStart w:id="126" w:name="_Toc1576011912"/>
      <w:bookmarkStart w:id="127" w:name="_Toc1698718874"/>
      <w:bookmarkStart w:id="128" w:name="_Toc1504411847"/>
      <w:bookmarkStart w:id="129" w:name="_Toc1081434610"/>
      <w:bookmarkStart w:id="130" w:name="_Toc1555333501"/>
      <w:bookmarkStart w:id="131" w:name="_Toc590244490"/>
      <w:bookmarkStart w:id="132" w:name="_Toc1582477124"/>
      <w:bookmarkStart w:id="133" w:name="_Toc30675"/>
      <w:bookmarkStart w:id="134" w:name="_Toc2060006190"/>
      <w:bookmarkStart w:id="135" w:name="_Toc1492528376"/>
      <w:bookmarkStart w:id="136" w:name="_Toc105300432"/>
      <w:bookmarkStart w:id="137" w:name="_Toc30711"/>
      <w:bookmarkStart w:id="138" w:name="_Toc1747470097"/>
      <w:bookmarkStart w:id="139" w:name="_Toc267805128"/>
      <w:bookmarkStart w:id="140" w:name="_Toc1459215306"/>
      <w:bookmarkStart w:id="141" w:name="_Toc884770474"/>
      <w:bookmarkStart w:id="142" w:name="_Toc1050973348"/>
      <w:bookmarkStart w:id="143" w:name="_Toc211592714"/>
      <w:bookmarkStart w:id="144" w:name="_Toc595279149"/>
      <w:bookmarkStart w:id="145" w:name="_Toc214633334"/>
      <w:bookmarkStart w:id="146" w:name="_Toc612520787"/>
      <w:bookmarkStart w:id="147" w:name="_Toc867552320"/>
      <w:bookmarkStart w:id="148" w:name="_Toc1162468837"/>
      <w:bookmarkStart w:id="149" w:name="_Toc1316403588"/>
      <w:bookmarkStart w:id="150" w:name="_Toc2037597500"/>
      <w:bookmarkStart w:id="151" w:name="_Toc7727"/>
      <w:bookmarkStart w:id="152" w:name="_Toc289518540"/>
      <w:bookmarkStart w:id="153" w:name="_Toc565802628"/>
      <w:bookmarkStart w:id="154" w:name="_Toc1780963837"/>
    </w:p>
    <w:p>
      <w:pPr>
        <w:pStyle w:val="5"/>
        <w:keepNext w:val="0"/>
        <w:keepLines w:val="0"/>
        <w:spacing w:line="560" w:lineRule="exact"/>
        <w:jc w:val="center"/>
        <w:rPr>
          <w:rFonts w:hint="default" w:ascii="Times New Roman" w:hAnsi="Times New Roman" w:eastAsia="楷体_GB2312" w:cs="Times New Roman"/>
          <w:b w:val="0"/>
          <w:color w:val="auto"/>
        </w:rPr>
      </w:pPr>
      <w:bookmarkStart w:id="155" w:name="_Toc2085628162"/>
      <w:bookmarkStart w:id="156" w:name="_Toc1863990079"/>
      <w:r>
        <w:rPr>
          <w:rFonts w:hint="default" w:ascii="Times New Roman" w:hAnsi="Times New Roman" w:eastAsia="楷体_GB2312" w:cs="Times New Roman"/>
          <w:b w:val="0"/>
          <w:color w:val="auto"/>
        </w:rPr>
        <w:t>第一节  指导思想</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spacing w:line="560"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坚持以习近平新时代中国特色社会主义思想为指导，全面贯彻党的二十大和二十届历次全会精神，认真践行习近平生态文明思想，深入学习习近平总书记关于自然资源工作重要论述、关于海南工作的系列重要讲话和指示批示精神，认真落实省委、市委部署要求，锚定“三区一中心”战略定位和“一本三基四梁八柱”战略框架，围绕打造“一标杆、五个区”发展目标定位，完整准确全面贯彻新发展理念，服务海南自由贸易港建设大局。以推动高质量发展与转型为主线，统筹发展和安全，构建“山海联动、陆海统筹、三城并举、区域协同”国土空间开发保护总格局，加快推进“三亚经济圈”一体化建设发展，着力打造21世纪海上丝绸之路战略支点、国际旅游胜地、海南自贸港科创高地，全力建设世界知名宜居宜游宜业现代化滨海城市。</w:t>
      </w:r>
    </w:p>
    <w:p>
      <w:pPr>
        <w:pStyle w:val="5"/>
        <w:keepNext w:val="0"/>
        <w:keepLines w:val="0"/>
        <w:spacing w:line="560" w:lineRule="exact"/>
        <w:jc w:val="center"/>
        <w:rPr>
          <w:rFonts w:hint="default" w:ascii="Times New Roman" w:hAnsi="Times New Roman" w:eastAsia="楷体_GB2312" w:cs="Times New Roman"/>
          <w:b w:val="0"/>
          <w:color w:val="auto"/>
        </w:rPr>
      </w:pPr>
      <w:bookmarkStart w:id="157" w:name="_Toc211592715"/>
      <w:bookmarkStart w:id="158" w:name="_Toc1222723194"/>
      <w:bookmarkStart w:id="159" w:name="_Toc394184655"/>
      <w:bookmarkStart w:id="160" w:name="_Toc221017014"/>
      <w:bookmarkStart w:id="161" w:name="_Toc1301135437"/>
      <w:bookmarkStart w:id="162" w:name="_Toc1926098591"/>
      <w:bookmarkStart w:id="163" w:name="_Toc699854059"/>
      <w:bookmarkStart w:id="164" w:name="_Toc1417227989"/>
      <w:bookmarkStart w:id="165" w:name="_Toc1886884093"/>
      <w:bookmarkStart w:id="166" w:name="_Toc765953566"/>
      <w:bookmarkStart w:id="167" w:name="_Toc395075889"/>
      <w:bookmarkStart w:id="168" w:name="_Toc1070086975"/>
      <w:bookmarkStart w:id="169" w:name="_Toc309406988"/>
      <w:bookmarkStart w:id="170" w:name="_Toc787838423"/>
      <w:bookmarkStart w:id="171" w:name="_Toc961036358"/>
      <w:bookmarkStart w:id="172" w:name="_Toc1217422496"/>
      <w:bookmarkStart w:id="173" w:name="_Toc399203787"/>
      <w:bookmarkStart w:id="174" w:name="_Toc3396"/>
      <w:bookmarkStart w:id="175" w:name="_Toc1581781505"/>
      <w:bookmarkStart w:id="176" w:name="_Toc228397114"/>
      <w:bookmarkStart w:id="177" w:name="_Toc697341677"/>
      <w:bookmarkStart w:id="178" w:name="_Toc2117038731"/>
      <w:bookmarkStart w:id="179" w:name="_Toc371390333"/>
      <w:bookmarkStart w:id="180" w:name="_Toc12186"/>
      <w:bookmarkStart w:id="181" w:name="_Toc1982301321"/>
      <w:bookmarkStart w:id="182" w:name="_Toc788781993"/>
      <w:bookmarkStart w:id="183" w:name="_Toc1925287938"/>
      <w:bookmarkStart w:id="184" w:name="_Toc1239397916"/>
      <w:bookmarkStart w:id="185" w:name="_Toc1329989936"/>
      <w:bookmarkStart w:id="186" w:name="_Toc1557099856"/>
      <w:bookmarkStart w:id="187" w:name="_Toc1229906317"/>
      <w:bookmarkStart w:id="188" w:name="_Toc1401524657"/>
      <w:bookmarkStart w:id="189" w:name="_Toc1454038254"/>
      <w:bookmarkStart w:id="190" w:name="_Toc488778426"/>
      <w:bookmarkStart w:id="191" w:name="_Toc1332237700"/>
      <w:bookmarkStart w:id="192" w:name="_Toc1065451984"/>
      <w:bookmarkStart w:id="193" w:name="_Toc106527990"/>
      <w:bookmarkStart w:id="194" w:name="_Toc1082675480"/>
      <w:bookmarkStart w:id="195" w:name="_Toc1525641278"/>
      <w:bookmarkStart w:id="196" w:name="_Toc214633335"/>
      <w:bookmarkStart w:id="197" w:name="_Toc1974442676"/>
      <w:bookmarkStart w:id="198" w:name="_Toc136967385"/>
      <w:bookmarkStart w:id="199" w:name="_Toc2050511970"/>
      <w:bookmarkStart w:id="200" w:name="_Toc364399667"/>
      <w:bookmarkStart w:id="201" w:name="_Toc655176299"/>
      <w:bookmarkStart w:id="202" w:name="_Toc2059733833"/>
      <w:bookmarkStart w:id="203" w:name="_Toc971279077"/>
      <w:bookmarkStart w:id="204" w:name="_Toc871359794"/>
      <w:bookmarkStart w:id="205" w:name="_Toc345368338"/>
      <w:bookmarkStart w:id="206" w:name="_Toc1346436222"/>
      <w:bookmarkStart w:id="207" w:name="_Toc2008443622"/>
      <w:bookmarkStart w:id="208" w:name="_Toc1352992212"/>
      <w:bookmarkStart w:id="209" w:name="_Toc151332681"/>
      <w:bookmarkStart w:id="210" w:name="_Toc19867"/>
      <w:bookmarkStart w:id="211" w:name="_Toc861363892"/>
      <w:bookmarkStart w:id="212" w:name="_Toc213169683"/>
      <w:bookmarkStart w:id="213" w:name="_Toc1417696653"/>
      <w:bookmarkStart w:id="214" w:name="_Toc617292166"/>
      <w:bookmarkStart w:id="215" w:name="_Toc468510545"/>
      <w:bookmarkStart w:id="216" w:name="_Toc1228073941"/>
      <w:bookmarkStart w:id="217" w:name="_Toc1897514171"/>
      <w:bookmarkStart w:id="218" w:name="_Toc2074246569"/>
      <w:bookmarkStart w:id="219" w:name="_Toc919650568"/>
      <w:bookmarkStart w:id="220" w:name="_Toc1212839265"/>
      <w:bookmarkStart w:id="221" w:name="_Toc1373192186"/>
      <w:bookmarkStart w:id="222" w:name="_Toc488387815"/>
      <w:bookmarkStart w:id="223" w:name="_Toc1460024371"/>
      <w:bookmarkStart w:id="224" w:name="_Toc1924794441"/>
      <w:bookmarkStart w:id="225" w:name="_Toc902134077"/>
      <w:r>
        <w:rPr>
          <w:rFonts w:hint="default" w:ascii="Times New Roman" w:hAnsi="Times New Roman" w:eastAsia="楷体_GB2312" w:cs="Times New Roman"/>
          <w:b w:val="0"/>
          <w:color w:val="auto"/>
        </w:rPr>
        <w:t>第二节  基本原则</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pPr>
        <w:spacing w:line="560" w:lineRule="exact"/>
        <w:ind w:firstLine="642" w:firstLineChars="200"/>
        <w:rPr>
          <w:rFonts w:hint="default" w:ascii="Times New Roman" w:hAnsi="Times New Roman" w:eastAsia="仿宋_GB2312" w:cs="Times New Roman"/>
          <w:b/>
          <w:bCs/>
          <w:color w:val="auto"/>
          <w:kern w:val="0"/>
          <w:sz w:val="32"/>
          <w:szCs w:val="32"/>
          <w:lang w:bidi="ar"/>
        </w:rPr>
      </w:pPr>
      <w:r>
        <w:rPr>
          <w:rFonts w:hint="default" w:ascii="Times New Roman" w:hAnsi="Times New Roman" w:eastAsia="仿宋_GB2312" w:cs="Times New Roman"/>
          <w:b/>
          <w:bCs/>
          <w:color w:val="auto"/>
          <w:kern w:val="0"/>
          <w:sz w:val="32"/>
          <w:szCs w:val="32"/>
          <w:lang w:bidi="ar"/>
        </w:rPr>
        <w:t>坚持陆海统筹、区域协同</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突出陆海统筹、山海联动、河海兼顾、资源融通，坚持区域协调发展，强化“三亚经济圈”协同联动，构建从山顶到海洋的国土空间开发保护新格局。尊重自然规律、经济规律和社会发展规律，统筹保护与发展，实现生态效益、经济效益、社会效益相统一。</w:t>
      </w:r>
    </w:p>
    <w:p>
      <w:pPr>
        <w:pStyle w:val="2"/>
        <w:widowControl w:val="0"/>
        <w:spacing w:line="560" w:lineRule="exact"/>
        <w:ind w:firstLine="643"/>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坚持严守底线、保障安全</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强化底线思维，严守耕地保护底线和生态保护红线，统筹推进山水林田湖草沙海一体化整体保护、系统修复、综合治理，维护国土、海洋、生态环境、防震减灾等领域安全，落实“四水四定”要求，严格用水总量和强度双控，有效防范化解自然资源领域重大风险，保障经济社会稳定发展。</w:t>
      </w:r>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坚持高效利用、精准配置</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统筹好做优增量和盘活存量，全面提高资源开发利用效率。强化资源利用全生命周期管理，建立健全促进自然资源高效利用的激励约束机制，增强对高质量发展的要素保障能力。</w:t>
      </w:r>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坚持以人为本、改革创新</w:t>
      </w:r>
      <w:r>
        <w:rPr>
          <w:rFonts w:hint="eastAsia" w:eastAsia="仿宋_GB2312" w:cs="Times New Roman"/>
          <w:b/>
          <w:bCs/>
          <w:color w:val="auto"/>
          <w:kern w:val="0"/>
          <w:sz w:val="32"/>
          <w:szCs w:val="32"/>
          <w:lang w:eastAsia="zh-CN" w:bidi="ar"/>
        </w:rPr>
        <w:t>。</w:t>
      </w:r>
      <w:r>
        <w:rPr>
          <w:rFonts w:hint="default" w:ascii="Times New Roman" w:hAnsi="Times New Roman" w:eastAsia="仿宋_GB2312" w:cs="Times New Roman"/>
          <w:color w:val="auto"/>
          <w:kern w:val="0"/>
          <w:sz w:val="32"/>
          <w:szCs w:val="32"/>
          <w:lang w:bidi="ar"/>
        </w:rPr>
        <w:t>把制度集成创新摆在突出位置，围绕重点难点问题特别是发展所需、民生所盼，深化自然资源领域重点改革，开展全域全类型全流程自然资源治理改革探索，化解高质量发展和高水平保护的堵点难点，破解体制机制障碍，提升治理体系和治理能力现代化水平。</w:t>
      </w:r>
    </w:p>
    <w:p>
      <w:pPr>
        <w:pStyle w:val="5"/>
        <w:keepNext w:val="0"/>
        <w:keepLines w:val="0"/>
        <w:spacing w:line="560" w:lineRule="exact"/>
        <w:jc w:val="center"/>
        <w:rPr>
          <w:rFonts w:hint="default" w:ascii="Times New Roman" w:hAnsi="Times New Roman" w:eastAsia="楷体_GB2312" w:cs="Times New Roman"/>
          <w:b w:val="0"/>
          <w:color w:val="auto"/>
        </w:rPr>
      </w:pPr>
      <w:bookmarkStart w:id="226" w:name="_Toc1018039069"/>
      <w:bookmarkStart w:id="227" w:name="_Toc24655262"/>
      <w:bookmarkStart w:id="228" w:name="_Toc823076603"/>
      <w:bookmarkStart w:id="229" w:name="_Toc214633336"/>
      <w:bookmarkStart w:id="230" w:name="_Toc1421320195"/>
      <w:bookmarkStart w:id="231" w:name="_Toc24861"/>
      <w:bookmarkStart w:id="232" w:name="_Toc1061432513"/>
      <w:bookmarkStart w:id="233" w:name="_Toc56472049"/>
      <w:bookmarkStart w:id="234" w:name="_Toc1236034480"/>
      <w:bookmarkStart w:id="235" w:name="_Toc988224974"/>
      <w:bookmarkStart w:id="236" w:name="_Toc602415451"/>
      <w:bookmarkStart w:id="237" w:name="_Toc1325010551"/>
      <w:bookmarkStart w:id="238" w:name="_Toc1133276315"/>
      <w:bookmarkStart w:id="239" w:name="_Toc624452355"/>
      <w:bookmarkStart w:id="240" w:name="_Toc852828515"/>
      <w:bookmarkStart w:id="241" w:name="_Toc211592716"/>
      <w:bookmarkStart w:id="242" w:name="_Toc31627055"/>
      <w:bookmarkStart w:id="243" w:name="_Toc875773265"/>
      <w:bookmarkStart w:id="244" w:name="_Toc783006171"/>
      <w:bookmarkStart w:id="245" w:name="_Toc1399888391"/>
      <w:bookmarkStart w:id="246" w:name="_Toc2063281740"/>
      <w:bookmarkStart w:id="247" w:name="_Toc1902472122"/>
      <w:bookmarkStart w:id="248" w:name="_Toc1998223049"/>
      <w:bookmarkStart w:id="249" w:name="_Toc407451984"/>
      <w:bookmarkStart w:id="250" w:name="_Toc1442832999"/>
      <w:bookmarkStart w:id="251" w:name="_Toc1131002793"/>
      <w:bookmarkStart w:id="252" w:name="_Toc1472219939"/>
      <w:bookmarkStart w:id="253" w:name="_Toc570734107"/>
      <w:bookmarkStart w:id="254" w:name="_Toc28644"/>
      <w:bookmarkStart w:id="255" w:name="_Toc265559350"/>
      <w:bookmarkStart w:id="256" w:name="_Toc1122190063"/>
      <w:bookmarkStart w:id="257" w:name="_Toc1863364290"/>
      <w:bookmarkStart w:id="258" w:name="_Toc1857289147"/>
      <w:bookmarkStart w:id="259" w:name="_Toc199657090"/>
      <w:bookmarkStart w:id="260" w:name="_Toc251946371"/>
      <w:bookmarkStart w:id="261" w:name="_Toc1219705974"/>
      <w:bookmarkStart w:id="262" w:name="_Toc1173920414"/>
      <w:bookmarkStart w:id="263" w:name="_Toc1897352326"/>
      <w:bookmarkStart w:id="264" w:name="_Toc1968060431"/>
      <w:bookmarkStart w:id="265" w:name="_Toc1248081932"/>
      <w:bookmarkStart w:id="266" w:name="_Toc852808812"/>
      <w:bookmarkStart w:id="267" w:name="_Toc2050842731"/>
      <w:bookmarkStart w:id="268" w:name="_Toc556760186"/>
      <w:bookmarkStart w:id="269" w:name="_Toc234898547"/>
      <w:bookmarkStart w:id="270" w:name="_Toc2105"/>
      <w:bookmarkStart w:id="271" w:name="_Toc1258015906"/>
      <w:bookmarkStart w:id="272" w:name="_Toc1557994850"/>
      <w:bookmarkStart w:id="273" w:name="_Toc230086485"/>
      <w:bookmarkStart w:id="274" w:name="_Toc1983240993"/>
      <w:bookmarkStart w:id="275" w:name="_Toc213169684"/>
      <w:bookmarkStart w:id="276" w:name="_Toc1211359290"/>
      <w:bookmarkStart w:id="277" w:name="_Toc1923300339"/>
      <w:bookmarkStart w:id="278" w:name="_Toc273241293"/>
      <w:bookmarkStart w:id="279" w:name="_Toc221017015"/>
      <w:bookmarkStart w:id="280" w:name="_Toc599165731"/>
      <w:bookmarkStart w:id="281" w:name="_Toc1065325904"/>
      <w:bookmarkStart w:id="282" w:name="_Toc1272579079"/>
      <w:bookmarkStart w:id="283" w:name="_Toc873109085"/>
      <w:bookmarkStart w:id="284" w:name="_Toc383618347"/>
      <w:bookmarkStart w:id="285" w:name="_Toc284204684"/>
      <w:bookmarkStart w:id="286" w:name="_Toc1890949601"/>
      <w:bookmarkStart w:id="287" w:name="_Toc1893753641"/>
      <w:bookmarkStart w:id="288" w:name="_Toc564733617"/>
      <w:bookmarkStart w:id="289" w:name="_Toc1291686846"/>
      <w:bookmarkStart w:id="290" w:name="_Toc1133554745"/>
      <w:bookmarkStart w:id="291" w:name="_Toc523202296"/>
      <w:bookmarkStart w:id="292" w:name="_Toc1926484128"/>
      <w:bookmarkStart w:id="293" w:name="_Toc312376840"/>
      <w:bookmarkStart w:id="294" w:name="_Toc1375986120"/>
      <w:r>
        <w:rPr>
          <w:rFonts w:hint="default" w:ascii="Times New Roman" w:hAnsi="Times New Roman" w:eastAsia="楷体_GB2312" w:cs="Times New Roman"/>
          <w:b w:val="0"/>
          <w:color w:val="auto"/>
        </w:rPr>
        <w:t>第三节  主要目标</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pPr>
        <w:spacing w:line="560"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围绕打造21世纪海上丝绸之路战略支点、国际旅游胜地、海南自贸港科创高地主要目标和高标准建设自由贸易港要求，依据《三亚市国民经济和社会发展第十五个五年规划纲要》《海南省“十五五”自然资源保护和利用规划</w:t>
      </w:r>
      <w:r>
        <w:rPr>
          <w:rFonts w:hint="default" w:ascii="Times New Roman" w:hAnsi="Times New Roman" w:eastAsia="仿宋_GB2312" w:cs="Times New Roman"/>
          <w:color w:val="auto"/>
          <w:kern w:val="0"/>
          <w:sz w:val="32"/>
          <w:szCs w:val="32"/>
          <w:lang w:val="en" w:bidi="ar"/>
        </w:rPr>
        <w:t>（送审稿）</w:t>
      </w:r>
      <w:r>
        <w:rPr>
          <w:rFonts w:hint="default" w:ascii="Times New Roman" w:hAnsi="Times New Roman" w:eastAsia="仿宋_GB2312" w:cs="Times New Roman"/>
          <w:color w:val="auto"/>
          <w:kern w:val="0"/>
          <w:sz w:val="32"/>
          <w:szCs w:val="32"/>
          <w:lang w:bidi="ar"/>
        </w:rPr>
        <w:t>》《三亚市国土空间总体规划（2021-2035年）》等</w:t>
      </w:r>
      <w:r>
        <w:rPr>
          <w:rFonts w:hint="default" w:ascii="Times New Roman" w:hAnsi="Times New Roman" w:eastAsia="仿宋_GB2312" w:cs="Times New Roman"/>
          <w:color w:val="auto"/>
          <w:kern w:val="0"/>
          <w:sz w:val="32"/>
          <w:szCs w:val="32"/>
          <w:lang w:val="en" w:bidi="ar"/>
        </w:rPr>
        <w:t>上位规划</w:t>
      </w:r>
      <w:r>
        <w:rPr>
          <w:rFonts w:hint="default" w:ascii="Times New Roman" w:hAnsi="Times New Roman" w:eastAsia="仿宋_GB2312" w:cs="Times New Roman"/>
          <w:color w:val="auto"/>
          <w:kern w:val="0"/>
          <w:sz w:val="32"/>
          <w:szCs w:val="32"/>
          <w:lang w:bidi="ar"/>
        </w:rPr>
        <w:t>，确定“十五五”时期全市自然资源保护和利用工作的主要目标：</w:t>
      </w:r>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优化国土空间开发保护格局</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落实海南自贸港“三区一中心”战略定位，“山海联动、陆海统筹、三城并举、区域协同”的开发保护格局基本成型，一核、两轴、三带、多组团空间格局持续完善。“三亚经济圈”协同联动机制逐步健全，区域协调发展格局的支撑作用明显增强。持续优化“三极一带一区”在三亚的空间布局，推动中心城区、</w:t>
      </w:r>
      <w:r>
        <w:rPr>
          <w:rFonts w:hint="default" w:ascii="Times New Roman" w:hAnsi="Times New Roman" w:eastAsia="仿宋_GB2312" w:cs="Times New Roman"/>
          <w:color w:val="auto"/>
          <w:kern w:val="0"/>
          <w:sz w:val="32"/>
          <w:szCs w:val="32"/>
          <w:lang w:val="en" w:eastAsia="zh-CN" w:bidi="ar"/>
        </w:rPr>
        <w:t>崖州湾科技城高新区</w:t>
      </w:r>
      <w:r>
        <w:rPr>
          <w:rFonts w:hint="default" w:ascii="Times New Roman" w:hAnsi="Times New Roman" w:eastAsia="仿宋_GB2312" w:cs="Times New Roman"/>
          <w:color w:val="auto"/>
          <w:kern w:val="0"/>
          <w:sz w:val="32"/>
          <w:szCs w:val="32"/>
          <w:lang w:bidi="ar"/>
        </w:rPr>
        <w:t>、</w:t>
      </w:r>
      <w:r>
        <w:rPr>
          <w:rFonts w:hint="default" w:ascii="Times New Roman" w:hAnsi="Times New Roman" w:eastAsia="仿宋_GB2312" w:cs="Times New Roman"/>
          <w:color w:val="auto"/>
          <w:kern w:val="0"/>
          <w:sz w:val="32"/>
          <w:szCs w:val="32"/>
          <w:lang w:eastAsia="zh-CN" w:bidi="ar"/>
        </w:rPr>
        <w:t>三亚海棠湾国家海岸休闲园区</w:t>
      </w:r>
      <w:r>
        <w:rPr>
          <w:rFonts w:hint="default" w:ascii="Times New Roman" w:hAnsi="Times New Roman" w:eastAsia="仿宋_GB2312" w:cs="Times New Roman"/>
          <w:color w:val="auto"/>
          <w:kern w:val="0"/>
          <w:sz w:val="32"/>
          <w:szCs w:val="32"/>
          <w:lang w:bidi="ar"/>
        </w:rPr>
        <w:t>等重点区域协同发展，助力滨海城市带提质升级，支撑新型城镇化和乡村全面振兴，推进城乡、垦地融合发展。到2030年，全市城镇开发边界规模控制在省正式下达指标任务以内，生态保护红线面积不低于227.70万亩，其中，陆域不少于116.61万亩、海域不少于111.09万亩，构建起全域联动、山海相依、陆海共生的国土空间开发保护新格局。</w:t>
      </w:r>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坚决守住资源安全底线</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严守耕地和永久基本农田保护红线，落实耕地占补平衡，实现耕地数量、质量、生态“三位一体”保护。重点海湾、河流、森林、湿地生态系统质量持续改善，矿山地质环境全面治理，流域水土保持能力与水环境综合治理水平提高，海岸线与近岸海域生态系统质量不断稳固，生态产品价值实现机制初步建立。到2030年，</w:t>
      </w:r>
      <w:bookmarkStart w:id="295" w:name="_Hlk230789267"/>
      <w:r>
        <w:rPr>
          <w:rFonts w:hint="default" w:ascii="Times New Roman" w:hAnsi="Times New Roman" w:eastAsia="仿宋_GB2312" w:cs="Times New Roman"/>
          <w:color w:val="auto"/>
          <w:kern w:val="0"/>
          <w:sz w:val="32"/>
          <w:szCs w:val="32"/>
          <w:lang w:bidi="ar"/>
        </w:rPr>
        <w:t>守住全市</w:t>
      </w:r>
      <w:bookmarkEnd w:id="295"/>
      <w:r>
        <w:rPr>
          <w:rFonts w:hint="default" w:ascii="Times New Roman" w:hAnsi="Times New Roman" w:eastAsia="仿宋_GB2312" w:cs="Times New Roman"/>
          <w:color w:val="auto"/>
          <w:kern w:val="0"/>
          <w:sz w:val="32"/>
          <w:szCs w:val="32"/>
          <w:lang w:bidi="ar"/>
        </w:rPr>
        <w:t>22.98万亩耕地和18.90万亩永久基本农田红线。森林覆盖率在70.1%以上，全市自然岸线保有率不低于65%。</w:t>
      </w:r>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全面提升自然资源要素精准配置能力和水平</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对新型城镇化、乡村全面振兴、区域发展战略、海洋强省等重大战略服务保障作用进一步增强，“项目跟着规划走、要素跟着项目走”机制更加完善，资源要素配置水平稳步提升，有力保障国家及省级重大项目用地空间需求。到2030年，供应各类项目用地</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bidi="ar"/>
        </w:rPr>
        <w:t>新增建设用地总量</w:t>
      </w:r>
      <w:r>
        <w:rPr>
          <w:rFonts w:hint="default" w:ascii="Times New Roman" w:hAnsi="Times New Roman" w:eastAsia="仿宋_GB2312" w:cs="Times New Roman"/>
          <w:color w:val="auto"/>
          <w:kern w:val="0"/>
          <w:sz w:val="32"/>
          <w:szCs w:val="32"/>
          <w:lang w:val="en-US" w:eastAsia="zh-CN" w:bidi="ar"/>
        </w:rPr>
        <w:t>以及</w:t>
      </w:r>
      <w:r>
        <w:rPr>
          <w:rFonts w:hint="default" w:ascii="Times New Roman" w:hAnsi="Times New Roman" w:eastAsia="仿宋_GB2312" w:cs="Times New Roman"/>
          <w:color w:val="auto"/>
          <w:kern w:val="0"/>
          <w:sz w:val="32"/>
          <w:szCs w:val="32"/>
          <w:lang w:bidi="ar"/>
        </w:rPr>
        <w:t>单位</w:t>
      </w:r>
      <w:r>
        <w:rPr>
          <w:rFonts w:hint="default" w:ascii="Times New Roman" w:hAnsi="Times New Roman" w:eastAsia="仿宋_GB2312" w:cs="Times New Roman"/>
          <w:color w:val="auto"/>
          <w:kern w:val="0"/>
          <w:sz w:val="32"/>
          <w:szCs w:val="32"/>
          <w:lang w:val="en-US" w:eastAsia="zh-CN" w:bidi="ar"/>
        </w:rPr>
        <w:t>GDP</w:t>
      </w:r>
      <w:r>
        <w:rPr>
          <w:rFonts w:hint="default" w:ascii="Times New Roman" w:hAnsi="Times New Roman" w:eastAsia="仿宋_GB2312" w:cs="Times New Roman"/>
          <w:color w:val="auto"/>
          <w:kern w:val="0"/>
          <w:sz w:val="32"/>
          <w:szCs w:val="32"/>
          <w:lang w:bidi="ar"/>
        </w:rPr>
        <w:t>建设用地使用面积下降率完成</w:t>
      </w:r>
      <w:r>
        <w:rPr>
          <w:rFonts w:hint="default" w:ascii="Times New Roman" w:hAnsi="Times New Roman" w:eastAsia="仿宋_GB2312" w:cs="Times New Roman"/>
          <w:color w:val="auto"/>
          <w:kern w:val="0"/>
          <w:sz w:val="32"/>
          <w:szCs w:val="32"/>
          <w:lang w:val="en-US" w:eastAsia="zh-CN" w:bidi="ar"/>
        </w:rPr>
        <w:t>省下达指标任务</w:t>
      </w:r>
      <w:r>
        <w:rPr>
          <w:rFonts w:hint="default" w:ascii="Times New Roman" w:hAnsi="Times New Roman" w:eastAsia="仿宋_GB2312" w:cs="Times New Roman"/>
          <w:color w:val="auto"/>
          <w:kern w:val="0"/>
          <w:sz w:val="32"/>
          <w:szCs w:val="32"/>
          <w:lang w:bidi="ar"/>
        </w:rPr>
        <w:t>。加强海洋资源要素保障，围绕“再造一个‘海上三亚’”目标，贯彻落实海洋强省战略，统筹安排全市管辖海域的使用与保护，推进陆海统筹一体化发展，</w:t>
      </w:r>
      <w:r>
        <w:rPr>
          <w:rFonts w:hint="default" w:ascii="Times New Roman" w:hAnsi="Times New Roman" w:eastAsia="仿宋_GB2312" w:cs="Times New Roman"/>
          <w:i w:val="0"/>
          <w:iCs w:val="0"/>
          <w:caps w:val="0"/>
          <w:color w:val="auto"/>
          <w:spacing w:val="0"/>
          <w:kern w:val="0"/>
          <w:sz w:val="32"/>
          <w:szCs w:val="32"/>
          <w:shd w:val="clear" w:fill="auto"/>
          <w:lang w:bidi="ar"/>
        </w:rPr>
        <w:t>重点布局深海装备、海洋药物和生物制品、海洋渔业、海洋交通运输业、现代海洋服务业、深海资源产业6大主导产业</w:t>
      </w:r>
      <w:r>
        <w:rPr>
          <w:rFonts w:hint="default" w:ascii="Times New Roman" w:hAnsi="Times New Roman" w:eastAsia="仿宋_GB2312" w:cs="Times New Roman"/>
          <w:color w:val="auto"/>
          <w:kern w:val="0"/>
          <w:sz w:val="32"/>
          <w:szCs w:val="32"/>
          <w:lang w:bidi="ar"/>
        </w:rPr>
        <w:t>。健全区域资源协同配置机制，推动三亚与周边市县资源要素有序流动、高效互补。</w:t>
      </w:r>
    </w:p>
    <w:p>
      <w:pPr>
        <w:spacing w:line="560" w:lineRule="exact"/>
        <w:ind w:firstLine="642" w:firstLineChars="200"/>
        <w:rPr>
          <w:rFonts w:hint="default" w:ascii="Times New Roman" w:hAnsi="Times New Roman" w:cs="Times New Roman"/>
          <w:color w:val="auto"/>
          <w:sz w:val="32"/>
          <w:szCs w:val="32"/>
        </w:rPr>
      </w:pPr>
      <w:r>
        <w:rPr>
          <w:rFonts w:hint="default" w:ascii="Times New Roman" w:hAnsi="Times New Roman" w:eastAsia="仿宋_GB2312" w:cs="Times New Roman"/>
          <w:b/>
          <w:bCs/>
          <w:color w:val="auto"/>
          <w:kern w:val="0"/>
          <w:sz w:val="32"/>
          <w:szCs w:val="32"/>
          <w:lang w:bidi="ar"/>
        </w:rPr>
        <w:t>全面提高自然资源智慧化治理能力</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强化大数据、卫星遥感、无人机、地面探测、人工智能等技术应用，推动自然资源管理的数字化、智能化升级与智慧化治理平台建设，提高监测监管智能化水平，赋能耕地保护、生态保护、海域海岛保护和利用等重点场景智慧应用，推动实现资源开发利用全生命周期管理。到2030年，数字化、智慧化水平全面提升，国土空间精细化治理效能和能力大幅提高。依托智慧化治理平台，深化自然资源资产产权制度改革，推进采矿权纳入不动产统一登记；深化推进“机器管+”系列系统场景应用，涵盖机器管规划、审批、农房报建、登记以及自然资源超市等平台，落地行权一张网，提升国土空间智慧治理水平。</w:t>
      </w:r>
      <w:r>
        <w:rPr>
          <w:rFonts w:hint="default" w:ascii="Times New Roman" w:hAnsi="Times New Roman" w:eastAsia="仿宋_GB2312" w:cs="Times New Roman"/>
          <w:i w:val="0"/>
          <w:iCs w:val="0"/>
          <w:caps w:val="0"/>
          <w:color w:val="auto"/>
          <w:spacing w:val="0"/>
          <w:kern w:val="0"/>
          <w:sz w:val="32"/>
          <w:szCs w:val="32"/>
          <w:lang w:bidi="ar"/>
        </w:rPr>
        <w:t>结合国土空间规划定期体检和五年一评估制度，依托“一张图”平台对规划编制、审批、实施、修改等全环节进行预警监管，实现动态管控。</w:t>
      </w:r>
      <w:r>
        <w:rPr>
          <w:rFonts w:hint="default" w:ascii="Times New Roman" w:hAnsi="Times New Roman" w:eastAsia="仿宋_GB2312" w:cs="Times New Roman"/>
          <w:color w:val="auto"/>
          <w:kern w:val="0"/>
          <w:sz w:val="32"/>
          <w:szCs w:val="32"/>
          <w:lang w:bidi="ar"/>
        </w:rPr>
        <w:t>积极融入全省国土空间智慧治理“一张网”，打通跨部门数据共享壁垒，服务自贸港自然资源治理现代化建设。</w:t>
      </w:r>
    </w:p>
    <w:p>
      <w:pPr>
        <w:spacing w:line="560" w:lineRule="exact"/>
        <w:ind w:firstLine="560" w:firstLineChars="200"/>
        <w:rPr>
          <w:rFonts w:hint="default" w:ascii="Times New Roman" w:hAnsi="Times New Roman" w:eastAsia="楷体_GB2312" w:cs="Times New Roman"/>
          <w:color w:val="auto"/>
          <w:kern w:val="0"/>
          <w:sz w:val="28"/>
          <w:szCs w:val="28"/>
          <w:lang w:bidi="ar"/>
        </w:rPr>
      </w:pPr>
      <w:r>
        <w:rPr>
          <w:rFonts w:hint="default" w:ascii="Times New Roman" w:hAnsi="Times New Roman" w:eastAsia="楷体_GB2312" w:cs="Times New Roman"/>
          <w:color w:val="auto"/>
          <w:kern w:val="0"/>
          <w:sz w:val="28"/>
          <w:szCs w:val="28"/>
          <w:lang w:bidi="ar"/>
        </w:rPr>
        <w:t>表1 三亚市自然资源保护和利用“十五五”规划主要指标数据</w:t>
      </w:r>
    </w:p>
    <w:tbl>
      <w:tblPr>
        <w:tblStyle w:val="30"/>
        <w:tblW w:w="4997" w:type="pct"/>
        <w:jc w:val="center"/>
        <w:tblLayout w:type="autofit"/>
        <w:tblCellMar>
          <w:top w:w="0" w:type="dxa"/>
          <w:left w:w="108" w:type="dxa"/>
          <w:bottom w:w="0" w:type="dxa"/>
          <w:right w:w="108" w:type="dxa"/>
        </w:tblCellMar>
      </w:tblPr>
      <w:tblGrid>
        <w:gridCol w:w="698"/>
        <w:gridCol w:w="2616"/>
        <w:gridCol w:w="1524"/>
        <w:gridCol w:w="1402"/>
        <w:gridCol w:w="1218"/>
        <w:gridCol w:w="1252"/>
      </w:tblGrid>
      <w:tr>
        <w:tblPrEx>
          <w:tblCellMar>
            <w:top w:w="0" w:type="dxa"/>
            <w:left w:w="108" w:type="dxa"/>
            <w:bottom w:w="0" w:type="dxa"/>
            <w:right w:w="108" w:type="dxa"/>
          </w:tblCellMar>
        </w:tblPrEx>
        <w:trPr>
          <w:trHeight w:val="517" w:hRule="atLeast"/>
          <w:tblHeader/>
          <w:jc w:val="center"/>
        </w:trPr>
        <w:tc>
          <w:tcPr>
            <w:tcW w:w="40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kern w:val="0"/>
                <w:sz w:val="24"/>
                <w:szCs w:val="24"/>
                <w:lang w:bidi="ar"/>
              </w:rPr>
              <w:t>序号</w:t>
            </w:r>
          </w:p>
        </w:tc>
        <w:tc>
          <w:tcPr>
            <w:tcW w:w="1502"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kern w:val="0"/>
                <w:sz w:val="24"/>
                <w:szCs w:val="24"/>
                <w:lang w:bidi="ar"/>
              </w:rPr>
              <w:t>规划指标</w:t>
            </w:r>
          </w:p>
        </w:tc>
        <w:tc>
          <w:tcPr>
            <w:tcW w:w="87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kern w:val="0"/>
                <w:sz w:val="24"/>
                <w:szCs w:val="24"/>
                <w:lang w:bidi="ar"/>
              </w:rPr>
              <w:t>2025年</w:t>
            </w:r>
          </w:p>
        </w:tc>
        <w:tc>
          <w:tcPr>
            <w:tcW w:w="80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kern w:val="0"/>
                <w:sz w:val="24"/>
                <w:szCs w:val="24"/>
                <w:lang w:bidi="ar"/>
              </w:rPr>
              <w:t>2030年</w:t>
            </w:r>
          </w:p>
        </w:tc>
        <w:tc>
          <w:tcPr>
            <w:tcW w:w="699"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kern w:val="0"/>
                <w:sz w:val="24"/>
                <w:szCs w:val="24"/>
                <w:lang w:bidi="ar"/>
              </w:rPr>
              <w:t>单位</w:t>
            </w:r>
          </w:p>
        </w:tc>
        <w:tc>
          <w:tcPr>
            <w:tcW w:w="716"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kern w:val="0"/>
                <w:sz w:val="24"/>
                <w:szCs w:val="24"/>
                <w:lang w:bidi="ar"/>
              </w:rPr>
              <w:t>指标属性</w:t>
            </w:r>
          </w:p>
        </w:tc>
      </w:tr>
      <w:tr>
        <w:tblPrEx>
          <w:tblCellMar>
            <w:top w:w="0" w:type="dxa"/>
            <w:left w:w="108" w:type="dxa"/>
            <w:bottom w:w="0" w:type="dxa"/>
            <w:right w:w="108" w:type="dxa"/>
          </w:tblCellMar>
        </w:tblPrEx>
        <w:trPr>
          <w:trHeight w:val="504" w:hRule="atLeast"/>
          <w:jc w:val="center"/>
        </w:trPr>
        <w:tc>
          <w:tcPr>
            <w:tcW w:w="40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1</w:t>
            </w:r>
          </w:p>
        </w:tc>
        <w:tc>
          <w:tcPr>
            <w:tcW w:w="1502"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left"/>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耕地保有量</w:t>
            </w:r>
          </w:p>
        </w:tc>
        <w:tc>
          <w:tcPr>
            <w:tcW w:w="87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24.41</w:t>
            </w:r>
          </w:p>
        </w:tc>
        <w:tc>
          <w:tcPr>
            <w:tcW w:w="80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≥22.98</w:t>
            </w:r>
          </w:p>
        </w:tc>
        <w:tc>
          <w:tcPr>
            <w:tcW w:w="699"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万亩</w:t>
            </w:r>
          </w:p>
        </w:tc>
        <w:tc>
          <w:tcPr>
            <w:tcW w:w="716"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约束性</w:t>
            </w:r>
          </w:p>
        </w:tc>
      </w:tr>
      <w:tr>
        <w:tblPrEx>
          <w:tblCellMar>
            <w:top w:w="0" w:type="dxa"/>
            <w:left w:w="108" w:type="dxa"/>
            <w:bottom w:w="0" w:type="dxa"/>
            <w:right w:w="108" w:type="dxa"/>
          </w:tblCellMar>
        </w:tblPrEx>
        <w:trPr>
          <w:trHeight w:val="467" w:hRule="atLeast"/>
          <w:jc w:val="center"/>
        </w:trPr>
        <w:tc>
          <w:tcPr>
            <w:tcW w:w="40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2</w:t>
            </w:r>
          </w:p>
        </w:tc>
        <w:tc>
          <w:tcPr>
            <w:tcW w:w="1502"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left"/>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永久基本农田保护面积</w:t>
            </w:r>
          </w:p>
        </w:tc>
        <w:tc>
          <w:tcPr>
            <w:tcW w:w="87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19.09</w:t>
            </w:r>
          </w:p>
        </w:tc>
        <w:tc>
          <w:tcPr>
            <w:tcW w:w="80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≥18.90</w:t>
            </w:r>
          </w:p>
        </w:tc>
        <w:tc>
          <w:tcPr>
            <w:tcW w:w="699"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万亩</w:t>
            </w:r>
          </w:p>
        </w:tc>
        <w:tc>
          <w:tcPr>
            <w:tcW w:w="716"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约束性</w:t>
            </w:r>
          </w:p>
        </w:tc>
      </w:tr>
      <w:tr>
        <w:tblPrEx>
          <w:tblCellMar>
            <w:top w:w="0" w:type="dxa"/>
            <w:left w:w="108" w:type="dxa"/>
            <w:bottom w:w="0" w:type="dxa"/>
            <w:right w:w="108" w:type="dxa"/>
          </w:tblCellMar>
        </w:tblPrEx>
        <w:trPr>
          <w:trHeight w:val="315" w:hRule="atLeast"/>
          <w:jc w:val="center"/>
        </w:trPr>
        <w:tc>
          <w:tcPr>
            <w:tcW w:w="400"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3</w:t>
            </w:r>
          </w:p>
        </w:tc>
        <w:tc>
          <w:tcPr>
            <w:tcW w:w="1502"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left"/>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南繁科研育种保护区保有量</w:t>
            </w:r>
          </w:p>
        </w:tc>
        <w:tc>
          <w:tcPr>
            <w:tcW w:w="87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10</w:t>
            </w:r>
          </w:p>
        </w:tc>
        <w:tc>
          <w:tcPr>
            <w:tcW w:w="80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10</w:t>
            </w:r>
          </w:p>
        </w:tc>
        <w:tc>
          <w:tcPr>
            <w:tcW w:w="699"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万亩</w:t>
            </w:r>
          </w:p>
        </w:tc>
        <w:tc>
          <w:tcPr>
            <w:tcW w:w="716"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约束性</w:t>
            </w:r>
          </w:p>
        </w:tc>
      </w:tr>
      <w:tr>
        <w:tblPrEx>
          <w:tblCellMar>
            <w:top w:w="0" w:type="dxa"/>
            <w:left w:w="108" w:type="dxa"/>
            <w:bottom w:w="0" w:type="dxa"/>
            <w:right w:w="108" w:type="dxa"/>
          </w:tblCellMar>
        </w:tblPrEx>
        <w:trPr>
          <w:trHeight w:val="315" w:hRule="atLeast"/>
          <w:jc w:val="center"/>
        </w:trPr>
        <w:tc>
          <w:tcPr>
            <w:tcW w:w="400" w:type="pct"/>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rPr>
            </w:pPr>
          </w:p>
        </w:tc>
        <w:tc>
          <w:tcPr>
            <w:tcW w:w="1502"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left"/>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其中：南繁科研育种保护区核心区保有量</w:t>
            </w:r>
          </w:p>
        </w:tc>
        <w:tc>
          <w:tcPr>
            <w:tcW w:w="87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1.50</w:t>
            </w:r>
          </w:p>
        </w:tc>
        <w:tc>
          <w:tcPr>
            <w:tcW w:w="80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1.50</w:t>
            </w:r>
          </w:p>
        </w:tc>
        <w:tc>
          <w:tcPr>
            <w:tcW w:w="699"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万亩</w:t>
            </w:r>
          </w:p>
        </w:tc>
        <w:tc>
          <w:tcPr>
            <w:tcW w:w="716"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约束性</w:t>
            </w:r>
          </w:p>
        </w:tc>
      </w:tr>
      <w:tr>
        <w:tblPrEx>
          <w:tblCellMar>
            <w:top w:w="0" w:type="dxa"/>
            <w:left w:w="108" w:type="dxa"/>
            <w:bottom w:w="0" w:type="dxa"/>
            <w:right w:w="108" w:type="dxa"/>
          </w:tblCellMar>
        </w:tblPrEx>
        <w:trPr>
          <w:trHeight w:val="498" w:hRule="atLeast"/>
          <w:jc w:val="center"/>
        </w:trPr>
        <w:tc>
          <w:tcPr>
            <w:tcW w:w="40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4</w:t>
            </w:r>
          </w:p>
        </w:tc>
        <w:tc>
          <w:tcPr>
            <w:tcW w:w="1502"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left"/>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新增耕地规模</w:t>
            </w:r>
          </w:p>
        </w:tc>
        <w:tc>
          <w:tcPr>
            <w:tcW w:w="87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[7257]</w:t>
            </w:r>
          </w:p>
        </w:tc>
        <w:tc>
          <w:tcPr>
            <w:tcW w:w="80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[2500]</w:t>
            </w:r>
          </w:p>
        </w:tc>
        <w:tc>
          <w:tcPr>
            <w:tcW w:w="699"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亩</w:t>
            </w:r>
          </w:p>
        </w:tc>
        <w:tc>
          <w:tcPr>
            <w:tcW w:w="716"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预期性</w:t>
            </w:r>
          </w:p>
        </w:tc>
      </w:tr>
      <w:tr>
        <w:tblPrEx>
          <w:tblCellMar>
            <w:top w:w="0" w:type="dxa"/>
            <w:left w:w="108" w:type="dxa"/>
            <w:bottom w:w="0" w:type="dxa"/>
            <w:right w:w="108" w:type="dxa"/>
          </w:tblCellMar>
        </w:tblPrEx>
        <w:trPr>
          <w:trHeight w:val="531" w:hRule="atLeast"/>
          <w:jc w:val="center"/>
        </w:trPr>
        <w:tc>
          <w:tcPr>
            <w:tcW w:w="40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5</w:t>
            </w:r>
          </w:p>
        </w:tc>
        <w:tc>
          <w:tcPr>
            <w:tcW w:w="1502"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left"/>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生态保护红线控制面积</w:t>
            </w:r>
          </w:p>
        </w:tc>
        <w:tc>
          <w:tcPr>
            <w:tcW w:w="875"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≥1518</w:t>
            </w:r>
          </w:p>
        </w:tc>
        <w:tc>
          <w:tcPr>
            <w:tcW w:w="805"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≥1518</w:t>
            </w:r>
          </w:p>
        </w:tc>
        <w:tc>
          <w:tcPr>
            <w:tcW w:w="699"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平方千米</w:t>
            </w:r>
          </w:p>
        </w:tc>
        <w:tc>
          <w:tcPr>
            <w:tcW w:w="716"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约束性</w:t>
            </w:r>
          </w:p>
        </w:tc>
      </w:tr>
      <w:tr>
        <w:tblPrEx>
          <w:tblCellMar>
            <w:top w:w="0" w:type="dxa"/>
            <w:left w:w="108" w:type="dxa"/>
            <w:bottom w:w="0" w:type="dxa"/>
            <w:right w:w="108" w:type="dxa"/>
          </w:tblCellMar>
        </w:tblPrEx>
        <w:trPr>
          <w:trHeight w:val="531" w:hRule="atLeast"/>
          <w:jc w:val="center"/>
        </w:trPr>
        <w:tc>
          <w:tcPr>
            <w:tcW w:w="40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kern w:val="0"/>
                <w:sz w:val="24"/>
                <w:szCs w:val="24"/>
                <w:lang w:bidi="ar"/>
              </w:rPr>
            </w:pPr>
            <w:r>
              <w:rPr>
                <w:rFonts w:hint="default" w:ascii="Times New Roman" w:hAnsi="Times New Roman" w:eastAsia="仿宋_GB2312" w:cs="Times New Roman"/>
                <w:color w:val="auto"/>
                <w:kern w:val="0"/>
                <w:sz w:val="24"/>
                <w:szCs w:val="24"/>
                <w:lang w:bidi="ar"/>
              </w:rPr>
              <w:t>6</w:t>
            </w:r>
          </w:p>
        </w:tc>
        <w:tc>
          <w:tcPr>
            <w:tcW w:w="1502"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left"/>
              <w:textAlignment w:val="center"/>
              <w:rPr>
                <w:rFonts w:hint="default" w:ascii="Times New Roman" w:hAnsi="Times New Roman" w:eastAsia="仿宋_GB2312" w:cs="Times New Roman"/>
                <w:color w:val="auto"/>
                <w:kern w:val="0"/>
                <w:sz w:val="24"/>
                <w:szCs w:val="24"/>
                <w:lang w:bidi="ar"/>
              </w:rPr>
            </w:pPr>
            <w:r>
              <w:rPr>
                <w:rFonts w:hint="default" w:ascii="Times New Roman" w:hAnsi="Times New Roman" w:eastAsia="仿宋_GB2312" w:cs="Times New Roman"/>
                <w:color w:val="auto"/>
                <w:kern w:val="0"/>
                <w:sz w:val="24"/>
                <w:szCs w:val="24"/>
                <w:lang w:bidi="ar"/>
              </w:rPr>
              <w:t>城镇开发边界扩展倍数</w:t>
            </w:r>
          </w:p>
        </w:tc>
        <w:tc>
          <w:tcPr>
            <w:tcW w:w="87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kern w:val="0"/>
                <w:sz w:val="24"/>
                <w:szCs w:val="24"/>
                <w:lang w:val="en-US" w:eastAsia="zh-CN" w:bidi="ar"/>
              </w:rPr>
            </w:pPr>
            <w:r>
              <w:rPr>
                <w:rFonts w:hint="default" w:ascii="Times New Roman" w:hAnsi="Times New Roman" w:eastAsia="仿宋_GB2312" w:cs="Times New Roman"/>
                <w:color w:val="auto"/>
                <w:kern w:val="0"/>
                <w:sz w:val="24"/>
                <w:szCs w:val="24"/>
                <w:lang w:eastAsia="zh-CN" w:bidi="ar"/>
              </w:rPr>
              <w:t>控制在</w:t>
            </w:r>
            <w:r>
              <w:rPr>
                <w:rFonts w:hint="default" w:ascii="Times New Roman" w:hAnsi="Times New Roman" w:eastAsia="仿宋_GB2312" w:cs="Times New Roman"/>
                <w:color w:val="auto"/>
                <w:kern w:val="0"/>
                <w:sz w:val="24"/>
                <w:szCs w:val="24"/>
                <w:lang w:val="en" w:bidi="ar"/>
              </w:rPr>
              <w:t>2020年</w:t>
            </w:r>
            <w:r>
              <w:rPr>
                <w:rFonts w:hint="default" w:ascii="Times New Roman" w:hAnsi="Times New Roman" w:eastAsia="仿宋_GB2312" w:cs="Times New Roman"/>
                <w:color w:val="auto"/>
                <w:kern w:val="0"/>
                <w:sz w:val="24"/>
                <w:szCs w:val="24"/>
                <w:lang w:val="en" w:eastAsia="zh-CN" w:bidi="ar"/>
              </w:rPr>
              <w:t>现状城镇建设用地的</w:t>
            </w:r>
            <w:r>
              <w:rPr>
                <w:rFonts w:hint="default" w:ascii="Times New Roman" w:hAnsi="Times New Roman" w:eastAsia="仿宋_GB2312" w:cs="Times New Roman"/>
                <w:color w:val="auto"/>
                <w:kern w:val="0"/>
                <w:sz w:val="24"/>
                <w:szCs w:val="24"/>
                <w:lang w:val="en-US" w:eastAsia="zh-CN" w:bidi="ar"/>
              </w:rPr>
              <w:t>1.34倍以内</w:t>
            </w:r>
          </w:p>
        </w:tc>
        <w:tc>
          <w:tcPr>
            <w:tcW w:w="80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kern w:val="0"/>
                <w:sz w:val="24"/>
                <w:szCs w:val="24"/>
                <w:lang w:bidi="ar"/>
              </w:rPr>
            </w:pPr>
            <w:r>
              <w:rPr>
                <w:rFonts w:hint="default" w:ascii="Times New Roman" w:hAnsi="Times New Roman" w:eastAsia="仿宋_GB2312" w:cs="Times New Roman"/>
                <w:color w:val="auto"/>
                <w:sz w:val="24"/>
                <w:szCs w:val="24"/>
              </w:rPr>
              <w:t>以省正式下达指标任务为准</w:t>
            </w:r>
          </w:p>
        </w:tc>
        <w:tc>
          <w:tcPr>
            <w:tcW w:w="699"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kern w:val="0"/>
                <w:sz w:val="24"/>
                <w:szCs w:val="24"/>
                <w:lang w:bidi="ar"/>
              </w:rPr>
            </w:pPr>
            <w:r>
              <w:rPr>
                <w:rFonts w:hint="default" w:ascii="Times New Roman" w:hAnsi="Times New Roman" w:eastAsia="仿宋_GB2312" w:cs="Times New Roman"/>
                <w:color w:val="auto"/>
                <w:kern w:val="0"/>
                <w:sz w:val="24"/>
                <w:szCs w:val="24"/>
                <w:lang w:bidi="ar"/>
              </w:rPr>
              <w:t>/</w:t>
            </w:r>
          </w:p>
        </w:tc>
        <w:tc>
          <w:tcPr>
            <w:tcW w:w="716"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kern w:val="0"/>
                <w:sz w:val="24"/>
                <w:szCs w:val="24"/>
                <w:lang w:bidi="ar"/>
              </w:rPr>
            </w:pPr>
            <w:r>
              <w:rPr>
                <w:rFonts w:hint="default" w:ascii="Times New Roman" w:hAnsi="Times New Roman" w:eastAsia="仿宋_GB2312" w:cs="Times New Roman"/>
                <w:color w:val="auto"/>
                <w:kern w:val="0"/>
                <w:sz w:val="24"/>
                <w:szCs w:val="24"/>
                <w:lang w:bidi="ar"/>
              </w:rPr>
              <w:t>约束性</w:t>
            </w:r>
          </w:p>
        </w:tc>
      </w:tr>
      <w:tr>
        <w:tblPrEx>
          <w:tblCellMar>
            <w:top w:w="0" w:type="dxa"/>
            <w:left w:w="108" w:type="dxa"/>
            <w:bottom w:w="0" w:type="dxa"/>
            <w:right w:w="108" w:type="dxa"/>
          </w:tblCellMar>
        </w:tblPrEx>
        <w:trPr>
          <w:trHeight w:val="337" w:hRule="atLeast"/>
          <w:jc w:val="center"/>
        </w:trPr>
        <w:tc>
          <w:tcPr>
            <w:tcW w:w="40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7</w:t>
            </w:r>
          </w:p>
        </w:tc>
        <w:tc>
          <w:tcPr>
            <w:tcW w:w="1502"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left"/>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天然橡胶保有量面积</w:t>
            </w:r>
          </w:p>
        </w:tc>
        <w:tc>
          <w:tcPr>
            <w:tcW w:w="87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500376</w:t>
            </w:r>
          </w:p>
        </w:tc>
        <w:tc>
          <w:tcPr>
            <w:tcW w:w="80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以省正式下达指标任务为准</w:t>
            </w:r>
          </w:p>
        </w:tc>
        <w:tc>
          <w:tcPr>
            <w:tcW w:w="699"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公顷</w:t>
            </w:r>
          </w:p>
        </w:tc>
        <w:tc>
          <w:tcPr>
            <w:tcW w:w="716"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约束性</w:t>
            </w:r>
          </w:p>
        </w:tc>
      </w:tr>
      <w:tr>
        <w:tblPrEx>
          <w:tblCellMar>
            <w:top w:w="0" w:type="dxa"/>
            <w:left w:w="108" w:type="dxa"/>
            <w:bottom w:w="0" w:type="dxa"/>
            <w:right w:w="108" w:type="dxa"/>
          </w:tblCellMar>
        </w:tblPrEx>
        <w:trPr>
          <w:trHeight w:val="440" w:hRule="atLeast"/>
          <w:jc w:val="center"/>
        </w:trPr>
        <w:tc>
          <w:tcPr>
            <w:tcW w:w="40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8</w:t>
            </w:r>
          </w:p>
        </w:tc>
        <w:tc>
          <w:tcPr>
            <w:tcW w:w="1502"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left"/>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林地保有量</w:t>
            </w:r>
          </w:p>
        </w:tc>
        <w:tc>
          <w:tcPr>
            <w:tcW w:w="87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97401</w:t>
            </w:r>
          </w:p>
        </w:tc>
        <w:tc>
          <w:tcPr>
            <w:tcW w:w="80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根据省级耕地保护和国土绿化空间专项规划确定</w:t>
            </w:r>
          </w:p>
        </w:tc>
        <w:tc>
          <w:tcPr>
            <w:tcW w:w="699"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公顷</w:t>
            </w:r>
          </w:p>
        </w:tc>
        <w:tc>
          <w:tcPr>
            <w:tcW w:w="716"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约束性</w:t>
            </w:r>
          </w:p>
        </w:tc>
      </w:tr>
      <w:tr>
        <w:tblPrEx>
          <w:tblCellMar>
            <w:top w:w="0" w:type="dxa"/>
            <w:left w:w="108" w:type="dxa"/>
            <w:bottom w:w="0" w:type="dxa"/>
            <w:right w:w="108" w:type="dxa"/>
          </w:tblCellMar>
        </w:tblPrEx>
        <w:trPr>
          <w:trHeight w:val="483" w:hRule="atLeast"/>
          <w:jc w:val="center"/>
        </w:trPr>
        <w:tc>
          <w:tcPr>
            <w:tcW w:w="40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9</w:t>
            </w:r>
          </w:p>
        </w:tc>
        <w:tc>
          <w:tcPr>
            <w:tcW w:w="1502"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left"/>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森林覆盖率</w:t>
            </w:r>
          </w:p>
        </w:tc>
        <w:tc>
          <w:tcPr>
            <w:tcW w:w="87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kern w:val="0"/>
                <w:sz w:val="24"/>
                <w:szCs w:val="24"/>
                <w:lang w:val="en-US" w:eastAsia="zh-CN" w:bidi="ar"/>
              </w:rPr>
              <w:t>69</w:t>
            </w:r>
          </w:p>
        </w:tc>
        <w:tc>
          <w:tcPr>
            <w:tcW w:w="80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≥70.1</w:t>
            </w:r>
          </w:p>
        </w:tc>
        <w:tc>
          <w:tcPr>
            <w:tcW w:w="699"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w:t>
            </w:r>
          </w:p>
        </w:tc>
        <w:tc>
          <w:tcPr>
            <w:tcW w:w="716"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约束性</w:t>
            </w:r>
          </w:p>
        </w:tc>
      </w:tr>
      <w:tr>
        <w:tblPrEx>
          <w:tblCellMar>
            <w:top w:w="0" w:type="dxa"/>
            <w:left w:w="108" w:type="dxa"/>
            <w:bottom w:w="0" w:type="dxa"/>
            <w:right w:w="108" w:type="dxa"/>
          </w:tblCellMar>
        </w:tblPrEx>
        <w:trPr>
          <w:trHeight w:val="418" w:hRule="atLeast"/>
          <w:jc w:val="center"/>
        </w:trPr>
        <w:tc>
          <w:tcPr>
            <w:tcW w:w="40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10</w:t>
            </w:r>
          </w:p>
        </w:tc>
        <w:tc>
          <w:tcPr>
            <w:tcW w:w="1502"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left"/>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自然岸线保有率</w:t>
            </w:r>
          </w:p>
        </w:tc>
        <w:tc>
          <w:tcPr>
            <w:tcW w:w="87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kern w:val="0"/>
                <w:sz w:val="24"/>
                <w:szCs w:val="24"/>
                <w:lang w:val="en-US" w:eastAsia="zh-CN" w:bidi="ar"/>
              </w:rPr>
              <w:t>64.51</w:t>
            </w:r>
          </w:p>
        </w:tc>
        <w:tc>
          <w:tcPr>
            <w:tcW w:w="80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w:t>
            </w:r>
            <w:r>
              <w:rPr>
                <w:rFonts w:hint="default" w:ascii="Times New Roman" w:hAnsi="Times New Roman" w:eastAsia="仿宋_GB2312" w:cs="Times New Roman"/>
                <w:color w:val="auto"/>
                <w:kern w:val="0"/>
                <w:sz w:val="24"/>
                <w:szCs w:val="24"/>
                <w:lang w:val="en-US" w:eastAsia="zh-CN" w:bidi="ar"/>
              </w:rPr>
              <w:t>65</w:t>
            </w:r>
          </w:p>
        </w:tc>
        <w:tc>
          <w:tcPr>
            <w:tcW w:w="699"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w:t>
            </w:r>
          </w:p>
        </w:tc>
        <w:tc>
          <w:tcPr>
            <w:tcW w:w="716"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约束性</w:t>
            </w:r>
          </w:p>
        </w:tc>
      </w:tr>
      <w:tr>
        <w:tblPrEx>
          <w:tblCellMar>
            <w:top w:w="0" w:type="dxa"/>
            <w:left w:w="108" w:type="dxa"/>
            <w:bottom w:w="0" w:type="dxa"/>
            <w:right w:w="108" w:type="dxa"/>
          </w:tblCellMar>
        </w:tblPrEx>
        <w:trPr>
          <w:trHeight w:val="450" w:hRule="atLeast"/>
          <w:jc w:val="center"/>
        </w:trPr>
        <w:tc>
          <w:tcPr>
            <w:tcW w:w="40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11</w:t>
            </w:r>
          </w:p>
        </w:tc>
        <w:tc>
          <w:tcPr>
            <w:tcW w:w="1502"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left"/>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新增建设用地指标</w:t>
            </w:r>
          </w:p>
        </w:tc>
        <w:tc>
          <w:tcPr>
            <w:tcW w:w="87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highlight w:val="none"/>
                <w:lang w:bidi="ar"/>
              </w:rPr>
              <w:t>[1891.14]</w:t>
            </w:r>
          </w:p>
        </w:tc>
        <w:tc>
          <w:tcPr>
            <w:tcW w:w="805"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[1800]</w:t>
            </w:r>
          </w:p>
        </w:tc>
        <w:tc>
          <w:tcPr>
            <w:tcW w:w="699"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公顷</w:t>
            </w:r>
          </w:p>
        </w:tc>
        <w:tc>
          <w:tcPr>
            <w:tcW w:w="716" w:type="pc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预期性</w:t>
            </w:r>
          </w:p>
        </w:tc>
      </w:tr>
      <w:tr>
        <w:tblPrEx>
          <w:tblCellMar>
            <w:top w:w="0" w:type="dxa"/>
            <w:left w:w="108" w:type="dxa"/>
            <w:bottom w:w="0" w:type="dxa"/>
            <w:right w:w="108" w:type="dxa"/>
          </w:tblCellMar>
        </w:tblPrEx>
        <w:trPr>
          <w:trHeight w:val="466" w:hRule="atLeast"/>
          <w:jc w:val="center"/>
        </w:trPr>
        <w:tc>
          <w:tcPr>
            <w:tcW w:w="40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bidi="ar"/>
              </w:rPr>
              <w:t>12</w:t>
            </w:r>
          </w:p>
        </w:tc>
        <w:tc>
          <w:tcPr>
            <w:tcW w:w="15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leftChars="0" w:right="0" w:rightChars="0"/>
              <w:jc w:val="left"/>
              <w:textAlignment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kern w:val="0"/>
                <w:sz w:val="24"/>
                <w:szCs w:val="24"/>
                <w:lang w:bidi="ar"/>
              </w:rPr>
              <w:t>单位GDP建设用地降幅</w:t>
            </w:r>
          </w:p>
        </w:tc>
        <w:tc>
          <w:tcPr>
            <w:tcW w:w="8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kern w:val="0"/>
                <w:sz w:val="24"/>
                <w:szCs w:val="24"/>
                <w:lang w:val="en-US" w:eastAsia="zh-CN" w:bidi="ar"/>
              </w:rPr>
              <w:t>12</w:t>
            </w:r>
          </w:p>
        </w:tc>
        <w:tc>
          <w:tcPr>
            <w:tcW w:w="8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kern w:val="0"/>
                <w:sz w:val="24"/>
                <w:szCs w:val="24"/>
                <w:lang w:val="en-US" w:eastAsia="zh-CN" w:bidi="ar"/>
              </w:rPr>
              <w:t>14</w:t>
            </w:r>
          </w:p>
        </w:tc>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kern w:val="0"/>
                <w:sz w:val="24"/>
                <w:szCs w:val="24"/>
                <w:lang w:bidi="ar"/>
              </w:rPr>
              <w:t>%</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kern w:val="0"/>
                <w:sz w:val="24"/>
                <w:szCs w:val="24"/>
                <w:lang w:bidi="ar"/>
              </w:rPr>
              <w:t>约束性</w:t>
            </w:r>
          </w:p>
        </w:tc>
      </w:tr>
      <w:tr>
        <w:tblPrEx>
          <w:tblCellMar>
            <w:top w:w="0" w:type="dxa"/>
            <w:left w:w="108" w:type="dxa"/>
            <w:bottom w:w="0" w:type="dxa"/>
            <w:right w:w="108" w:type="dxa"/>
          </w:tblCellMar>
        </w:tblPrEx>
        <w:trPr>
          <w:trHeight w:val="315"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line="440" w:lineRule="exact"/>
              <w:ind w:left="0" w:right="0"/>
              <w:jc w:val="left"/>
              <w:textAlignment w:val="center"/>
              <w:rPr>
                <w:rFonts w:hint="default" w:ascii="Times New Roman" w:hAnsi="Times New Roman" w:eastAsia="仿宋_GB2312" w:cs="Times New Roman"/>
                <w:color w:val="auto"/>
                <w:kern w:val="0"/>
                <w:sz w:val="24"/>
                <w:szCs w:val="24"/>
                <w:lang w:bidi="ar"/>
              </w:rPr>
            </w:pPr>
            <w:r>
              <w:rPr>
                <w:rFonts w:hint="default" w:ascii="Times New Roman" w:hAnsi="Times New Roman" w:eastAsia="仿宋_GB2312" w:cs="Times New Roman"/>
                <w:color w:val="auto"/>
                <w:kern w:val="0"/>
                <w:sz w:val="24"/>
                <w:szCs w:val="24"/>
                <w:lang w:bidi="ar"/>
              </w:rPr>
              <w:t>注</w:t>
            </w:r>
            <w:r>
              <w:rPr>
                <w:rFonts w:hint="default" w:ascii="Times New Roman" w:hAnsi="Times New Roman" w:eastAsia="仿宋_GB2312" w:cs="Times New Roman"/>
                <w:color w:val="auto"/>
                <w:kern w:val="0"/>
                <w:sz w:val="24"/>
                <w:szCs w:val="24"/>
                <w:lang w:eastAsia="zh-CN" w:bidi="ar"/>
              </w:rPr>
              <w:t>：</w:t>
            </w:r>
            <w:r>
              <w:rPr>
                <w:rFonts w:hint="default" w:ascii="Times New Roman" w:hAnsi="Times New Roman" w:eastAsia="仿宋_GB2312" w:cs="Times New Roman"/>
                <w:color w:val="auto"/>
                <w:kern w:val="0"/>
                <w:sz w:val="24"/>
                <w:szCs w:val="24"/>
                <w:lang w:val="en-US" w:eastAsia="zh-CN" w:bidi="ar"/>
              </w:rPr>
              <w:t>1.</w:t>
            </w:r>
            <w:r>
              <w:rPr>
                <w:rFonts w:hint="default" w:ascii="Times New Roman" w:hAnsi="Times New Roman" w:eastAsia="仿宋_GB2312" w:cs="Times New Roman"/>
                <w:color w:val="auto"/>
                <w:kern w:val="0"/>
                <w:sz w:val="24"/>
                <w:szCs w:val="24"/>
                <w:lang w:bidi="ar"/>
              </w:rPr>
              <w:t>实施期间省下达指标任务发生调整的，以省正式下达指标任务为准</w:t>
            </w:r>
          </w:p>
          <w:p>
            <w:pPr>
              <w:keepNext w:val="0"/>
              <w:keepLines w:val="0"/>
              <w:numPr>
                <w:ilvl w:val="-1"/>
                <w:numId w:val="0"/>
              </w:numPr>
              <w:suppressLineNumbers w:val="0"/>
              <w:spacing w:before="0" w:beforeAutospacing="0" w:after="0" w:afterAutospacing="0" w:line="440" w:lineRule="exact"/>
              <w:ind w:left="420" w:leftChars="200" w:right="0" w:firstLine="0" w:firstLineChars="0"/>
              <w:jc w:val="left"/>
              <w:textAlignment w:val="center"/>
              <w:rPr>
                <w:rFonts w:hint="default" w:ascii="Times New Roman" w:hAnsi="Times New Roman" w:eastAsia="仿宋_GB2312" w:cs="Times New Roman"/>
                <w:color w:val="auto"/>
                <w:kern w:val="0"/>
                <w:sz w:val="24"/>
                <w:szCs w:val="24"/>
                <w:lang w:bidi="ar"/>
              </w:rPr>
            </w:pPr>
            <w:r>
              <w:rPr>
                <w:rFonts w:hint="default" w:ascii="Times New Roman" w:hAnsi="Times New Roman" w:eastAsia="仿宋_GB2312" w:cs="Times New Roman"/>
                <w:color w:val="auto"/>
                <w:kern w:val="0"/>
                <w:sz w:val="24"/>
                <w:szCs w:val="24"/>
                <w:lang w:val="en-US" w:eastAsia="zh-CN" w:bidi="ar"/>
              </w:rPr>
              <w:t>2.</w:t>
            </w:r>
            <w:r>
              <w:rPr>
                <w:rFonts w:hint="default" w:ascii="Times New Roman" w:hAnsi="Times New Roman" w:eastAsia="仿宋_GB2312" w:cs="Times New Roman"/>
                <w:color w:val="auto"/>
                <w:kern w:val="0"/>
                <w:sz w:val="24"/>
                <w:szCs w:val="24"/>
                <w:lang w:bidi="ar"/>
              </w:rPr>
              <w:t>表中带“[]”的数据为“十五五”“十四五”期间累计值</w:t>
            </w:r>
          </w:p>
          <w:p>
            <w:pPr>
              <w:pStyle w:val="2"/>
              <w:keepNext w:val="0"/>
              <w:keepLines w:val="0"/>
              <w:widowControl/>
              <w:numPr>
                <w:ilvl w:val="-1"/>
                <w:numId w:val="0"/>
              </w:numPr>
              <w:suppressLineNumbers w:val="0"/>
              <w:spacing w:before="0" w:beforeAutospacing="0" w:after="0" w:afterAutospacing="0"/>
              <w:ind w:left="420" w:leftChars="200" w:right="0" w:firstLine="0" w:firstLineChars="0"/>
              <w:rPr>
                <w:rFonts w:hint="default" w:ascii="Times New Roman" w:hAnsi="Times New Roman" w:cs="Times New Roman"/>
                <w:color w:val="auto"/>
                <w:szCs w:val="20"/>
              </w:rPr>
            </w:pPr>
            <w:r>
              <w:rPr>
                <w:rFonts w:hint="default" w:ascii="Times New Roman" w:hAnsi="Times New Roman" w:eastAsia="仿宋_GB2312" w:cs="Times New Roman"/>
                <w:color w:val="auto"/>
                <w:sz w:val="24"/>
                <w:szCs w:val="24"/>
                <w:lang w:val="en-US" w:eastAsia="zh-CN"/>
              </w:rPr>
              <w:t>3.</w:t>
            </w:r>
            <w:r>
              <w:rPr>
                <w:rFonts w:hint="default" w:ascii="Times New Roman" w:hAnsi="Times New Roman" w:eastAsia="仿宋_GB2312" w:cs="Times New Roman"/>
                <w:color w:val="auto"/>
                <w:sz w:val="24"/>
                <w:szCs w:val="24"/>
              </w:rPr>
              <w:t>表中新增耕地指标来源包含农用地和未利用地。</w:t>
            </w:r>
          </w:p>
        </w:tc>
      </w:tr>
    </w:tbl>
    <w:p>
      <w:pPr>
        <w:rPr>
          <w:rFonts w:hint="default" w:ascii="Times New Roman" w:hAnsi="Times New Roman" w:cs="Times New Roman"/>
          <w:color w:val="auto"/>
          <w:szCs w:val="32"/>
        </w:rPr>
      </w:pPr>
      <w:bookmarkStart w:id="296" w:name="_Toc1520179570"/>
      <w:bookmarkStart w:id="297" w:name="_Toc116244978"/>
      <w:r>
        <w:rPr>
          <w:rFonts w:hint="default" w:ascii="Times New Roman" w:hAnsi="Times New Roman" w:cs="Times New Roman"/>
          <w:color w:val="auto"/>
        </w:rPr>
        <w:br w:type="page"/>
      </w:r>
    </w:p>
    <w:p>
      <w:pPr>
        <w:pStyle w:val="4"/>
        <w:keepNext w:val="0"/>
        <w:keepLines w:val="0"/>
        <w:spacing w:line="560" w:lineRule="exact"/>
        <w:rPr>
          <w:rFonts w:hint="default" w:ascii="Times New Roman" w:hAnsi="Times New Roman" w:cs="Times New Roman"/>
          <w:color w:val="auto"/>
          <w:szCs w:val="32"/>
        </w:rPr>
      </w:pPr>
      <w:bookmarkStart w:id="298" w:name="_Toc486639094"/>
      <w:bookmarkStart w:id="299" w:name="_Toc180243476"/>
      <w:r>
        <w:rPr>
          <w:rFonts w:hint="default" w:ascii="Times New Roman" w:hAnsi="Times New Roman" w:cs="Times New Roman"/>
          <w:color w:val="auto"/>
          <w:szCs w:val="32"/>
        </w:rPr>
        <w:t xml:space="preserve">第三章  </w:t>
      </w:r>
      <w:r>
        <w:rPr>
          <w:rFonts w:hint="default" w:ascii="Times New Roman" w:hAnsi="Times New Roman" w:cs="Times New Roman"/>
          <w:color w:val="auto"/>
        </w:rPr>
        <w:t>优</w:t>
      </w:r>
      <w:r>
        <w:rPr>
          <w:rFonts w:hint="default" w:ascii="Times New Roman" w:hAnsi="Times New Roman" w:cs="Times New Roman"/>
          <w:color w:val="auto"/>
          <w:szCs w:val="32"/>
        </w:rPr>
        <w:t>化国土空间发展格局</w:t>
      </w:r>
      <w:bookmarkEnd w:id="296"/>
      <w:bookmarkEnd w:id="298"/>
      <w:bookmarkEnd w:id="299"/>
    </w:p>
    <w:p>
      <w:pPr>
        <w:ind w:firstLine="640" w:firstLineChars="200"/>
        <w:rPr>
          <w:rFonts w:hint="default" w:ascii="Times New Roman" w:hAnsi="Times New Roman" w:eastAsia="仿宋_GB2312" w:cs="Times New Roman"/>
          <w:color w:val="auto"/>
          <w:kern w:val="0"/>
          <w:sz w:val="32"/>
          <w:szCs w:val="32"/>
          <w:lang w:bidi="ar"/>
        </w:rPr>
      </w:pPr>
      <w:bookmarkStart w:id="300" w:name="_Toc932802980"/>
    </w:p>
    <w:p>
      <w:pPr>
        <w:pStyle w:val="5"/>
        <w:keepNext w:val="0"/>
        <w:keepLines w:val="0"/>
        <w:spacing w:line="560" w:lineRule="exact"/>
        <w:jc w:val="center"/>
        <w:rPr>
          <w:rFonts w:hint="default" w:ascii="Times New Roman" w:hAnsi="Times New Roman" w:eastAsia="楷体_GB2312" w:cs="Times New Roman"/>
          <w:b w:val="0"/>
          <w:color w:val="auto"/>
        </w:rPr>
      </w:pPr>
      <w:bookmarkStart w:id="301" w:name="_Toc2072256158"/>
      <w:bookmarkStart w:id="302" w:name="_Toc576553401"/>
      <w:r>
        <w:rPr>
          <w:rFonts w:hint="default" w:ascii="Times New Roman" w:hAnsi="Times New Roman" w:eastAsia="楷体_GB2312" w:cs="Times New Roman"/>
          <w:b w:val="0"/>
          <w:color w:val="auto"/>
        </w:rPr>
        <w:t>第一节  构建区域协调发展新格局</w:t>
      </w:r>
      <w:bookmarkEnd w:id="300"/>
      <w:bookmarkEnd w:id="301"/>
      <w:bookmarkEnd w:id="302"/>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推进三亚经济圈一体化高质量发展</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统筹保障三亚经济圈一体化高质量发展空间，优化城镇空间格局，构建以海滨公园、水系廊道、郊野公园、城市公园、社区公园为要素的城市绿地与开敞空间体系，一体化布局互联互通的现代化“五网”基础设施体系，构建“1小时通勤圈”；一体化布局普惠互享的公共服务设施，推进公共服务共建共享。优化三亚经济圈产业布局</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bidi="ar"/>
        </w:rPr>
        <w:t>共建现代高端产业集聚区，联动陵水与亚龙湾、海棠湾等重点区域建设国际旅游消费大湾区，整合保亭、五指山等旅游资源创建雨林康养景区，联合乐东、南繁硅谷资源打造热带高效农业种业区，通过跨区域信用协同、跨市县联合招商等机制助推区域一体化发展。</w:t>
      </w:r>
    </w:p>
    <w:p>
      <w:pPr>
        <w:spacing w:line="560" w:lineRule="exact"/>
        <w:ind w:firstLine="642" w:firstLineChars="200"/>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b/>
          <w:bCs/>
          <w:color w:val="auto"/>
          <w:kern w:val="0"/>
          <w:sz w:val="32"/>
          <w:szCs w:val="32"/>
          <w:lang w:bidi="ar"/>
        </w:rPr>
        <w:t>构筑产城融合的城镇空间格局</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按照“中优、北抬、西拓、东精、南联”空间布局策略，</w:t>
      </w:r>
      <w:r>
        <w:rPr>
          <w:rFonts w:hint="default" w:ascii="Times New Roman" w:hAnsi="Times New Roman" w:eastAsia="仿宋_GB2312" w:cs="Times New Roman"/>
          <w:color w:val="auto"/>
          <w:kern w:val="0"/>
          <w:sz w:val="32"/>
          <w:szCs w:val="32"/>
          <w:highlight w:val="none"/>
          <w:lang w:bidi="ar"/>
        </w:rPr>
        <w:t>全面形成“各区一体、城乡协调、内快外畅、错位发展”现代化城市新格局。做优中心城区</w:t>
      </w:r>
      <w:r>
        <w:rPr>
          <w:rFonts w:hint="default" w:ascii="Times New Roman" w:hAnsi="Times New Roman" w:eastAsia="仿宋_GB2312" w:cs="Times New Roman"/>
          <w:color w:val="auto"/>
          <w:kern w:val="0"/>
          <w:sz w:val="32"/>
          <w:szCs w:val="32"/>
          <w:lang w:bidi="ar"/>
        </w:rPr>
        <w:t>，建设具备国际化供给能力的城市主中心</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highlight w:val="none"/>
          <w:lang w:bidi="ar"/>
        </w:rPr>
        <w:t>推动交产城融合发展新区建设</w:t>
      </w:r>
      <w:r>
        <w:rPr>
          <w:rFonts w:hint="default" w:ascii="Times New Roman" w:hAnsi="Times New Roman" w:eastAsia="仿宋_GB2312" w:cs="Times New Roman"/>
          <w:color w:val="auto"/>
          <w:kern w:val="0"/>
          <w:sz w:val="32"/>
          <w:szCs w:val="32"/>
          <w:lang w:bidi="ar"/>
        </w:rPr>
        <w:t>，带动北部腹地发展，</w:t>
      </w:r>
      <w:r>
        <w:rPr>
          <w:rFonts w:hint="default" w:ascii="Times New Roman" w:hAnsi="Times New Roman" w:eastAsia="仿宋_GB2312" w:cs="Times New Roman"/>
          <w:color w:val="auto"/>
          <w:kern w:val="0"/>
          <w:sz w:val="32"/>
          <w:szCs w:val="32"/>
          <w:lang w:val="en-US" w:eastAsia="zh-CN" w:bidi="ar"/>
        </w:rPr>
        <w:t>推动天涯、吉阳老旧城区产业转型与空间环境品质提质升级。</w:t>
      </w:r>
      <w:r>
        <w:rPr>
          <w:rFonts w:hint="default" w:ascii="Times New Roman" w:hAnsi="Times New Roman" w:eastAsia="仿宋_GB2312" w:cs="Times New Roman"/>
          <w:color w:val="auto"/>
          <w:kern w:val="0"/>
          <w:sz w:val="32"/>
          <w:szCs w:val="32"/>
          <w:lang w:bidi="ar"/>
        </w:rPr>
        <w:t>保育北部山区与重要生态空间，依托新机场建设、G98“北抬”等工程，在新旧绕城高速公路之间规划布局多个空间拓展组团。</w:t>
      </w:r>
      <w:r>
        <w:rPr>
          <w:rFonts w:hint="default" w:ascii="Times New Roman" w:hAnsi="Times New Roman" w:eastAsia="仿宋_GB2312" w:cs="Times New Roman"/>
          <w:color w:val="auto"/>
          <w:kern w:val="0"/>
          <w:sz w:val="32"/>
          <w:szCs w:val="32"/>
          <w:lang w:eastAsia="zh-CN" w:bidi="ar"/>
        </w:rPr>
        <w:t>提升崖州湾科技城高新区建设水平</w:t>
      </w:r>
      <w:r>
        <w:rPr>
          <w:rFonts w:hint="default" w:ascii="Times New Roman" w:hAnsi="Times New Roman" w:eastAsia="仿宋_GB2312" w:cs="Times New Roman"/>
          <w:color w:val="auto"/>
          <w:kern w:val="0"/>
          <w:sz w:val="32"/>
          <w:szCs w:val="32"/>
          <w:lang w:bidi="ar"/>
        </w:rPr>
        <w:t>，打造南繁种业和深海科技的创新策源地，加强国际人才的居住与生活配套，推动“科技新城”向“产业新城”升级。做精做强东部海棠湾、亚龙湾，以建设国际旅游消费中心核心区为目标，积极培育旅游消费新热点，提升旅游服务质量和国际化水平，补强海湾公共服务、旅居服务和城市功能配套，促进产城融合发展。陆海统筹联动南海，做强海南自贸港南联前沿阵地，优化海洋功能分区，以海洋旅游、深海科技、海洋渔业、海洋运输等为核心，发展海洋经济，服务海洋强国建设。</w:t>
      </w:r>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统筹陆海全域空间一体布局</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落实海洋强</w:t>
      </w:r>
      <w:r>
        <w:rPr>
          <w:rFonts w:hint="default" w:ascii="Times New Roman" w:hAnsi="Times New Roman" w:eastAsia="仿宋_GB2312" w:cs="Times New Roman"/>
          <w:color w:val="auto"/>
          <w:kern w:val="0"/>
          <w:sz w:val="32"/>
          <w:szCs w:val="32"/>
          <w:lang w:val="en-US" w:eastAsia="zh-CN" w:bidi="ar"/>
        </w:rPr>
        <w:t>省</w:t>
      </w:r>
      <w:r>
        <w:rPr>
          <w:rFonts w:hint="default" w:ascii="Times New Roman" w:hAnsi="Times New Roman" w:eastAsia="仿宋_GB2312" w:cs="Times New Roman"/>
          <w:color w:val="auto"/>
          <w:kern w:val="0"/>
          <w:sz w:val="32"/>
          <w:szCs w:val="32"/>
          <w:lang w:bidi="ar"/>
        </w:rPr>
        <w:t>战略，以优近拓远为布局导向，构建“一廊贯通、三核引领、六湾联动、多岛协同”的</w:t>
      </w:r>
      <w:r>
        <w:rPr>
          <w:rFonts w:hint="default" w:ascii="Times New Roman" w:hAnsi="Times New Roman" w:eastAsia="仿宋_GB2312" w:cs="Times New Roman"/>
          <w:color w:val="auto"/>
          <w:kern w:val="0"/>
          <w:sz w:val="32"/>
          <w:szCs w:val="32"/>
          <w:lang w:val="en-US" w:eastAsia="zh-CN" w:bidi="ar"/>
        </w:rPr>
        <w:t>陆海</w:t>
      </w:r>
      <w:r>
        <w:rPr>
          <w:rFonts w:hint="default" w:ascii="Times New Roman" w:hAnsi="Times New Roman" w:eastAsia="仿宋_GB2312" w:cs="Times New Roman"/>
          <w:color w:val="auto"/>
          <w:kern w:val="0"/>
          <w:sz w:val="32"/>
          <w:szCs w:val="32"/>
          <w:lang w:bidi="ar"/>
        </w:rPr>
        <w:t>空间发展新格局</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bidi="ar"/>
        </w:rPr>
        <w:t>科学配置陆海资源，</w:t>
      </w:r>
      <w:r>
        <w:rPr>
          <w:rFonts w:hint="default" w:ascii="Times New Roman" w:hAnsi="Times New Roman" w:eastAsia="仿宋_GB2312" w:cs="Times New Roman"/>
          <w:color w:val="auto"/>
          <w:sz w:val="32"/>
          <w:szCs w:val="32"/>
        </w:rPr>
        <w:t>强化海岸线、海岸带陆域范围综合保护利用，统筹安排全市海域和海岸带空间。</w:t>
      </w:r>
      <w:r>
        <w:rPr>
          <w:rFonts w:hint="default" w:ascii="Times New Roman" w:hAnsi="Times New Roman" w:eastAsia="仿宋_GB2312" w:cs="Times New Roman"/>
          <w:color w:val="auto"/>
          <w:kern w:val="0"/>
          <w:sz w:val="32"/>
          <w:szCs w:val="32"/>
          <w:lang w:bidi="ar"/>
        </w:rPr>
        <w:t>科学保护和利用陆海资源</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bidi="ar"/>
        </w:rPr>
        <w:t>充分发挥海洋资源优势，通过陆海交通、产业、保护与修复等方面联动，实现陆海统筹发展。在</w:t>
      </w:r>
      <w:r>
        <w:rPr>
          <w:rFonts w:hint="default" w:ascii="Times New Roman" w:hAnsi="Times New Roman" w:eastAsia="仿宋_GB2312" w:cs="Times New Roman"/>
          <w:color w:val="auto"/>
          <w:sz w:val="32"/>
          <w:szCs w:val="32"/>
        </w:rPr>
        <w:t>三亚河、宁远河等流域及沿海岸线，依托连通8大城市基础性生态源地、12处热带雨林关键性生态节点、3条重要水系以及5条市域陆海生态廊道，构建重点生态功能区格局。</w:t>
      </w:r>
    </w:p>
    <w:p>
      <w:pPr>
        <w:spacing w:line="560" w:lineRule="exact"/>
        <w:ind w:firstLine="642"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
          <w:bCs/>
          <w:color w:val="auto"/>
          <w:kern w:val="0"/>
          <w:sz w:val="32"/>
          <w:szCs w:val="32"/>
          <w:lang w:bidi="ar"/>
        </w:rPr>
        <w:t>优化园区与产业用地布局</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bCs/>
          <w:color w:val="auto"/>
          <w:sz w:val="32"/>
          <w:szCs w:val="32"/>
        </w:rPr>
        <w:t>推动旅游业、现代服务业、高新技术产业、热带特色高效农业主导产业延链补链、优化升级，因地制宜发展新质生产力，</w:t>
      </w:r>
      <w:r>
        <w:rPr>
          <w:rFonts w:hint="default" w:ascii="Times New Roman" w:hAnsi="Times New Roman" w:eastAsia="仿宋_GB2312" w:cs="Times New Roman"/>
          <w:bCs/>
          <w:i w:val="0"/>
          <w:iCs w:val="0"/>
          <w:caps w:val="0"/>
          <w:color w:val="auto"/>
          <w:spacing w:val="0"/>
          <w:sz w:val="32"/>
          <w:szCs w:val="32"/>
        </w:rPr>
        <w:t>适度提升先进制造业比重，培育发展临空经济、低空经济、空天信息、数字经济、海洋生物制造等新兴产业和未来产业</w:t>
      </w:r>
      <w:r>
        <w:rPr>
          <w:rFonts w:hint="default" w:ascii="Times New Roman" w:hAnsi="Times New Roman" w:eastAsia="仿宋_GB2312" w:cs="Times New Roman"/>
          <w:bCs/>
          <w:color w:val="auto"/>
          <w:sz w:val="32"/>
          <w:szCs w:val="32"/>
        </w:rPr>
        <w:t>。</w:t>
      </w:r>
      <w:r>
        <w:rPr>
          <w:rFonts w:hint="default" w:ascii="Times New Roman" w:hAnsi="Times New Roman" w:eastAsia="仿宋_GB2312" w:cs="Times New Roman"/>
          <w:color w:val="auto"/>
          <w:sz w:val="32"/>
          <w:szCs w:val="32"/>
        </w:rPr>
        <w:t>统筹陆海资源、城乡资源，大力推进</w:t>
      </w:r>
      <w:r>
        <w:rPr>
          <w:rFonts w:hint="default" w:ascii="Times New Roman" w:hAnsi="Times New Roman" w:eastAsia="仿宋_GB2312" w:cs="Times New Roman"/>
          <w:color w:val="auto"/>
          <w:sz w:val="32"/>
          <w:szCs w:val="32"/>
          <w:lang w:eastAsia="zh-CN"/>
        </w:rPr>
        <w:t>崖州湾科技城高新区</w:t>
      </w:r>
      <w:r>
        <w:rPr>
          <w:rFonts w:hint="default" w:ascii="Times New Roman" w:hAnsi="Times New Roman" w:eastAsia="仿宋_GB2312" w:cs="Times New Roman"/>
          <w:color w:val="auto"/>
          <w:sz w:val="32"/>
          <w:szCs w:val="32"/>
        </w:rPr>
        <w:t>申报国家级</w:t>
      </w:r>
      <w:r>
        <w:rPr>
          <w:rFonts w:hint="default" w:ascii="Times New Roman" w:hAnsi="Times New Roman" w:eastAsia="仿宋_GB2312" w:cs="Times New Roman"/>
          <w:color w:val="auto"/>
          <w:sz w:val="32"/>
          <w:szCs w:val="32"/>
          <w:lang w:val="en-US" w:eastAsia="zh-CN"/>
        </w:rPr>
        <w:t>高新</w:t>
      </w:r>
      <w:r>
        <w:rPr>
          <w:rFonts w:hint="default" w:ascii="Times New Roman" w:hAnsi="Times New Roman" w:eastAsia="仿宋_GB2312" w:cs="Times New Roman"/>
          <w:color w:val="auto"/>
          <w:sz w:val="32"/>
          <w:szCs w:val="32"/>
        </w:rPr>
        <w:t>区，</w:t>
      </w:r>
      <w:r>
        <w:rPr>
          <w:rFonts w:hint="default" w:ascii="Times New Roman" w:hAnsi="Times New Roman" w:eastAsia="仿宋_GB2312" w:cs="Times New Roman"/>
          <w:bCs/>
          <w:color w:val="auto"/>
          <w:sz w:val="32"/>
          <w:szCs w:val="32"/>
        </w:rPr>
        <w:t>重点打造</w:t>
      </w:r>
      <w:r>
        <w:rPr>
          <w:rFonts w:hint="default" w:ascii="Times New Roman" w:hAnsi="Times New Roman" w:eastAsia="仿宋_GB2312" w:cs="Times New Roman"/>
          <w:bCs/>
          <w:color w:val="auto"/>
          <w:sz w:val="32"/>
          <w:szCs w:val="32"/>
          <w:lang w:eastAsia="zh-CN"/>
        </w:rPr>
        <w:t>崖州湾科技城高新区</w:t>
      </w:r>
      <w:r>
        <w:rPr>
          <w:rFonts w:hint="default" w:ascii="Times New Roman" w:hAnsi="Times New Roman" w:eastAsia="仿宋_GB2312" w:cs="Times New Roman"/>
          <w:bCs/>
          <w:color w:val="auto"/>
          <w:sz w:val="32"/>
          <w:szCs w:val="32"/>
        </w:rPr>
        <w:t>中片区、西北片区、生物谷片区、北</w:t>
      </w:r>
      <w:r>
        <w:rPr>
          <w:rFonts w:hint="default" w:ascii="Times New Roman" w:hAnsi="Times New Roman" w:eastAsia="仿宋_GB2312" w:cs="Times New Roman"/>
          <w:bCs/>
          <w:color w:val="auto"/>
          <w:sz w:val="32"/>
          <w:szCs w:val="32"/>
          <w:lang w:eastAsia="zh-CN"/>
        </w:rPr>
        <w:t>拓</w:t>
      </w:r>
      <w:r>
        <w:rPr>
          <w:rFonts w:hint="default" w:ascii="Times New Roman" w:hAnsi="Times New Roman" w:eastAsia="仿宋_GB2312" w:cs="Times New Roman"/>
          <w:bCs/>
          <w:color w:val="auto"/>
          <w:sz w:val="32"/>
          <w:szCs w:val="32"/>
        </w:rPr>
        <w:t>展区4个片区高新产业集群</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lang w:val="en-US" w:eastAsia="zh-CN"/>
        </w:rPr>
        <w:t>谋划北拓展区东侧单元远期用地</w:t>
      </w:r>
      <w:r>
        <w:rPr>
          <w:rFonts w:hint="default" w:ascii="Times New Roman" w:hAnsi="Times New Roman" w:eastAsia="仿宋_GB2312" w:cs="Times New Roman"/>
          <w:bCs/>
          <w:color w:val="auto"/>
          <w:sz w:val="32"/>
          <w:szCs w:val="32"/>
          <w:lang w:eastAsia="zh-CN"/>
        </w:rPr>
        <w:t>布局</w:t>
      </w:r>
      <w:r>
        <w:rPr>
          <w:rFonts w:hint="default" w:ascii="Times New Roman" w:hAnsi="Times New Roman" w:eastAsia="仿宋_GB2312" w:cs="Times New Roman"/>
          <w:bCs/>
          <w:color w:val="auto"/>
          <w:sz w:val="32"/>
          <w:szCs w:val="32"/>
        </w:rPr>
        <w:t>。</w:t>
      </w:r>
      <w:r>
        <w:rPr>
          <w:rFonts w:hint="default" w:ascii="Times New Roman" w:hAnsi="Times New Roman" w:eastAsia="仿宋_GB2312" w:cs="Times New Roman"/>
          <w:color w:val="auto"/>
          <w:sz w:val="32"/>
          <w:szCs w:val="32"/>
        </w:rPr>
        <w:t>协同推进中央商务区、</w:t>
      </w:r>
      <w:r>
        <w:rPr>
          <w:rFonts w:hint="default" w:ascii="Times New Roman" w:hAnsi="Times New Roman" w:eastAsia="仿宋_GB2312" w:cs="Times New Roman"/>
          <w:color w:val="auto"/>
          <w:sz w:val="32"/>
          <w:szCs w:val="32"/>
          <w:lang w:eastAsia="zh-CN"/>
        </w:rPr>
        <w:t>三亚海棠湾国家海岸休闲园区</w:t>
      </w:r>
      <w:r>
        <w:rPr>
          <w:rFonts w:hint="default" w:ascii="Times New Roman" w:hAnsi="Times New Roman" w:eastAsia="仿宋_GB2312" w:cs="Times New Roman"/>
          <w:color w:val="auto"/>
          <w:sz w:val="32"/>
          <w:szCs w:val="32"/>
        </w:rPr>
        <w:t>建设</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i w:val="0"/>
          <w:iCs w:val="0"/>
          <w:caps w:val="0"/>
          <w:color w:val="auto"/>
          <w:spacing w:val="0"/>
          <w:kern w:val="0"/>
          <w:sz w:val="32"/>
          <w:szCs w:val="32"/>
          <w:shd w:val="clear"/>
          <w:lang w:bidi="ar"/>
        </w:rPr>
        <w:t>中央商务区着力构建聚焦总部经济核心引领，现代金融、现代商贸、邮轮游艇、文化艺术四个主导支撑，数字经济、先进制造两个新兴战略的“1+4+2”产业发展体系，深化产业链、创新链、资金链、人才链融合发展。</w:t>
      </w:r>
      <w:r>
        <w:rPr>
          <w:rFonts w:hint="default" w:ascii="Times New Roman" w:hAnsi="Times New Roman" w:eastAsia="仿宋_GB2312" w:cs="Times New Roman"/>
          <w:bCs/>
          <w:color w:val="auto"/>
          <w:sz w:val="32"/>
          <w:szCs w:val="32"/>
        </w:rPr>
        <w:t>重点支持G98“北抬”空间拓展，依托“五横五纵十一连”路网体系，</w:t>
      </w:r>
      <w:r>
        <w:rPr>
          <w:rFonts w:hint="default" w:ascii="Times New Roman" w:hAnsi="Times New Roman" w:eastAsia="仿宋_GB2312" w:cs="Times New Roman"/>
          <w:bCs/>
          <w:color w:val="auto"/>
          <w:sz w:val="32"/>
          <w:szCs w:val="32"/>
          <w:lang w:val="en-US" w:eastAsia="zh-CN"/>
        </w:rPr>
        <w:t>布局</w:t>
      </w:r>
      <w:r>
        <w:rPr>
          <w:rFonts w:hint="default" w:ascii="Times New Roman" w:hAnsi="Times New Roman" w:eastAsia="仿宋_GB2312" w:cs="Times New Roman"/>
          <w:bCs/>
          <w:color w:val="auto"/>
          <w:sz w:val="32"/>
          <w:szCs w:val="32"/>
        </w:rPr>
        <w:t>海棠湾站前片区、智谷循环经济产业园片区、妙林绿谷片区、南丁片区、金谷产业园等9</w:t>
      </w:r>
      <w:r>
        <w:rPr>
          <w:rFonts w:hint="default" w:ascii="Times New Roman" w:hAnsi="Times New Roman" w:eastAsia="仿宋_GB2312" w:cs="Times New Roman"/>
          <w:bCs/>
          <w:color w:val="auto"/>
          <w:sz w:val="32"/>
          <w:szCs w:val="32"/>
          <w:lang w:val="en-US" w:eastAsia="zh-CN"/>
        </w:rPr>
        <w:t>个</w:t>
      </w:r>
      <w:r>
        <w:rPr>
          <w:rFonts w:hint="default" w:ascii="Times New Roman" w:hAnsi="Times New Roman" w:eastAsia="仿宋_GB2312" w:cs="Times New Roman"/>
          <w:bCs/>
          <w:color w:val="auto"/>
          <w:sz w:val="32"/>
          <w:szCs w:val="32"/>
          <w:lang w:eastAsia="zh-CN"/>
        </w:rPr>
        <w:t>集中连片重要</w:t>
      </w:r>
      <w:r>
        <w:rPr>
          <w:rFonts w:hint="default" w:ascii="Times New Roman" w:hAnsi="Times New Roman" w:eastAsia="仿宋_GB2312" w:cs="Times New Roman"/>
          <w:bCs/>
          <w:color w:val="auto"/>
          <w:sz w:val="32"/>
          <w:szCs w:val="32"/>
          <w:lang w:val="en-US" w:eastAsia="zh-CN"/>
        </w:rPr>
        <w:t>产城融合发展组团</w:t>
      </w:r>
      <w:r>
        <w:rPr>
          <w:rFonts w:hint="default" w:ascii="Times New Roman" w:hAnsi="Times New Roman" w:eastAsia="仿宋_GB2312" w:cs="Times New Roman"/>
          <w:bCs/>
          <w:color w:val="auto"/>
          <w:sz w:val="32"/>
          <w:szCs w:val="32"/>
        </w:rPr>
        <w:t>。</w:t>
      </w:r>
    </w:p>
    <w:p>
      <w:pPr>
        <w:spacing w:line="560" w:lineRule="exact"/>
        <w:ind w:firstLine="642" w:firstLineChars="200"/>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b/>
          <w:bCs/>
          <w:color w:val="auto"/>
          <w:kern w:val="0"/>
          <w:sz w:val="32"/>
          <w:szCs w:val="32"/>
          <w:lang w:bidi="ar"/>
        </w:rPr>
        <w:t>促进垦地深度融合发展</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坚持垦地统一规划、建设和管理，完善垦区规划，将垦区规划纳入</w:t>
      </w:r>
      <w:r>
        <w:rPr>
          <w:rFonts w:hint="default" w:ascii="Times New Roman" w:hAnsi="Times New Roman" w:eastAsia="仿宋_GB2312" w:cs="Times New Roman"/>
          <w:color w:val="auto"/>
          <w:kern w:val="0"/>
          <w:sz w:val="32"/>
          <w:szCs w:val="32"/>
          <w:lang w:eastAsia="zh-CN" w:bidi="ar"/>
        </w:rPr>
        <w:t>三亚</w:t>
      </w:r>
      <w:r>
        <w:rPr>
          <w:rFonts w:hint="default" w:ascii="Times New Roman" w:hAnsi="Times New Roman" w:eastAsia="仿宋_GB2312" w:cs="Times New Roman"/>
          <w:color w:val="auto"/>
          <w:kern w:val="0"/>
          <w:sz w:val="32"/>
          <w:szCs w:val="32"/>
          <w:lang w:bidi="ar"/>
        </w:rPr>
        <w:t>市国民经济和社会发展规划以及国土空间规划。加快三亚市南田垦地融合示范区等垦区更新改造重点片区详细规划编制，推动建设南田、南滨两处垦地融合发展示范区，统筹优化垦地产业布局</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bidi="ar"/>
        </w:rPr>
        <w:t>推动产业结构与功能衔接。推进</w:t>
      </w:r>
      <w:r>
        <w:rPr>
          <w:rFonts w:hint="default" w:ascii="Times New Roman" w:hAnsi="Times New Roman" w:eastAsia="仿宋_GB2312" w:cs="Times New Roman"/>
          <w:i w:val="0"/>
          <w:iCs w:val="0"/>
          <w:caps w:val="0"/>
          <w:color w:val="auto"/>
          <w:spacing w:val="0"/>
          <w:kern w:val="0"/>
          <w:sz w:val="32"/>
          <w:szCs w:val="32"/>
          <w:shd w:val="clear" w:fill="auto"/>
          <w:lang w:bidi="ar"/>
        </w:rPr>
        <w:t>三亚垦区内4个场部更新改造项目、19个垦区中心居民点建设项目，逐步解决垦区老旧区域存在的住房安全隐患、基础设施陈旧、公共服务设施缺失等突出问题</w:t>
      </w:r>
      <w:r>
        <w:rPr>
          <w:rFonts w:hint="default" w:ascii="Times New Roman" w:hAnsi="Times New Roman" w:eastAsia="仿宋_GB2312" w:cs="Times New Roman"/>
          <w:color w:val="auto"/>
          <w:kern w:val="0"/>
          <w:sz w:val="32"/>
          <w:szCs w:val="32"/>
          <w:lang w:bidi="ar"/>
        </w:rPr>
        <w:t>。修订《三亚市垦区建房管理实施细则（试行）》，印发《三亚市垦区建房管理实施细则》，将农垦个人建房报建“零跑动”线上审批纳入规范性文件管理。促进垦区中心居民点试点落地见效，加快推进垦区中心居民点撤并腾退、更新改造及保障性住房建设。持续推动农垦“7·31”历史遗留问题化解。协同做好垦区未规范管理土地整治工作，稳妥有序推进农垦土地资本化，</w:t>
      </w:r>
      <w:r>
        <w:rPr>
          <w:rFonts w:hint="default" w:ascii="Times New Roman" w:hAnsi="Times New Roman" w:eastAsia="仿宋_GB2312" w:cs="Times New Roman"/>
          <w:color w:val="auto"/>
          <w:kern w:val="0"/>
          <w:sz w:val="32"/>
          <w:szCs w:val="32"/>
          <w:lang w:val="en-US" w:eastAsia="zh-CN" w:bidi="ar"/>
        </w:rPr>
        <w:t>持续推进垦区非经营性建设用地移交工作，</w:t>
      </w:r>
      <w:r>
        <w:rPr>
          <w:rFonts w:hint="default" w:ascii="Times New Roman" w:hAnsi="Times New Roman" w:eastAsia="仿宋_GB2312" w:cs="Times New Roman"/>
          <w:color w:val="auto"/>
          <w:kern w:val="0"/>
          <w:sz w:val="32"/>
          <w:szCs w:val="32"/>
          <w:lang w:bidi="ar"/>
        </w:rPr>
        <w:t>促进垦地经济高质量发展</w:t>
      </w:r>
      <w:r>
        <w:rPr>
          <w:rFonts w:hint="default" w:ascii="Times New Roman" w:hAnsi="Times New Roman" w:eastAsia="仿宋_GB2312" w:cs="Times New Roman"/>
          <w:color w:val="auto"/>
          <w:kern w:val="0"/>
          <w:sz w:val="32"/>
          <w:szCs w:val="32"/>
          <w:lang w:val="en-US" w:eastAsia="zh-CN" w:bidi="ar"/>
        </w:rPr>
        <w:t>。</w:t>
      </w:r>
    </w:p>
    <w:p>
      <w:pPr>
        <w:pStyle w:val="5"/>
        <w:keepNext w:val="0"/>
        <w:keepLines w:val="0"/>
        <w:spacing w:line="560" w:lineRule="exact"/>
        <w:jc w:val="center"/>
        <w:rPr>
          <w:rFonts w:hint="default" w:ascii="Times New Roman" w:hAnsi="Times New Roman" w:eastAsia="楷体_GB2312" w:cs="Times New Roman"/>
          <w:b w:val="0"/>
          <w:color w:val="auto"/>
        </w:rPr>
      </w:pPr>
      <w:bookmarkStart w:id="303" w:name="_Toc894284584"/>
      <w:bookmarkStart w:id="304" w:name="_Toc345888034"/>
      <w:r>
        <w:rPr>
          <w:rFonts w:hint="default" w:ascii="Times New Roman" w:hAnsi="Times New Roman" w:eastAsia="楷体_GB2312" w:cs="Times New Roman"/>
          <w:b w:val="0"/>
          <w:color w:val="auto"/>
        </w:rPr>
        <w:t>第二节  统筹国土空间布局优化与管理</w:t>
      </w:r>
      <w:bookmarkEnd w:id="303"/>
      <w:bookmarkEnd w:id="304"/>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严守刚性管控优化国土空间</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落实“三区三线”管控要求，细化管控举措。严守耕地与永久基本农田</w:t>
      </w:r>
      <w:r>
        <w:rPr>
          <w:rFonts w:hint="default" w:ascii="Times New Roman" w:hAnsi="Times New Roman" w:eastAsia="仿宋_GB2312" w:cs="Times New Roman"/>
          <w:color w:val="auto"/>
          <w:kern w:val="0"/>
          <w:sz w:val="32"/>
          <w:szCs w:val="32"/>
          <w:lang w:val="en-US" w:eastAsia="zh-CN" w:bidi="ar"/>
        </w:rPr>
        <w:t>保护</w:t>
      </w:r>
      <w:r>
        <w:rPr>
          <w:rFonts w:hint="default" w:ascii="Times New Roman" w:hAnsi="Times New Roman" w:eastAsia="仿宋_GB2312" w:cs="Times New Roman"/>
          <w:color w:val="auto"/>
          <w:kern w:val="0"/>
          <w:sz w:val="32"/>
          <w:szCs w:val="32"/>
          <w:lang w:bidi="ar"/>
        </w:rPr>
        <w:t>底线，严控“非农化”“非粮化”。强化生态保护红线管控，</w:t>
      </w:r>
      <w:r>
        <w:rPr>
          <w:rFonts w:hint="default" w:ascii="Times New Roman" w:hAnsi="Times New Roman" w:eastAsia="仿宋_GB2312" w:cs="Times New Roman"/>
          <w:color w:val="auto"/>
          <w:kern w:val="0"/>
          <w:sz w:val="32"/>
          <w:szCs w:val="32"/>
          <w:lang w:val="en-US" w:eastAsia="zh-CN" w:bidi="ar"/>
        </w:rPr>
        <w:t>除国家重大战略项目外，在符合法律法规的前提下，仅允许对生态功能不造成破坏的有限人为活动</w:t>
      </w:r>
      <w:r>
        <w:rPr>
          <w:rFonts w:hint="default" w:ascii="Times New Roman" w:hAnsi="Times New Roman" w:eastAsia="仿宋_GB2312" w:cs="Times New Roman"/>
          <w:i w:val="0"/>
          <w:iCs w:val="0"/>
          <w:caps w:val="0"/>
          <w:color w:val="auto"/>
          <w:spacing w:val="0"/>
          <w:kern w:val="0"/>
          <w:sz w:val="32"/>
          <w:szCs w:val="32"/>
          <w:lang w:bidi="ar"/>
        </w:rPr>
        <w:t>，按照“面积稳定、功能提升、性质不</w:t>
      </w:r>
      <w:r>
        <w:rPr>
          <w:rFonts w:hint="default" w:ascii="Times New Roman" w:hAnsi="Times New Roman" w:eastAsia="仿宋_GB2312" w:cs="Times New Roman"/>
          <w:i w:val="0"/>
          <w:iCs w:val="0"/>
          <w:caps w:val="0"/>
          <w:color w:val="auto"/>
          <w:spacing w:val="0"/>
          <w:kern w:val="0"/>
          <w:sz w:val="32"/>
          <w:szCs w:val="32"/>
          <w:lang w:eastAsia="zh-CN" w:bidi="ar"/>
        </w:rPr>
        <w:t>变</w:t>
      </w:r>
      <w:r>
        <w:rPr>
          <w:rFonts w:hint="default" w:ascii="Times New Roman" w:hAnsi="Times New Roman" w:eastAsia="仿宋_GB2312" w:cs="Times New Roman"/>
          <w:i w:val="0"/>
          <w:iCs w:val="0"/>
          <w:caps w:val="0"/>
          <w:color w:val="auto"/>
          <w:spacing w:val="0"/>
          <w:kern w:val="0"/>
          <w:sz w:val="32"/>
          <w:szCs w:val="32"/>
          <w:lang w:bidi="ar"/>
        </w:rPr>
        <w:t>”的要求有序提升生态服务功能</w:t>
      </w:r>
      <w:r>
        <w:rPr>
          <w:rFonts w:hint="default" w:ascii="Times New Roman" w:hAnsi="Times New Roman" w:eastAsia="仿宋_GB2312" w:cs="Times New Roman"/>
          <w:color w:val="auto"/>
          <w:kern w:val="0"/>
          <w:sz w:val="32"/>
          <w:szCs w:val="32"/>
          <w:lang w:val="en-US" w:eastAsia="zh-CN" w:bidi="ar"/>
        </w:rPr>
        <w:t>。进一步加强和规范</w:t>
      </w:r>
      <w:r>
        <w:rPr>
          <w:rFonts w:hint="default" w:ascii="Times New Roman" w:hAnsi="Times New Roman" w:eastAsia="仿宋_GB2312" w:cs="Times New Roman"/>
          <w:color w:val="auto"/>
          <w:kern w:val="0"/>
          <w:sz w:val="32"/>
          <w:szCs w:val="32"/>
          <w:lang w:bidi="ar"/>
        </w:rPr>
        <w:t>城镇开发边界</w:t>
      </w:r>
      <w:r>
        <w:rPr>
          <w:rFonts w:hint="default" w:ascii="Times New Roman" w:hAnsi="Times New Roman" w:eastAsia="仿宋_GB2312" w:cs="Times New Roman"/>
          <w:color w:val="auto"/>
          <w:kern w:val="0"/>
          <w:sz w:val="32"/>
          <w:szCs w:val="32"/>
          <w:lang w:val="en-US" w:eastAsia="zh-CN" w:bidi="ar"/>
        </w:rPr>
        <w:t>管理</w:t>
      </w:r>
      <w:r>
        <w:rPr>
          <w:rFonts w:hint="default" w:ascii="Times New Roman" w:hAnsi="Times New Roman" w:eastAsia="仿宋_GB2312" w:cs="Times New Roman"/>
          <w:color w:val="auto"/>
          <w:kern w:val="0"/>
          <w:sz w:val="32"/>
          <w:szCs w:val="32"/>
          <w:lang w:bidi="ar"/>
        </w:rPr>
        <w:t>，支持崖州湾科技城中央商务区、海棠湾国家海岸休闲园区等一批重点产业园区建设，合理布局新增建设用地指标。开展三亚市国土空间规划定期体检和五年一评估，根据体检评估成果和战略发展需要，正向优化“三区三线”</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highlight w:val="none"/>
          <w:lang w:eastAsia="zh-CN" w:bidi="ar"/>
        </w:rPr>
        <w:t>规划分区、重点项目清单等规划内容</w:t>
      </w:r>
      <w:r>
        <w:rPr>
          <w:rFonts w:hint="default" w:ascii="Times New Roman" w:hAnsi="Times New Roman" w:eastAsia="仿宋_GB2312" w:cs="Times New Roman"/>
          <w:color w:val="auto"/>
          <w:kern w:val="0"/>
          <w:sz w:val="32"/>
          <w:szCs w:val="32"/>
          <w:lang w:bidi="ar"/>
        </w:rPr>
        <w:t>，对国土空间总体规划进行年度动态维护。</w:t>
      </w:r>
    </w:p>
    <w:p>
      <w:pPr>
        <w:spacing w:line="560" w:lineRule="exact"/>
        <w:ind w:firstLine="642" w:firstLineChars="200"/>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b/>
          <w:bCs/>
          <w:color w:val="auto"/>
          <w:kern w:val="0"/>
          <w:sz w:val="32"/>
          <w:szCs w:val="32"/>
          <w:lang w:eastAsia="zh-CN" w:bidi="ar"/>
        </w:rPr>
        <w:t>协同</w:t>
      </w:r>
      <w:r>
        <w:rPr>
          <w:rFonts w:hint="default" w:ascii="Times New Roman" w:hAnsi="Times New Roman" w:eastAsia="仿宋_GB2312" w:cs="Times New Roman"/>
          <w:b/>
          <w:bCs/>
          <w:color w:val="auto"/>
          <w:kern w:val="0"/>
          <w:sz w:val="32"/>
          <w:szCs w:val="32"/>
          <w:lang w:bidi="ar"/>
        </w:rPr>
        <w:t>完善</w:t>
      </w:r>
      <w:r>
        <w:rPr>
          <w:rFonts w:hint="default" w:ascii="Times New Roman" w:hAnsi="Times New Roman" w:eastAsia="仿宋_GB2312" w:cs="Times New Roman"/>
          <w:b/>
          <w:bCs/>
          <w:color w:val="auto"/>
          <w:kern w:val="0"/>
          <w:sz w:val="32"/>
          <w:szCs w:val="32"/>
          <w:lang w:eastAsia="zh-CN" w:bidi="ar"/>
        </w:rPr>
        <w:t>空间</w:t>
      </w:r>
      <w:r>
        <w:rPr>
          <w:rFonts w:hint="default" w:ascii="Times New Roman" w:hAnsi="Times New Roman" w:eastAsia="仿宋_GB2312" w:cs="Times New Roman"/>
          <w:b/>
          <w:bCs/>
          <w:color w:val="auto"/>
          <w:kern w:val="0"/>
          <w:sz w:val="32"/>
          <w:szCs w:val="32"/>
          <w:lang w:bidi="ar"/>
        </w:rPr>
        <w:t>专项规划</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衔接南繁硅谷、海岸带保护、生态修复、地下空</w:t>
      </w:r>
      <w:r>
        <w:rPr>
          <w:rFonts w:hint="default" w:ascii="Times New Roman" w:hAnsi="Times New Roman" w:eastAsia="仿宋_GB2312" w:cs="Times New Roman"/>
          <w:color w:val="auto"/>
          <w:kern w:val="0"/>
          <w:sz w:val="32"/>
          <w:szCs w:val="32"/>
          <w:highlight w:val="none"/>
          <w:lang w:bidi="ar"/>
        </w:rPr>
        <w:t>间开发</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教育、医疗</w:t>
      </w:r>
      <w:r>
        <w:rPr>
          <w:rFonts w:hint="default" w:ascii="Times New Roman" w:hAnsi="Times New Roman" w:eastAsia="仿宋_GB2312" w:cs="Times New Roman"/>
          <w:color w:val="auto"/>
          <w:kern w:val="0"/>
          <w:sz w:val="32"/>
          <w:szCs w:val="32"/>
          <w:highlight w:val="none"/>
          <w:lang w:bidi="ar"/>
        </w:rPr>
        <w:t>等专项规划，明确各专项规划的用地管控要求、实施路径和重点项目，避免规划冲突、重复布局。强化专项规划与自然资源保护利用的深度融合，将生态保护、集约用地、产业发展等核心要求融入各专项规划。重点推动水利、交通、林业、民政等部门专项规划落地，形成规划合力，为自然资源精准管控和高效利用提供支撑。</w:t>
      </w:r>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highlight w:val="none"/>
          <w:lang w:bidi="ar"/>
        </w:rPr>
        <w:t>统筹推进详细规划管理实施</w:t>
      </w:r>
      <w:r>
        <w:rPr>
          <w:rFonts w:hint="default" w:ascii="Times New Roman" w:hAnsi="Times New Roman" w:eastAsia="仿宋_GB2312" w:cs="Times New Roman"/>
          <w:b w:val="0"/>
          <w:bCs w:val="0"/>
          <w:color w:val="auto"/>
          <w:kern w:val="0"/>
          <w:sz w:val="32"/>
          <w:szCs w:val="32"/>
          <w:highlight w:val="none"/>
          <w:lang w:bidi="ar"/>
        </w:rPr>
        <w:t>。</w:t>
      </w:r>
      <w:r>
        <w:rPr>
          <w:rFonts w:hint="default" w:ascii="Times New Roman" w:hAnsi="Times New Roman" w:eastAsia="仿宋_GB2312" w:cs="Times New Roman"/>
          <w:color w:val="auto"/>
          <w:kern w:val="0"/>
          <w:sz w:val="32"/>
          <w:szCs w:val="32"/>
          <w:highlight w:val="none"/>
          <w:lang w:bidi="ar"/>
        </w:rPr>
        <w:t>加快交产城融合发展新区、</w:t>
      </w:r>
      <w:r>
        <w:rPr>
          <w:rFonts w:hint="default" w:ascii="Times New Roman" w:hAnsi="Times New Roman" w:eastAsia="仿宋_GB2312" w:cs="Times New Roman"/>
          <w:color w:val="auto"/>
          <w:kern w:val="0"/>
          <w:sz w:val="32"/>
          <w:szCs w:val="32"/>
          <w:highlight w:val="none"/>
          <w:lang w:eastAsia="zh-CN" w:bidi="ar"/>
        </w:rPr>
        <w:t>崖州湾科技城高新区</w:t>
      </w:r>
      <w:r>
        <w:rPr>
          <w:rFonts w:hint="default" w:ascii="Times New Roman" w:hAnsi="Times New Roman" w:eastAsia="仿宋_GB2312" w:cs="Times New Roman"/>
          <w:color w:val="auto"/>
          <w:kern w:val="0"/>
          <w:sz w:val="32"/>
          <w:szCs w:val="32"/>
          <w:highlight w:val="none"/>
          <w:lang w:bidi="ar"/>
        </w:rPr>
        <w:t>、海棠湾</w:t>
      </w:r>
      <w:r>
        <w:rPr>
          <w:rFonts w:hint="default" w:ascii="Times New Roman" w:hAnsi="Times New Roman" w:eastAsia="仿宋_GB2312" w:cs="Times New Roman"/>
          <w:color w:val="auto"/>
          <w:kern w:val="0"/>
          <w:sz w:val="32"/>
          <w:szCs w:val="32"/>
          <w:highlight w:val="none"/>
          <w:lang w:val="en-US" w:eastAsia="zh-CN" w:bidi="ar"/>
        </w:rPr>
        <w:t>风塘片区</w:t>
      </w:r>
      <w:r>
        <w:rPr>
          <w:rFonts w:hint="default" w:ascii="Times New Roman" w:hAnsi="Times New Roman" w:eastAsia="仿宋_GB2312" w:cs="Times New Roman"/>
          <w:color w:val="auto"/>
          <w:kern w:val="0"/>
          <w:sz w:val="32"/>
          <w:szCs w:val="32"/>
          <w:highlight w:val="none"/>
          <w:lang w:eastAsia="zh-CN" w:bidi="ar"/>
        </w:rPr>
        <w:t>、南丁南片区、半岭温泉片区</w:t>
      </w:r>
      <w:r>
        <w:rPr>
          <w:rFonts w:hint="default" w:ascii="Times New Roman" w:hAnsi="Times New Roman" w:eastAsia="仿宋_GB2312" w:cs="Times New Roman"/>
          <w:color w:val="auto"/>
          <w:kern w:val="0"/>
          <w:sz w:val="32"/>
          <w:szCs w:val="32"/>
          <w:highlight w:val="none"/>
          <w:lang w:bidi="ar"/>
        </w:rPr>
        <w:t>等重点区域详细规划修编。实施“单元+地块”详规编制，</w:t>
      </w:r>
      <w:r>
        <w:rPr>
          <w:rFonts w:hint="default" w:ascii="Times New Roman" w:hAnsi="Times New Roman" w:eastAsia="仿宋_GB2312" w:cs="Times New Roman"/>
          <w:b w:val="0"/>
          <w:bCs w:val="0"/>
          <w:color w:val="auto"/>
          <w:kern w:val="0"/>
          <w:sz w:val="32"/>
          <w:szCs w:val="32"/>
          <w:highlight w:val="none"/>
          <w:lang w:bidi="ar"/>
        </w:rPr>
        <w:t>推进详细规划管理“刚弹结合”</w:t>
      </w:r>
      <w:r>
        <w:rPr>
          <w:rFonts w:hint="default" w:ascii="Times New Roman" w:hAnsi="Times New Roman" w:eastAsia="仿宋_GB2312" w:cs="Times New Roman"/>
          <w:color w:val="auto"/>
          <w:kern w:val="0"/>
          <w:sz w:val="32"/>
          <w:szCs w:val="32"/>
          <w:highlight w:val="none"/>
          <w:lang w:bidi="ar"/>
        </w:rPr>
        <w:t>。加强年度土地供应计划与详细规划</w:t>
      </w:r>
      <w:r>
        <w:rPr>
          <w:rFonts w:hint="default" w:ascii="Times New Roman" w:hAnsi="Times New Roman" w:eastAsia="仿宋_GB2312" w:cs="Times New Roman"/>
          <w:color w:val="auto"/>
          <w:kern w:val="0"/>
          <w:sz w:val="32"/>
          <w:szCs w:val="32"/>
          <w:highlight w:val="none"/>
          <w:lang w:val="en-US" w:eastAsia="zh-CN" w:bidi="ar"/>
        </w:rPr>
        <w:t>相</w:t>
      </w:r>
      <w:r>
        <w:rPr>
          <w:rFonts w:hint="default" w:ascii="Times New Roman" w:hAnsi="Times New Roman" w:eastAsia="仿宋_GB2312" w:cs="Times New Roman"/>
          <w:color w:val="auto"/>
          <w:kern w:val="0"/>
          <w:sz w:val="32"/>
          <w:szCs w:val="32"/>
          <w:highlight w:val="none"/>
          <w:lang w:bidi="ar"/>
        </w:rPr>
        <w:t>匹配</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规范详细规划审批流程，强化详细规划实施监管</w:t>
      </w:r>
      <w:r>
        <w:rPr>
          <w:rFonts w:hint="default" w:ascii="Times New Roman" w:hAnsi="Times New Roman" w:eastAsia="仿宋_GB2312" w:cs="Times New Roman"/>
          <w:color w:val="auto"/>
          <w:kern w:val="0"/>
          <w:sz w:val="32"/>
          <w:szCs w:val="32"/>
          <w:lang w:bidi="ar"/>
        </w:rPr>
        <w:t>。</w:t>
      </w:r>
      <w:bookmarkStart w:id="305" w:name="_Toc11750"/>
      <w:bookmarkStart w:id="306" w:name="_Toc1375"/>
      <w:bookmarkStart w:id="307" w:name="_Toc2907"/>
      <w:r>
        <w:rPr>
          <w:rFonts w:hint="default" w:ascii="Times New Roman" w:hAnsi="Times New Roman" w:eastAsia="仿宋_GB2312" w:cs="Times New Roman"/>
          <w:b w:val="0"/>
          <w:bCs w:val="0"/>
          <w:color w:val="auto"/>
          <w:kern w:val="0"/>
          <w:sz w:val="32"/>
          <w:szCs w:val="32"/>
          <w:highlight w:val="none"/>
          <w:lang w:bidi="ar"/>
        </w:rPr>
        <w:t>加强与发展改革、交通运输、旅游、住房城乡建设等行业部门发展规划的衔接，将</w:t>
      </w:r>
      <w:r>
        <w:rPr>
          <w:rFonts w:hint="default" w:ascii="Times New Roman" w:hAnsi="Times New Roman" w:eastAsia="仿宋_GB2312" w:cs="Times New Roman"/>
          <w:b w:val="0"/>
          <w:bCs w:val="0"/>
          <w:color w:val="auto"/>
          <w:kern w:val="0"/>
          <w:sz w:val="32"/>
          <w:szCs w:val="32"/>
          <w:highlight w:val="none"/>
          <w:lang w:eastAsia="zh-CN" w:bidi="ar"/>
        </w:rPr>
        <w:t>各部门</w:t>
      </w:r>
      <w:r>
        <w:rPr>
          <w:rFonts w:hint="default" w:ascii="Times New Roman" w:hAnsi="Times New Roman" w:eastAsia="仿宋_GB2312" w:cs="Times New Roman"/>
          <w:b w:val="0"/>
          <w:bCs w:val="0"/>
          <w:color w:val="auto"/>
          <w:kern w:val="0"/>
          <w:sz w:val="32"/>
          <w:szCs w:val="32"/>
          <w:highlight w:val="none"/>
          <w:lang w:bidi="ar"/>
        </w:rPr>
        <w:t>空间需求统筹纳入详细规划。</w:t>
      </w:r>
    </w:p>
    <w:bookmarkEnd w:id="305"/>
    <w:bookmarkEnd w:id="306"/>
    <w:bookmarkEnd w:id="307"/>
    <w:p>
      <w:pPr>
        <w:pStyle w:val="2"/>
        <w:spacing w:line="560" w:lineRule="exact"/>
        <w:ind w:firstLine="643"/>
        <w:rPr>
          <w:rFonts w:hint="default" w:ascii="Times New Roman" w:hAnsi="Times New Roman" w:eastAsia="仿宋_GB2312" w:cs="Times New Roman"/>
          <w:color w:val="auto"/>
          <w:kern w:val="0"/>
          <w:sz w:val="32"/>
          <w:szCs w:val="32"/>
          <w:lang w:bidi="ar"/>
        </w:rPr>
      </w:pPr>
      <w:bookmarkStart w:id="308" w:name="_Toc32521"/>
      <w:r>
        <w:rPr>
          <w:rFonts w:hint="default" w:ascii="Times New Roman" w:hAnsi="Times New Roman" w:eastAsia="仿宋_GB2312" w:cs="Times New Roman"/>
          <w:b/>
          <w:bCs/>
          <w:color w:val="auto"/>
          <w:kern w:val="0"/>
          <w:sz w:val="32"/>
          <w:szCs w:val="32"/>
          <w:lang w:bidi="ar"/>
        </w:rPr>
        <w:t>健全强化规划实施监督体系</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强化规划实施监督全过程监管，确保国土空间</w:t>
      </w:r>
      <w:r>
        <w:rPr>
          <w:rFonts w:hint="default" w:ascii="Times New Roman" w:hAnsi="Times New Roman" w:eastAsia="仿宋_GB2312" w:cs="Times New Roman"/>
          <w:color w:val="auto"/>
          <w:kern w:val="0"/>
          <w:sz w:val="32"/>
          <w:szCs w:val="32"/>
          <w:lang w:val="en-US" w:eastAsia="zh-CN" w:bidi="ar"/>
        </w:rPr>
        <w:t>总体</w:t>
      </w:r>
      <w:r>
        <w:rPr>
          <w:rFonts w:hint="default" w:ascii="Times New Roman" w:hAnsi="Times New Roman" w:eastAsia="仿宋_GB2312" w:cs="Times New Roman"/>
          <w:color w:val="auto"/>
          <w:kern w:val="0"/>
          <w:sz w:val="32"/>
          <w:szCs w:val="32"/>
          <w:lang w:bidi="ar"/>
        </w:rPr>
        <w:t>规划及各类专项规划、详细规划落地实施。</w:t>
      </w:r>
      <w:r>
        <w:rPr>
          <w:rFonts w:hint="default" w:ascii="Times New Roman" w:hAnsi="Times New Roman" w:eastAsia="仿宋_GB2312" w:cs="Times New Roman"/>
          <w:color w:val="auto"/>
          <w:kern w:val="0"/>
          <w:sz w:val="32"/>
          <w:szCs w:val="32"/>
          <w:lang w:eastAsia="zh-CN" w:bidi="ar"/>
        </w:rPr>
        <w:t>深化</w:t>
      </w:r>
      <w:r>
        <w:rPr>
          <w:rFonts w:hint="default" w:ascii="Times New Roman" w:hAnsi="Times New Roman" w:eastAsia="仿宋_GB2312" w:cs="Times New Roman"/>
          <w:color w:val="auto"/>
          <w:kern w:val="0"/>
          <w:sz w:val="32"/>
          <w:szCs w:val="32"/>
          <w:lang w:bidi="ar"/>
        </w:rPr>
        <w:t>“机器管规划”</w:t>
      </w:r>
      <w:r>
        <w:rPr>
          <w:rFonts w:hint="default" w:ascii="Times New Roman" w:hAnsi="Times New Roman" w:eastAsia="仿宋_GB2312" w:cs="Times New Roman"/>
          <w:color w:val="auto"/>
          <w:kern w:val="0"/>
          <w:sz w:val="32"/>
          <w:szCs w:val="32"/>
          <w:lang w:eastAsia="zh-CN" w:bidi="ar"/>
        </w:rPr>
        <w:t>工作</w:t>
      </w:r>
      <w:r>
        <w:rPr>
          <w:rFonts w:hint="default" w:ascii="Times New Roman" w:hAnsi="Times New Roman" w:eastAsia="仿宋_GB2312" w:cs="Times New Roman"/>
          <w:color w:val="auto"/>
          <w:kern w:val="0"/>
          <w:sz w:val="32"/>
          <w:szCs w:val="32"/>
          <w:lang w:bidi="ar"/>
        </w:rPr>
        <w:t>，对规划编制、审批、实施、修改等各个环节进行预警监管</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highlight w:val="none"/>
          <w:lang w:bidi="ar"/>
        </w:rPr>
        <w:t>依托自然资源管理和国土空间规划“一张图”系统，对各类约束性指标、空间控制线和管控边界进行动态监测和评估预警</w:t>
      </w:r>
      <w:r>
        <w:rPr>
          <w:rFonts w:hint="default" w:ascii="Times New Roman" w:hAnsi="Times New Roman" w:eastAsia="仿宋_GB2312" w:cs="Times New Roman"/>
          <w:color w:val="auto"/>
          <w:kern w:val="0"/>
          <w:sz w:val="32"/>
          <w:szCs w:val="32"/>
          <w:lang w:bidi="ar"/>
        </w:rPr>
        <w:t>。定期开展规划实施评估，分析规划实施成效及存在问题，及时优化调整规划实施举措，确保规划与三亚发展实际、自然资源保护利用需求相适配。畅通公众监督渠道，公开规划内容、实施进度、监管结果等信息，接受社会公众监督，鼓励公众参与规划实施监督，提升规划实施的透明度和公信力。</w:t>
      </w:r>
    </w:p>
    <w:p>
      <w:pPr>
        <w:pStyle w:val="5"/>
        <w:keepNext w:val="0"/>
        <w:keepLines w:val="0"/>
        <w:spacing w:line="560" w:lineRule="exact"/>
        <w:jc w:val="center"/>
        <w:rPr>
          <w:rFonts w:hint="default" w:ascii="Times New Roman" w:hAnsi="Times New Roman" w:eastAsia="楷体_GB2312" w:cs="Times New Roman"/>
          <w:b w:val="0"/>
          <w:color w:val="auto"/>
        </w:rPr>
      </w:pPr>
      <w:bookmarkStart w:id="309" w:name="_Toc1542883680"/>
      <w:bookmarkStart w:id="310" w:name="_Toc1274394010"/>
      <w:r>
        <w:rPr>
          <w:rFonts w:hint="default" w:ascii="Times New Roman" w:hAnsi="Times New Roman" w:eastAsia="楷体_GB2312" w:cs="Times New Roman"/>
          <w:b w:val="0"/>
          <w:color w:val="auto"/>
        </w:rPr>
        <w:t>第三节  推动新型城镇化建设</w:t>
      </w:r>
      <w:bookmarkEnd w:id="309"/>
      <w:bookmarkEnd w:id="310"/>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推进新型城镇化高质量发展</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精准配置城镇土地资源、优化城乡用地结构、完善城乡空间功能，高质量支撑以人为核心的新型城镇化，构建城乡要素双向流动、空间功能互补、公共服务均等、人居环境提质、适配自贸港发展的城乡融合发展新格局。科学优化城镇开发边界，合理配置城镇建设用地规模，有序拓展城市发展空间。优先保障民生安居、市政配套、产业园区等重点项目用地需求，夯实城镇建设根基。深入开展城镇低效用地再开发，持续推进城乡存量用地挖潜，提升土地节约集约利用水平。统筹城乡空间资源联动配置，促进城镇功能辐射延伸，提升城乡基础设施和公共服务设施水平。强化城镇生态空间保护，打造宜居宜业的现代化城镇发展格局。</w:t>
      </w:r>
    </w:p>
    <w:p>
      <w:pPr>
        <w:pStyle w:val="2"/>
        <w:keepNext w:val="0"/>
        <w:keepLines w:val="0"/>
        <w:pageBreakBefore w:val="0"/>
        <w:kinsoku/>
        <w:wordWrap/>
        <w:overflowPunct/>
        <w:topLinePunct w:val="0"/>
        <w:autoSpaceDE/>
        <w:autoSpaceDN/>
        <w:bidi w:val="0"/>
        <w:adjustRightInd/>
        <w:snapToGrid/>
        <w:spacing w:line="560" w:lineRule="exact"/>
        <w:ind w:firstLine="420"/>
        <w:textAlignment w:val="auto"/>
        <w:rPr>
          <w:rFonts w:hint="default" w:ascii="Times New Roman" w:hAnsi="Times New Roman" w:eastAsia="仿宋_GB2312" w:cs="Times New Roman"/>
          <w:b w:val="0"/>
          <w:bCs w:val="0"/>
          <w:color w:val="auto"/>
          <w:kern w:val="0"/>
          <w:sz w:val="32"/>
          <w:szCs w:val="32"/>
          <w:lang w:bidi="ar"/>
        </w:rPr>
      </w:pPr>
      <w:r>
        <w:rPr>
          <w:rFonts w:hint="default" w:ascii="Times New Roman" w:hAnsi="Times New Roman" w:eastAsia="仿宋_GB2312" w:cs="Times New Roman"/>
          <w:b/>
          <w:bCs/>
          <w:color w:val="auto"/>
          <w:kern w:val="0"/>
          <w:sz w:val="32"/>
          <w:szCs w:val="32"/>
          <w:lang w:val="en-US" w:eastAsia="zh-CN" w:bidi="ar"/>
        </w:rPr>
        <w:t>大力推进</w:t>
      </w:r>
      <w:r>
        <w:rPr>
          <w:rFonts w:hint="default" w:ascii="Times New Roman" w:hAnsi="Times New Roman" w:eastAsia="仿宋_GB2312" w:cs="Times New Roman"/>
          <w:b/>
          <w:bCs/>
          <w:color w:val="auto"/>
          <w:kern w:val="0"/>
          <w:sz w:val="32"/>
          <w:szCs w:val="32"/>
          <w:lang w:bidi="ar"/>
        </w:rPr>
        <w:t>城市更新</w:t>
      </w:r>
      <w:r>
        <w:rPr>
          <w:rFonts w:hint="default" w:ascii="Times New Roman" w:hAnsi="Times New Roman" w:eastAsia="仿宋_GB2312" w:cs="Times New Roman"/>
          <w:b/>
          <w:bCs/>
          <w:color w:val="auto"/>
          <w:kern w:val="0"/>
          <w:sz w:val="32"/>
          <w:szCs w:val="32"/>
          <w:lang w:val="en-US" w:eastAsia="zh-CN" w:bidi="ar"/>
        </w:rPr>
        <w:t>工作</w:t>
      </w:r>
      <w:r>
        <w:rPr>
          <w:rFonts w:hint="default" w:ascii="Times New Roman" w:hAnsi="Times New Roman" w:eastAsia="仿宋_GB2312" w:cs="Times New Roman"/>
          <w:b w:val="0"/>
          <w:bCs w:val="0"/>
          <w:color w:val="auto"/>
          <w:kern w:val="0"/>
          <w:sz w:val="32"/>
          <w:szCs w:val="32"/>
          <w:lang w:bidi="ar"/>
        </w:rPr>
        <w:t>。全面推进城市更新行动，系统开展低效用地、闲置资源与存量资产的盘活利用。探索通过</w:t>
      </w:r>
      <w:r>
        <w:rPr>
          <w:rFonts w:hint="default" w:ascii="Times New Roman" w:hAnsi="Times New Roman" w:eastAsia="仿宋_GB2312" w:cs="Times New Roman"/>
          <w:b w:val="0"/>
          <w:bCs w:val="0"/>
          <w:color w:val="auto"/>
          <w:kern w:val="0"/>
          <w:sz w:val="32"/>
          <w:szCs w:val="32"/>
          <w:lang w:eastAsia="zh-CN" w:bidi="ar"/>
        </w:rPr>
        <w:t>“</w:t>
      </w:r>
      <w:r>
        <w:rPr>
          <w:rFonts w:hint="default" w:ascii="Times New Roman" w:hAnsi="Times New Roman" w:eastAsia="仿宋_GB2312" w:cs="Times New Roman"/>
          <w:b w:val="0"/>
          <w:bCs w:val="0"/>
          <w:color w:val="auto"/>
          <w:kern w:val="0"/>
          <w:sz w:val="32"/>
          <w:szCs w:val="32"/>
          <w:lang w:bidi="ar"/>
        </w:rPr>
        <w:t>城市更新单元</w:t>
      </w:r>
      <w:r>
        <w:rPr>
          <w:rFonts w:hint="default" w:ascii="Times New Roman" w:hAnsi="Times New Roman" w:eastAsia="仿宋_GB2312" w:cs="Times New Roman"/>
          <w:b w:val="0"/>
          <w:bCs w:val="0"/>
          <w:color w:val="auto"/>
          <w:kern w:val="0"/>
          <w:sz w:val="32"/>
          <w:szCs w:val="32"/>
          <w:lang w:eastAsia="zh-CN" w:bidi="ar"/>
        </w:rPr>
        <w:t>”</w:t>
      </w:r>
      <w:r>
        <w:rPr>
          <w:rFonts w:hint="default" w:ascii="Times New Roman" w:hAnsi="Times New Roman" w:eastAsia="仿宋_GB2312" w:cs="Times New Roman"/>
          <w:b w:val="0"/>
          <w:bCs w:val="0"/>
          <w:color w:val="auto"/>
          <w:kern w:val="0"/>
          <w:sz w:val="32"/>
          <w:szCs w:val="32"/>
          <w:lang w:bidi="ar"/>
        </w:rPr>
        <w:t>和</w:t>
      </w:r>
      <w:r>
        <w:rPr>
          <w:rFonts w:hint="default" w:ascii="Times New Roman" w:hAnsi="Times New Roman" w:eastAsia="仿宋_GB2312" w:cs="Times New Roman"/>
          <w:b w:val="0"/>
          <w:bCs w:val="0"/>
          <w:color w:val="auto"/>
          <w:kern w:val="0"/>
          <w:sz w:val="32"/>
          <w:szCs w:val="32"/>
          <w:lang w:eastAsia="zh-CN" w:bidi="ar"/>
        </w:rPr>
        <w:t>“</w:t>
      </w:r>
      <w:r>
        <w:rPr>
          <w:rFonts w:hint="default" w:ascii="Times New Roman" w:hAnsi="Times New Roman" w:eastAsia="仿宋_GB2312" w:cs="Times New Roman"/>
          <w:b w:val="0"/>
          <w:bCs w:val="0"/>
          <w:color w:val="auto"/>
          <w:kern w:val="0"/>
          <w:sz w:val="32"/>
          <w:szCs w:val="32"/>
          <w:lang w:bidi="ar"/>
        </w:rPr>
        <w:t>城市更新地块</w:t>
      </w:r>
      <w:r>
        <w:rPr>
          <w:rFonts w:hint="default" w:ascii="Times New Roman" w:hAnsi="Times New Roman" w:eastAsia="仿宋_GB2312" w:cs="Times New Roman"/>
          <w:b w:val="0"/>
          <w:bCs w:val="0"/>
          <w:color w:val="auto"/>
          <w:kern w:val="0"/>
          <w:sz w:val="32"/>
          <w:szCs w:val="32"/>
          <w:lang w:eastAsia="zh-CN" w:bidi="ar"/>
        </w:rPr>
        <w:t>”</w:t>
      </w:r>
      <w:r>
        <w:rPr>
          <w:rFonts w:hint="default" w:ascii="Times New Roman" w:hAnsi="Times New Roman" w:eastAsia="仿宋_GB2312" w:cs="Times New Roman"/>
          <w:b w:val="0"/>
          <w:bCs w:val="0"/>
          <w:color w:val="auto"/>
          <w:kern w:val="0"/>
          <w:sz w:val="32"/>
          <w:szCs w:val="32"/>
          <w:lang w:bidi="ar"/>
        </w:rPr>
        <w:t>2个层面分层落实到详细规划。划定4个类型27个城市更新片区，重点推动临春、海罗、三亚湾新城、榆红等片区城市更新。结合城市体检成果，全面盘整全市老旧小区街区、城中村、低效生态空间等存量空间资源，重点推进海罗、临春、月川、水居巷、吴春园、丹虹片区等23个城市更新项目。用好城市更新存量用地用途转换期政策，探索多种供地方式。</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黑体" w:cs="Times New Roman"/>
                <w:b w:val="0"/>
                <w:bCs/>
                <w:color w:val="auto"/>
                <w:kern w:val="0"/>
                <w:sz w:val="24"/>
                <w:szCs w:val="24"/>
              </w:rPr>
            </w:pPr>
            <w:r>
              <w:rPr>
                <w:rFonts w:hint="default" w:ascii="Times New Roman" w:hAnsi="Times New Roman" w:eastAsia="黑体" w:cs="Times New Roman"/>
                <w:b w:val="0"/>
                <w:bCs/>
                <w:color w:val="auto"/>
                <w:kern w:val="0"/>
                <w:sz w:val="28"/>
                <w:szCs w:val="28"/>
                <w:highlight w:val="none"/>
                <w:lang w:val="en-US" w:eastAsia="zh-CN" w:bidi="ar"/>
              </w:rPr>
              <w:t>专栏</w:t>
            </w:r>
            <w:r>
              <w:rPr>
                <w:rFonts w:hint="default" w:ascii="Times New Roman" w:hAnsi="Times New Roman" w:eastAsia="黑体" w:cs="Times New Roman"/>
                <w:b w:val="0"/>
                <w:bCs/>
                <w:color w:val="auto"/>
                <w:kern w:val="0"/>
                <w:sz w:val="28"/>
                <w:szCs w:val="28"/>
                <w:highlight w:val="none"/>
                <w:lang w:eastAsia="zh-CN" w:bidi="ar"/>
              </w:rPr>
              <w:t>1</w:t>
            </w:r>
            <w:r>
              <w:rPr>
                <w:rFonts w:hint="default" w:ascii="Times New Roman" w:hAnsi="Times New Roman" w:eastAsia="黑体" w:cs="Times New Roman"/>
                <w:b w:val="0"/>
                <w:bCs/>
                <w:color w:val="auto"/>
                <w:kern w:val="0"/>
                <w:sz w:val="28"/>
                <w:szCs w:val="28"/>
                <w:highlight w:val="none"/>
                <w:lang w:val="en-US" w:eastAsia="zh-CN" w:bidi="ar"/>
              </w:rPr>
              <w:t xml:space="preserve">   城</w:t>
            </w:r>
            <w:r>
              <w:rPr>
                <w:rFonts w:hint="default" w:ascii="Times New Roman" w:hAnsi="Times New Roman" w:eastAsia="黑体" w:cs="Times New Roman"/>
                <w:b w:val="0"/>
                <w:bCs/>
                <w:color w:val="auto"/>
                <w:kern w:val="0"/>
                <w:sz w:val="28"/>
                <w:szCs w:val="28"/>
                <w:lang w:val="en-US" w:eastAsia="zh-CN" w:bidi="ar"/>
              </w:rPr>
              <w:t>市更新项目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1" w:firstLineChars="200"/>
              <w:jc w:val="both"/>
              <w:textAlignment w:val="auto"/>
              <w:rPr>
                <w:rFonts w:hint="default" w:ascii="Times New Roman" w:hAnsi="Times New Roman" w:eastAsia="仿宋_GB2312" w:cs="Times New Roman"/>
                <w:b w:val="0"/>
                <w:bCs/>
                <w:color w:val="auto"/>
                <w:kern w:val="0"/>
                <w:sz w:val="24"/>
                <w:szCs w:val="24"/>
                <w:lang w:val="en-US" w:eastAsia="zh-CN" w:bidi="ar"/>
              </w:rPr>
            </w:pPr>
            <w:r>
              <w:rPr>
                <w:rFonts w:hint="default" w:ascii="Times New Roman" w:hAnsi="Times New Roman" w:eastAsia="仿宋_GB2312" w:cs="Times New Roman"/>
                <w:b/>
                <w:bCs w:val="0"/>
                <w:color w:val="auto"/>
                <w:kern w:val="0"/>
                <w:sz w:val="24"/>
                <w:szCs w:val="24"/>
                <w:lang w:val="en-US" w:eastAsia="zh-CN" w:bidi="ar"/>
              </w:rPr>
              <w:t>1.海罗片区城市更新项目</w:t>
            </w:r>
            <w:r>
              <w:rPr>
                <w:rFonts w:hint="default" w:ascii="Times New Roman" w:hAnsi="Times New Roman" w:eastAsia="仿宋_GB2312" w:cs="Times New Roman"/>
                <w:b w:val="0"/>
                <w:bCs/>
                <w:color w:val="auto"/>
                <w:kern w:val="0"/>
                <w:sz w:val="24"/>
                <w:szCs w:val="24"/>
                <w:lang w:val="en-US" w:eastAsia="zh-CN" w:bidi="ar"/>
              </w:rPr>
              <w:t>。依托海罗河及中央商务绿轴、汇水廊道形成“两横两纵”的绿廊空间，铸就片区的生态基底，形成通山达水的开放空间格局，打造三大特色片区，打造海罗国际商务服务片区、国际人才居住片区、全龄友好型居住片区。</w:t>
            </w:r>
          </w:p>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1" w:firstLineChars="200"/>
              <w:jc w:val="both"/>
              <w:textAlignment w:val="auto"/>
              <w:rPr>
                <w:rFonts w:hint="default" w:ascii="Times New Roman" w:hAnsi="Times New Roman" w:eastAsia="仿宋_GB2312" w:cs="Times New Roman"/>
                <w:b/>
                <w:bCs w:val="0"/>
                <w:color w:val="auto"/>
                <w:kern w:val="0"/>
                <w:sz w:val="24"/>
                <w:szCs w:val="24"/>
                <w:lang w:val="en-US" w:eastAsia="zh-CN" w:bidi="ar"/>
              </w:rPr>
            </w:pPr>
            <w:r>
              <w:rPr>
                <w:rFonts w:hint="default" w:ascii="Times New Roman" w:hAnsi="Times New Roman" w:eastAsia="仿宋_GB2312" w:cs="Times New Roman"/>
                <w:b/>
                <w:bCs w:val="0"/>
                <w:color w:val="auto"/>
                <w:kern w:val="0"/>
                <w:sz w:val="24"/>
                <w:szCs w:val="24"/>
                <w:lang w:val="en-US" w:eastAsia="zh-CN" w:bidi="ar"/>
              </w:rPr>
              <w:t>2.临春片区城市更新项目</w:t>
            </w:r>
            <w:r>
              <w:rPr>
                <w:rFonts w:hint="default" w:ascii="Times New Roman" w:hAnsi="Times New Roman" w:eastAsia="仿宋_GB2312" w:cs="Times New Roman"/>
                <w:b w:val="0"/>
                <w:bCs/>
                <w:color w:val="auto"/>
                <w:kern w:val="0"/>
                <w:sz w:val="24"/>
                <w:szCs w:val="24"/>
                <w:lang w:val="en-US" w:eastAsia="zh-CN" w:bidi="ar"/>
              </w:rPr>
              <w:t>。打造生态化、高品质、特色型的产居融合发展示范样板。既是城市新发展阶段吸引高端人才的核心片区，又是由海向山全面发展趋势下的临山社区示范。</w:t>
            </w:r>
          </w:p>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1" w:firstLineChars="200"/>
              <w:jc w:val="both"/>
              <w:textAlignment w:val="auto"/>
              <w:rPr>
                <w:rFonts w:hint="default" w:ascii="Times New Roman" w:hAnsi="Times New Roman" w:eastAsia="仿宋_GB2312" w:cs="Times New Roman"/>
                <w:b/>
                <w:bCs w:val="0"/>
                <w:color w:val="auto"/>
                <w:kern w:val="0"/>
                <w:sz w:val="24"/>
                <w:szCs w:val="24"/>
                <w:lang w:val="en-US" w:eastAsia="zh-CN" w:bidi="ar"/>
              </w:rPr>
            </w:pPr>
            <w:r>
              <w:rPr>
                <w:rFonts w:hint="default" w:ascii="Times New Roman" w:hAnsi="Times New Roman" w:eastAsia="仿宋_GB2312" w:cs="Times New Roman"/>
                <w:b/>
                <w:bCs w:val="0"/>
                <w:color w:val="auto"/>
                <w:kern w:val="0"/>
                <w:sz w:val="24"/>
                <w:szCs w:val="24"/>
                <w:lang w:val="en-US" w:eastAsia="zh-CN" w:bidi="ar"/>
              </w:rPr>
              <w:t>3.月川片区城市更新项目。</w:t>
            </w:r>
            <w:r>
              <w:rPr>
                <w:rFonts w:hint="default" w:ascii="Times New Roman" w:hAnsi="Times New Roman" w:eastAsia="仿宋_GB2312" w:cs="Times New Roman"/>
                <w:b w:val="0"/>
                <w:bCs/>
                <w:color w:val="auto"/>
                <w:kern w:val="0"/>
                <w:sz w:val="24"/>
                <w:szCs w:val="24"/>
                <w:lang w:val="en-US" w:eastAsia="zh-CN" w:bidi="ar"/>
              </w:rPr>
              <w:t>建设活力型的商务区，集住宅、总部办公、酒店、商业购物、娱乐休闲、人才公寓为一体。各个功能紧密结合，紧凑布局，相互促进。功能业态以居住、商务、商业街区及社区配套为主，打造环境、品质良好的宜居区。</w:t>
            </w:r>
          </w:p>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1" w:firstLineChars="200"/>
              <w:jc w:val="both"/>
              <w:textAlignment w:val="auto"/>
              <w:rPr>
                <w:rFonts w:hint="default" w:ascii="Times New Roman" w:hAnsi="Times New Roman" w:eastAsia="仿宋_GB2312" w:cs="Times New Roman"/>
                <w:b/>
                <w:bCs w:val="0"/>
                <w:color w:val="auto"/>
                <w:kern w:val="0"/>
                <w:sz w:val="24"/>
                <w:szCs w:val="24"/>
                <w:lang w:val="en-US" w:eastAsia="zh-CN" w:bidi="ar"/>
              </w:rPr>
            </w:pPr>
            <w:r>
              <w:rPr>
                <w:rFonts w:hint="default" w:ascii="Times New Roman" w:hAnsi="Times New Roman" w:eastAsia="仿宋_GB2312" w:cs="Times New Roman"/>
                <w:b/>
                <w:bCs w:val="0"/>
                <w:color w:val="auto"/>
                <w:kern w:val="0"/>
                <w:sz w:val="24"/>
                <w:szCs w:val="24"/>
                <w:lang w:val="en-US" w:eastAsia="zh-CN" w:bidi="ar"/>
              </w:rPr>
              <w:t>4.榆红片区城市更新项目。</w:t>
            </w:r>
            <w:r>
              <w:rPr>
                <w:rFonts w:hint="default" w:ascii="Times New Roman" w:hAnsi="Times New Roman" w:eastAsia="仿宋_GB2312" w:cs="Times New Roman"/>
                <w:b w:val="0"/>
                <w:bCs/>
                <w:color w:val="auto"/>
                <w:kern w:val="0"/>
                <w:sz w:val="24"/>
                <w:szCs w:val="24"/>
                <w:lang w:val="en-US" w:eastAsia="zh-CN" w:bidi="ar"/>
              </w:rPr>
              <w:t>包括片区更新、微更新、配套基础设施建设以及公共基础配套设施建设。以医疗功能为核心，配套商业体验、健康旅游、居住休闲、社区服务四大功能。</w:t>
            </w:r>
          </w:p>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1" w:firstLineChars="200"/>
              <w:jc w:val="both"/>
              <w:textAlignment w:val="auto"/>
              <w:rPr>
                <w:rFonts w:hint="default" w:ascii="Times New Roman" w:hAnsi="Times New Roman" w:eastAsia="仿宋_GB2312" w:cs="Times New Roman"/>
                <w:b/>
                <w:bCs w:val="0"/>
                <w:color w:val="auto"/>
                <w:kern w:val="0"/>
                <w:sz w:val="24"/>
                <w:szCs w:val="24"/>
                <w:lang w:val="en-US" w:eastAsia="zh-CN" w:bidi="ar"/>
              </w:rPr>
            </w:pPr>
            <w:r>
              <w:rPr>
                <w:rFonts w:hint="default" w:ascii="Times New Roman" w:hAnsi="Times New Roman" w:eastAsia="仿宋_GB2312" w:cs="Times New Roman"/>
                <w:b/>
                <w:bCs w:val="0"/>
                <w:color w:val="auto"/>
                <w:kern w:val="0"/>
                <w:sz w:val="24"/>
                <w:szCs w:val="24"/>
                <w:lang w:val="en-US" w:eastAsia="zh-CN" w:bidi="ar"/>
              </w:rPr>
              <w:t>5.三亚湾新城（一期）城市更新项目。</w:t>
            </w:r>
            <w:r>
              <w:rPr>
                <w:rFonts w:hint="default" w:ascii="Times New Roman" w:hAnsi="Times New Roman" w:eastAsia="仿宋_GB2312" w:cs="Times New Roman"/>
                <w:b w:val="0"/>
                <w:bCs/>
                <w:color w:val="auto"/>
                <w:kern w:val="0"/>
                <w:sz w:val="24"/>
                <w:szCs w:val="24"/>
                <w:lang w:val="en-US" w:eastAsia="zh-CN" w:bidi="ar"/>
              </w:rPr>
              <w:t>定位为“三亚湾新城国际旅游社区”，是三亚市建设高品质城区与人居环境样板和实施“中优”战略和乡村振兴战略、建设国际旅游消费中心的重要支撑。依托桃源河与大型生态空间，植入文体设施、商业娱乐设施，打造三亚市高品质的滨水文体休闲生活区和高品质的旅游消费空间。</w:t>
            </w:r>
          </w:p>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1" w:firstLineChars="200"/>
              <w:jc w:val="both"/>
              <w:textAlignment w:val="auto"/>
              <w:rPr>
                <w:rFonts w:hint="default" w:ascii="Times New Roman" w:hAnsi="Times New Roman" w:eastAsia="仿宋_GB2312" w:cs="Times New Roman"/>
                <w:b/>
                <w:bCs w:val="0"/>
                <w:color w:val="auto"/>
                <w:kern w:val="0"/>
                <w:sz w:val="24"/>
                <w:szCs w:val="24"/>
                <w:lang w:val="en-US" w:eastAsia="zh-CN" w:bidi="ar"/>
              </w:rPr>
            </w:pPr>
            <w:r>
              <w:rPr>
                <w:rFonts w:hint="default" w:ascii="Times New Roman" w:hAnsi="Times New Roman" w:eastAsia="仿宋_GB2312" w:cs="Times New Roman"/>
                <w:b/>
                <w:bCs w:val="0"/>
                <w:color w:val="auto"/>
                <w:kern w:val="0"/>
                <w:sz w:val="24"/>
                <w:szCs w:val="24"/>
                <w:lang w:val="en-US" w:eastAsia="zh-CN" w:bidi="ar"/>
              </w:rPr>
              <w:t>6.</w:t>
            </w:r>
            <w:r>
              <w:rPr>
                <w:rFonts w:hint="default" w:ascii="Times New Roman" w:hAnsi="Times New Roman" w:eastAsia="仿宋_GB2312" w:cs="Times New Roman"/>
                <w:b/>
                <w:bCs w:val="0"/>
                <w:color w:val="auto"/>
                <w:kern w:val="0"/>
                <w:sz w:val="24"/>
                <w:szCs w:val="24"/>
                <w:highlight w:val="none"/>
                <w:lang w:val="en-US" w:eastAsia="zh-CN" w:bidi="ar"/>
              </w:rPr>
              <w:t>海润悦府城市更新项目</w:t>
            </w:r>
            <w:r>
              <w:rPr>
                <w:rFonts w:hint="default" w:ascii="Times New Roman" w:hAnsi="Times New Roman" w:eastAsia="仿宋_GB2312" w:cs="Times New Roman"/>
                <w:b w:val="0"/>
                <w:bCs/>
                <w:color w:val="auto"/>
                <w:kern w:val="0"/>
                <w:sz w:val="24"/>
                <w:szCs w:val="24"/>
                <w:highlight w:val="none"/>
                <w:lang w:val="en-US" w:eastAsia="zh-CN" w:bidi="ar"/>
              </w:rPr>
              <w:t>。</w:t>
            </w:r>
            <w:r>
              <w:rPr>
                <w:rFonts w:hint="default" w:ascii="Times New Roman" w:hAnsi="Times New Roman" w:eastAsia="仿宋_GB2312" w:cs="Times New Roman"/>
                <w:b w:val="0"/>
                <w:bCs/>
                <w:color w:val="auto"/>
                <w:kern w:val="0"/>
                <w:sz w:val="24"/>
                <w:szCs w:val="24"/>
                <w:lang w:val="en-US" w:eastAsia="zh-CN" w:bidi="ar"/>
              </w:rPr>
              <w:t>将三亚站区域建设为高教职教、站前商业服务及宜居生活社区。通过城市更新为航空旅游职业学院的扩建和站前一体化开发预留空间，三亚站区域作为“清凉城市”试点片区，综合利用绿植、城市有盖空间、科学建筑形态和布局等手段，改善站前室外区域的热舒适度，形成清凉体验。</w:t>
            </w:r>
          </w:p>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1" w:firstLineChars="200"/>
              <w:jc w:val="both"/>
              <w:textAlignment w:val="auto"/>
              <w:rPr>
                <w:rFonts w:hint="default" w:ascii="Times New Roman" w:hAnsi="Times New Roman" w:eastAsia="仿宋_GB2312" w:cs="Times New Roman"/>
                <w:b w:val="0"/>
                <w:bCs/>
                <w:color w:val="auto"/>
                <w:kern w:val="0"/>
                <w:sz w:val="24"/>
                <w:szCs w:val="24"/>
              </w:rPr>
            </w:pPr>
            <w:r>
              <w:rPr>
                <w:rFonts w:hint="default" w:ascii="Times New Roman" w:hAnsi="Times New Roman" w:eastAsia="仿宋_GB2312" w:cs="Times New Roman"/>
                <w:b/>
                <w:bCs w:val="0"/>
                <w:color w:val="auto"/>
                <w:kern w:val="0"/>
                <w:sz w:val="24"/>
                <w:szCs w:val="24"/>
                <w:lang w:val="en-US" w:eastAsia="zh-CN" w:bidi="ar"/>
              </w:rPr>
              <w:t>7.南丁中城市更新项目</w:t>
            </w:r>
            <w:r>
              <w:rPr>
                <w:rFonts w:hint="default" w:ascii="Times New Roman" w:hAnsi="Times New Roman" w:eastAsia="仿宋_GB2312" w:cs="Times New Roman"/>
                <w:b w:val="0"/>
                <w:bCs/>
                <w:color w:val="auto"/>
                <w:kern w:val="0"/>
                <w:sz w:val="24"/>
                <w:szCs w:val="24"/>
                <w:lang w:val="en-US" w:eastAsia="zh-CN" w:bidi="ar"/>
              </w:rPr>
              <w:t>。结合南丁区域发展情况，推动片区更新、微更新、配套基础设施建设以及公共基础配套设施建设，实现“三生合一”的协同发展，打造集山水休闲生活、多元综合服务等功能于一体的友好邻里中心。</w:t>
            </w:r>
          </w:p>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1" w:firstLineChars="200"/>
              <w:jc w:val="both"/>
              <w:textAlignment w:val="auto"/>
              <w:rPr>
                <w:rFonts w:hint="default" w:ascii="Times New Roman" w:hAnsi="Times New Roman" w:eastAsia="仿宋_GB2312" w:cs="Times New Roman"/>
                <w:b w:val="0"/>
                <w:bCs/>
                <w:color w:val="auto"/>
                <w:kern w:val="0"/>
                <w:sz w:val="24"/>
                <w:szCs w:val="24"/>
                <w:lang w:val="en-US" w:eastAsia="zh-CN" w:bidi="ar"/>
              </w:rPr>
            </w:pPr>
            <w:r>
              <w:rPr>
                <w:rFonts w:hint="default" w:ascii="Times New Roman" w:hAnsi="Times New Roman" w:eastAsia="仿宋_GB2312" w:cs="Times New Roman"/>
                <w:b/>
                <w:bCs w:val="0"/>
                <w:color w:val="auto"/>
                <w:kern w:val="0"/>
                <w:sz w:val="24"/>
                <w:szCs w:val="24"/>
                <w:lang w:val="en-US" w:eastAsia="zh-CN" w:bidi="ar"/>
              </w:rPr>
              <w:t>8.卓越新城城市更新项目</w:t>
            </w:r>
            <w:r>
              <w:rPr>
                <w:rFonts w:hint="default" w:ascii="Times New Roman" w:hAnsi="Times New Roman" w:eastAsia="仿宋_GB2312" w:cs="Times New Roman"/>
                <w:b w:val="0"/>
                <w:bCs/>
                <w:color w:val="auto"/>
                <w:kern w:val="0"/>
                <w:sz w:val="24"/>
                <w:szCs w:val="24"/>
                <w:lang w:val="en-US" w:eastAsia="zh-CN" w:bidi="ar"/>
              </w:rPr>
              <w:t>。通过提高土地利用效率，优化城市空间结构，需要在保证城市功能需求的前提下，合理的土地配置和空间布局，提高土地利用效率，促进可持续发展。保留第三农贸市场城市记忆，打造集住宅、商业、精品写字楼和高端酒店为一体的多功能综合体。</w:t>
            </w:r>
          </w:p>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1" w:firstLineChars="200"/>
              <w:jc w:val="both"/>
              <w:textAlignment w:val="auto"/>
              <w:rPr>
                <w:rFonts w:hint="default" w:ascii="Times New Roman" w:hAnsi="Times New Roman" w:eastAsia="仿宋_GB2312" w:cs="Times New Roman"/>
                <w:b w:val="0"/>
                <w:bCs/>
                <w:color w:val="auto"/>
                <w:kern w:val="0"/>
                <w:sz w:val="24"/>
                <w:szCs w:val="24"/>
                <w:lang w:val="en-US" w:eastAsia="zh-CN" w:bidi="ar"/>
              </w:rPr>
            </w:pPr>
            <w:r>
              <w:rPr>
                <w:rFonts w:hint="default" w:ascii="Times New Roman" w:hAnsi="Times New Roman" w:eastAsia="仿宋_GB2312" w:cs="Times New Roman"/>
                <w:b/>
                <w:bCs w:val="0"/>
                <w:color w:val="auto"/>
                <w:kern w:val="0"/>
                <w:sz w:val="24"/>
                <w:szCs w:val="24"/>
                <w:lang w:eastAsia="zh-CN" w:bidi="ar"/>
              </w:rPr>
              <w:t>9</w:t>
            </w:r>
            <w:r>
              <w:rPr>
                <w:rFonts w:hint="default" w:ascii="Times New Roman" w:hAnsi="Times New Roman" w:eastAsia="仿宋_GB2312" w:cs="Times New Roman"/>
                <w:b/>
                <w:bCs w:val="0"/>
                <w:color w:val="auto"/>
                <w:kern w:val="0"/>
                <w:sz w:val="24"/>
                <w:szCs w:val="24"/>
                <w:lang w:val="en-US" w:eastAsia="zh-CN" w:bidi="ar"/>
              </w:rPr>
              <w:t>.光明新城城市更新项目</w:t>
            </w:r>
            <w:r>
              <w:rPr>
                <w:rFonts w:hint="default" w:ascii="Times New Roman" w:hAnsi="Times New Roman" w:eastAsia="仿宋_GB2312" w:cs="Times New Roman"/>
                <w:b w:val="0"/>
                <w:bCs/>
                <w:color w:val="auto"/>
                <w:kern w:val="0"/>
                <w:sz w:val="24"/>
                <w:szCs w:val="24"/>
                <w:lang w:val="en-US" w:eastAsia="zh-CN" w:bidi="ar"/>
              </w:rPr>
              <w:t>。通过项目开发和土地整合，优化三亚城市功能结构，通过片区综合更新、微更新、配套基础设施建设以及公共基础配套设施建设，完善项目范围内的市政基础设施和公共服务设施，消除相应安全隐患，改善社区内建筑风貌，补足河西公共服务设施短板、消费服务短板，提升购物中心、零售商业、餐饮设施等服务能级，打造兼具居住功能与商业功能的现代化片区。</w:t>
            </w:r>
          </w:p>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1" w:firstLineChars="200"/>
              <w:jc w:val="both"/>
              <w:textAlignment w:val="auto"/>
              <w:rPr>
                <w:rFonts w:hint="default" w:ascii="Times New Roman" w:hAnsi="Times New Roman" w:eastAsia="仿宋_GB2312" w:cs="Times New Roman"/>
                <w:b w:val="0"/>
                <w:bCs/>
                <w:color w:val="auto"/>
                <w:kern w:val="0"/>
                <w:sz w:val="24"/>
                <w:szCs w:val="24"/>
                <w:lang w:val="en-US" w:eastAsia="zh-CN" w:bidi="ar"/>
              </w:rPr>
            </w:pPr>
            <w:r>
              <w:rPr>
                <w:rFonts w:hint="default" w:ascii="Times New Roman" w:hAnsi="Times New Roman" w:eastAsia="仿宋_GB2312" w:cs="Times New Roman"/>
                <w:b/>
                <w:bCs w:val="0"/>
                <w:color w:val="auto"/>
                <w:kern w:val="0"/>
                <w:sz w:val="24"/>
                <w:szCs w:val="24"/>
                <w:lang w:val="en-US" w:eastAsia="zh-CN" w:bidi="ar"/>
              </w:rPr>
              <w:t>10.南滨场部片区城市更新项目。</w:t>
            </w:r>
            <w:r>
              <w:rPr>
                <w:rFonts w:hint="default" w:ascii="Times New Roman" w:hAnsi="Times New Roman" w:eastAsia="仿宋_GB2312" w:cs="Times New Roman"/>
                <w:b w:val="0"/>
                <w:bCs/>
                <w:color w:val="auto"/>
                <w:kern w:val="0"/>
                <w:sz w:val="24"/>
                <w:szCs w:val="24"/>
                <w:lang w:val="en-US" w:eastAsia="zh-CN" w:bidi="ar"/>
              </w:rPr>
              <w:t>包括综合更新、微更新、配套基础设施建设以及公共基础配套设施建设。以导入产业提质升级为更新方向，推进垦地融合发展，改善南滨场部人居环境，将该片区建设为城镇便捷生活服务区、南繁科研生产服务保障区。</w:t>
            </w:r>
          </w:p>
        </w:tc>
      </w:tr>
      <w:bookmarkEnd w:id="308"/>
    </w:tbl>
    <w:p>
      <w:pPr>
        <w:spacing w:line="560" w:lineRule="exact"/>
        <w:ind w:firstLine="642" w:firstLineChars="200"/>
        <w:rPr>
          <w:rFonts w:hint="default" w:ascii="Times New Roman" w:hAnsi="Times New Roman" w:eastAsia="仿宋_GB2312" w:cs="Times New Roman"/>
          <w:bCs/>
          <w:color w:val="auto"/>
          <w:sz w:val="32"/>
          <w:szCs w:val="32"/>
        </w:rPr>
      </w:pPr>
      <w:bookmarkStart w:id="311" w:name="_Toc252"/>
      <w:r>
        <w:rPr>
          <w:rFonts w:hint="default" w:ascii="Times New Roman" w:hAnsi="Times New Roman" w:eastAsia="仿宋_GB2312" w:cs="Times New Roman"/>
          <w:b/>
          <w:bCs/>
          <w:color w:val="auto"/>
          <w:kern w:val="0"/>
          <w:sz w:val="32"/>
          <w:szCs w:val="32"/>
          <w:lang w:bidi="ar"/>
        </w:rPr>
        <w:t>强化城市设计管控</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bCs/>
          <w:color w:val="auto"/>
          <w:sz w:val="32"/>
          <w:szCs w:val="32"/>
        </w:rPr>
        <w:t>优化城区高度形态结构，凸显山、海、河、城、岸、岛汇聚交融城市特色，塑造具有代表性的城市天际轮廓线，营造“显山露水”标志性景观。明确三亚地标建筑及门户空间管控要求，建设国际标准精品空间。按照全市海滨度假、本土风情、田园小镇、都市风尚四大特色风貌分区，从城市色彩、建筑风格、夜景照明等方面加强对分区单元的风貌指引，体现热带风情多元交融的城市风貌特色，并在重点片区谋划开展精细化城市设计工作。重点打造“海螺岭-抱坡岭”“鹿回头-海月广场”“新风路-临春岭”等城市级观景廊道；</w:t>
      </w:r>
      <w:r>
        <w:rPr>
          <w:rFonts w:hint="default" w:ascii="Times New Roman" w:hAnsi="Times New Roman" w:eastAsia="仿宋_GB2312" w:cs="Times New Roman"/>
          <w:bCs/>
          <w:i w:val="0"/>
          <w:iCs w:val="0"/>
          <w:caps w:val="0"/>
          <w:color w:val="auto"/>
          <w:spacing w:val="0"/>
          <w:sz w:val="32"/>
          <w:szCs w:val="32"/>
          <w:shd w:val="clear" w:fill="auto"/>
        </w:rPr>
        <w:t>推进三亚湾、大东海等湾区风貌提质升级，加强飞机航线俯瞰区域风貌管控，提升城市整体形象。</w:t>
      </w:r>
      <w:r>
        <w:rPr>
          <w:rFonts w:hint="default" w:ascii="Times New Roman" w:hAnsi="Times New Roman" w:eastAsia="仿宋_GB2312" w:cs="Times New Roman"/>
          <w:color w:val="auto"/>
          <w:sz w:val="32"/>
          <w:szCs w:val="32"/>
        </w:rPr>
        <w:t xml:space="preserve"> </w:t>
      </w:r>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highlight w:val="none"/>
          <w:lang w:bidi="ar"/>
        </w:rPr>
        <w:t>推动城市绿色高品质发展</w:t>
      </w:r>
      <w:r>
        <w:rPr>
          <w:rFonts w:hint="default" w:ascii="Times New Roman" w:hAnsi="Times New Roman" w:eastAsia="仿宋_GB2312" w:cs="Times New Roman"/>
          <w:b w:val="0"/>
          <w:bCs w:val="0"/>
          <w:color w:val="auto"/>
          <w:kern w:val="0"/>
          <w:sz w:val="32"/>
          <w:szCs w:val="32"/>
          <w:highlight w:val="none"/>
          <w:lang w:bidi="ar"/>
        </w:rPr>
        <w:t>。统筹北部山区、南部海岸、主要河流、城市公园等冷源降温要素，整体优化“清凉城市”生态格局。完善“三亚绿道”体系建设，增强慢行交通、公交站、旅游集散点等城市公共设施和公共区域遮阳、通风、增绿功能，在主要交通干道和旅游区打造绿色风雨连廊系统，推进临春岭公园至名花公园下穿通道、三亚山海栈道等绿道建设项目，建设“三亚绿道”约231公里。对椰梦长廊、城市公园等公园进行品质升级，新建三亚中央公园等一批城市公园，加快山体公园建设。通过腾退还绿、留白增绿、见缝插绿等城市更新手段，增加小微绿地、口袋公园等公园绿地，提高全市公园绿地服务覆盖范围。加快推进海湾生态修复和绿道连通工程，实现城区内“两河四岸”滨水区域绿道的全线贯通。建设绿道保障服务设施，配套建设各级驿站，提升绿道的服务支撑能力和安全保障能力。</w:t>
      </w:r>
      <w:bookmarkEnd w:id="311"/>
    </w:p>
    <w:p>
      <w:pPr>
        <w:pStyle w:val="5"/>
        <w:keepNext w:val="0"/>
        <w:keepLines w:val="0"/>
        <w:spacing w:line="560" w:lineRule="exact"/>
        <w:jc w:val="center"/>
        <w:rPr>
          <w:rFonts w:hint="default" w:ascii="Times New Roman" w:hAnsi="Times New Roman" w:eastAsia="楷体_GB2312" w:cs="Times New Roman"/>
          <w:b w:val="0"/>
          <w:color w:val="auto"/>
        </w:rPr>
      </w:pPr>
      <w:bookmarkStart w:id="312" w:name="_Toc2128968557"/>
      <w:bookmarkStart w:id="313" w:name="_Toc2100931280"/>
      <w:bookmarkStart w:id="314" w:name="_Toc1481926581"/>
      <w:r>
        <w:rPr>
          <w:rFonts w:hint="default" w:ascii="Times New Roman" w:hAnsi="Times New Roman" w:eastAsia="楷体_GB2312" w:cs="Times New Roman"/>
          <w:b w:val="0"/>
          <w:color w:val="auto"/>
        </w:rPr>
        <w:t>第四节  支撑乡村全面振兴</w:t>
      </w:r>
      <w:bookmarkEnd w:id="312"/>
      <w:bookmarkEnd w:id="313"/>
      <w:bookmarkEnd w:id="314"/>
    </w:p>
    <w:p>
      <w:pPr>
        <w:widowControl/>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推动乡村全面振兴</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统筹推进农业生产、乡村产业发展、基础设施、公共服务、生态环境保护等优化布局，合理引导村庄建设用地向村庄建设边界内集中布局，优化乡村公共服务设施、基础配套设施、乡村产业、农村居民点用地空间布局。以“和美乡村”建设为抓手，发掘乡村地域资源资产优势，有条件的因地制宜开展乡村空间设计，改善乡村人居环境，保护历史文化名村和传统村落格局，塑造和美乡村特色风貌，持续巩固拓展脱贫攻坚成果。做好崖城、保平村等历史文化名镇名村遗存保护与建设发展，传承黎族文化、苗族文化等少数民族文化基因。</w:t>
      </w:r>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夯实乡村振兴要素保障基础</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强化乡村资源保障，稳固农业空间，夯实乡村发展根基。发展林下经济用地，推动南繁育种、热带高效农业提质升级。盘活利用农村空置宅基地、闲置农房等低效资源，打造乡村民宿示范。大力培育“农业+文旅+研学”多元融合新业态，延伸乡村产业链条、提升产业附加值，推动乡村产业由传统种养模式向高附加值的复合型产业体系转型升级。</w:t>
      </w:r>
      <w:r>
        <w:rPr>
          <w:rFonts w:hint="default" w:ascii="Times New Roman" w:hAnsi="Times New Roman" w:eastAsia="仿宋_GB2312" w:cs="Times New Roman"/>
          <w:i w:val="0"/>
          <w:iCs w:val="0"/>
          <w:caps w:val="0"/>
          <w:color w:val="auto"/>
          <w:spacing w:val="0"/>
          <w:kern w:val="0"/>
          <w:sz w:val="32"/>
          <w:szCs w:val="32"/>
          <w:lang w:bidi="ar"/>
        </w:rPr>
        <w:t>探索开发热带果园观光等农旅融合项目，培育乡村消费新热点。</w:t>
      </w:r>
      <w:r>
        <w:rPr>
          <w:rFonts w:hint="default" w:ascii="Times New Roman" w:hAnsi="Times New Roman" w:eastAsia="仿宋_GB2312" w:cs="Times New Roman"/>
          <w:color w:val="auto"/>
          <w:kern w:val="0"/>
          <w:sz w:val="32"/>
          <w:szCs w:val="32"/>
          <w:lang w:bidi="ar"/>
        </w:rPr>
        <w:t>结合乡村振兴产业发展趋势</w:t>
      </w:r>
      <w:r>
        <w:rPr>
          <w:rFonts w:hint="default" w:ascii="Times New Roman" w:hAnsi="Times New Roman" w:eastAsia="仿宋_GB2312" w:cs="Times New Roman"/>
          <w:color w:val="auto"/>
          <w:sz w:val="32"/>
          <w:szCs w:val="32"/>
        </w:rPr>
        <w:t>，持续做好农村一二三产业融合发展项目用地的自然资源要素保障工作。</w:t>
      </w:r>
      <w:r>
        <w:rPr>
          <w:rFonts w:hint="default" w:ascii="Times New Roman" w:hAnsi="Times New Roman" w:eastAsia="仿宋_GB2312" w:cs="Times New Roman"/>
          <w:bCs/>
          <w:color w:val="auto"/>
          <w:sz w:val="32"/>
          <w:szCs w:val="32"/>
        </w:rPr>
        <w:t>统筹安排产业用地等经营性用地布局。</w:t>
      </w:r>
      <w:r>
        <w:rPr>
          <w:rFonts w:hint="default" w:ascii="Times New Roman" w:hAnsi="Times New Roman" w:eastAsia="仿宋_GB2312" w:cs="Times New Roman"/>
          <w:color w:val="auto"/>
          <w:kern w:val="0"/>
          <w:sz w:val="32"/>
          <w:szCs w:val="32"/>
          <w:lang w:bidi="ar"/>
        </w:rPr>
        <w:t>探索设施农用地和地上建构筑物纳入不动产登记。深化“只征不转”“不征不转”政策，保障农业灾害监测站点等项目用地需求。</w:t>
      </w:r>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优化乡村人居环境与发展机制</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打造生态宜居乡村，增设农村垃圾处理站，整治乡村河道，完善乡村绿地、休闲广场等设施，提升村民生活品质。挖掘乡村风貌和历史肌理，引导村庄居民用好农房建筑设计图集，不断提升村庄整体风貌。加大古村落、古民居修葺整治，挖掘传承乡村文化基因。健全乡村发展保障机制，助推城乡要素双向流动，培育乡村振兴人才。</w:t>
      </w:r>
    </w:p>
    <w:p>
      <w:pPr>
        <w:spacing w:line="560" w:lineRule="exact"/>
        <w:ind w:firstLine="642" w:firstLineChars="200"/>
        <w:rPr>
          <w:rFonts w:hint="default" w:ascii="Times New Roman" w:hAnsi="Times New Roman" w:eastAsia="仿宋_GB2312" w:cs="Times New Roman"/>
          <w:b/>
          <w:bCs/>
          <w:color w:val="auto"/>
          <w:kern w:val="0"/>
          <w:sz w:val="32"/>
          <w:szCs w:val="32"/>
          <w:lang w:bidi="ar"/>
        </w:rPr>
      </w:pPr>
      <w:r>
        <w:rPr>
          <w:rFonts w:hint="default" w:ascii="Times New Roman" w:hAnsi="Times New Roman" w:eastAsia="仿宋_GB2312" w:cs="Times New Roman"/>
          <w:b/>
          <w:bCs/>
          <w:color w:val="auto"/>
          <w:kern w:val="0"/>
          <w:sz w:val="32"/>
          <w:szCs w:val="32"/>
          <w:lang w:bidi="ar"/>
        </w:rPr>
        <w:t>落实农村土地制度改革</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拓展第二轮土地承包到期后再延长30年国家试点范围，做好土地承包合同管理与不动产登记有序衔接。推进农村地区建设用地整理和土地复垦，规范农村土地经营权流转，稳妥有序推进农村集体经营性建设用地入市改革。持续推进土地征收制度深化改革，细化公益性征地范围，规范征地流程，更新征地补偿标准，保障农民合法权益。加强宅基地规范管理，探索农户合法拥有的住房通过出租、入股、合作等方式盘活利用路径。严格落实城镇居民不允许到农村购买农房、宅基地，退休干部不允许到农村占地建房等政策要求。管好用好农村资源资产，规范农村产权流转交易。完成农村集体“三资”清查核实，配合出台加强农村集体“三资”管理意见。</w:t>
      </w:r>
    </w:p>
    <w:p>
      <w:pPr>
        <w:widowControl/>
        <w:spacing w:line="560" w:lineRule="exact"/>
        <w:ind w:firstLine="642"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kern w:val="0"/>
          <w:sz w:val="32"/>
          <w:szCs w:val="32"/>
          <w:lang w:bidi="ar"/>
        </w:rPr>
        <w:t>实施全域土地综合整治</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sz w:val="32"/>
          <w:szCs w:val="32"/>
        </w:rPr>
        <w:t>学习运用“千万工程”经验，以全域规划、整体设计、综合治理、多措并举为原则，有序推进全域土地综合整治试点工作，将</w:t>
      </w:r>
      <w:r>
        <w:rPr>
          <w:rFonts w:hint="default" w:ascii="Times New Roman" w:hAnsi="Times New Roman" w:eastAsia="仿宋_GB2312" w:cs="Times New Roman"/>
          <w:i w:val="0"/>
          <w:iCs w:val="0"/>
          <w:caps w:val="0"/>
          <w:color w:val="auto"/>
          <w:spacing w:val="0"/>
          <w:sz w:val="32"/>
          <w:szCs w:val="32"/>
          <w:shd w:val="clear" w:fill="auto"/>
        </w:rPr>
        <w:t>崖州区作为全域综合整治示范，重点推进南繁科研育种保护区耕地集中连片整治</w:t>
      </w:r>
      <w:r>
        <w:rPr>
          <w:rFonts w:hint="default" w:ascii="Times New Roman" w:hAnsi="Times New Roman" w:eastAsia="仿宋_GB2312" w:cs="Times New Roman"/>
          <w:i w:val="0"/>
          <w:iCs w:val="0"/>
          <w:caps w:val="0"/>
          <w:color w:val="auto"/>
          <w:spacing w:val="0"/>
          <w:sz w:val="32"/>
          <w:szCs w:val="32"/>
          <w:shd w:val="clear"/>
        </w:rPr>
        <w:t>。</w:t>
      </w:r>
      <w:r>
        <w:rPr>
          <w:rFonts w:hint="default" w:ascii="Times New Roman" w:hAnsi="Times New Roman" w:eastAsia="仿宋_GB2312" w:cs="Times New Roman"/>
          <w:color w:val="auto"/>
          <w:sz w:val="32"/>
          <w:szCs w:val="32"/>
        </w:rPr>
        <w:t>总结推广区域典型整治模式，以点带面、示范引领推动</w:t>
      </w:r>
      <w:r>
        <w:rPr>
          <w:rFonts w:hint="default" w:ascii="Times New Roman" w:hAnsi="Times New Roman" w:eastAsia="仿宋_GB2312" w:cs="Times New Roman"/>
          <w:color w:val="auto"/>
          <w:sz w:val="32"/>
          <w:szCs w:val="32"/>
          <w:lang w:bidi="ar"/>
        </w:rPr>
        <w:t>全域土地综合整治常态化开展。</w:t>
      </w:r>
      <w:r>
        <w:rPr>
          <w:rFonts w:hint="default" w:ascii="Times New Roman" w:hAnsi="Times New Roman" w:eastAsia="仿宋_GB2312" w:cs="Times New Roman"/>
          <w:color w:val="auto"/>
          <w:sz w:val="32"/>
          <w:szCs w:val="32"/>
        </w:rPr>
        <w:t>综合运用垦地融合、城乡建设用地增减挂钩、集体经营性建设用地入市等政策工具箱，统筹推进农用地综合整治、村庄建设用地整理、乡村生态保护修复和历史文化保护，</w:t>
      </w:r>
      <w:r>
        <w:rPr>
          <w:rFonts w:hint="default" w:ascii="Times New Roman" w:hAnsi="Times New Roman" w:eastAsia="仿宋_GB2312" w:cs="Times New Roman"/>
          <w:color w:val="auto"/>
          <w:sz w:val="32"/>
          <w:szCs w:val="32"/>
          <w:lang w:bidi="ar"/>
        </w:rPr>
        <w:t>优化乡村生产、生活、生态空间布局，</w:t>
      </w:r>
      <w:r>
        <w:rPr>
          <w:rFonts w:hint="default" w:ascii="Times New Roman" w:hAnsi="Times New Roman" w:eastAsia="仿宋_GB2312" w:cs="Times New Roman"/>
          <w:color w:val="auto"/>
          <w:sz w:val="32"/>
          <w:szCs w:val="32"/>
        </w:rPr>
        <w:t>保障城镇开发边界外建设项目用地指标需求，促进海南自贸港产业潜能向乡村释放，促进城乡融合发展。</w:t>
      </w:r>
    </w:p>
    <w:p>
      <w:pPr>
        <w:widowControl/>
        <w:spacing w:line="560" w:lineRule="exact"/>
        <w:ind w:firstLine="640" w:firstLineChars="200"/>
        <w:jc w:val="left"/>
        <w:rPr>
          <w:rFonts w:hint="default" w:ascii="Times New Roman" w:hAnsi="Times New Roman" w:eastAsia="仿宋_GB2312" w:cs="Times New Roman"/>
          <w:color w:val="auto"/>
          <w:sz w:val="32"/>
          <w:szCs w:val="32"/>
        </w:rPr>
      </w:pPr>
    </w:p>
    <w:p>
      <w:pPr>
        <w:pStyle w:val="4"/>
        <w:keepNext w:val="0"/>
        <w:keepLines w:val="0"/>
        <w:spacing w:line="560" w:lineRule="exact"/>
        <w:rPr>
          <w:rFonts w:hint="default" w:ascii="Times New Roman" w:hAnsi="Times New Roman" w:cs="Times New Roman"/>
          <w:color w:val="auto"/>
          <w:szCs w:val="32"/>
        </w:rPr>
      </w:pPr>
      <w:bookmarkStart w:id="315" w:name="_Toc455297596"/>
      <w:bookmarkStart w:id="316" w:name="_Toc1536117099"/>
      <w:r>
        <w:rPr>
          <w:rFonts w:hint="default" w:ascii="Times New Roman" w:hAnsi="Times New Roman" w:cs="Times New Roman"/>
          <w:color w:val="auto"/>
          <w:szCs w:val="32"/>
        </w:rPr>
        <w:t>第四章 落实最严格的耕地保护制度</w:t>
      </w:r>
      <w:bookmarkEnd w:id="297"/>
      <w:bookmarkEnd w:id="315"/>
      <w:bookmarkEnd w:id="316"/>
    </w:p>
    <w:p>
      <w:pPr>
        <w:spacing w:line="560" w:lineRule="exact"/>
        <w:rPr>
          <w:rFonts w:hint="default" w:ascii="Times New Roman" w:hAnsi="Times New Roman" w:eastAsia="楷体" w:cs="Times New Roman"/>
          <w:b/>
          <w:color w:val="auto"/>
        </w:rPr>
      </w:pPr>
    </w:p>
    <w:p>
      <w:pPr>
        <w:pStyle w:val="5"/>
        <w:keepNext w:val="0"/>
        <w:keepLines w:val="0"/>
        <w:spacing w:line="560" w:lineRule="exact"/>
        <w:jc w:val="center"/>
        <w:rPr>
          <w:rFonts w:hint="default" w:ascii="Times New Roman" w:hAnsi="Times New Roman" w:eastAsia="楷体_GB2312" w:cs="Times New Roman"/>
          <w:b w:val="0"/>
          <w:color w:val="auto"/>
        </w:rPr>
      </w:pPr>
      <w:bookmarkStart w:id="317" w:name="_Toc673347772"/>
      <w:bookmarkStart w:id="318" w:name="_Toc275659091"/>
      <w:bookmarkStart w:id="319" w:name="_Toc1468460831"/>
      <w:r>
        <w:rPr>
          <w:rFonts w:hint="default" w:ascii="Times New Roman" w:hAnsi="Times New Roman" w:eastAsia="楷体_GB2312" w:cs="Times New Roman"/>
          <w:b w:val="0"/>
          <w:color w:val="auto"/>
        </w:rPr>
        <w:t>第一节  严守耕地和永久基本农田保护红线</w:t>
      </w:r>
      <w:bookmarkEnd w:id="317"/>
      <w:bookmarkEnd w:id="318"/>
      <w:bookmarkEnd w:id="319"/>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严守耕地保护红线</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以稳步提升耕地数量为核心，强化耕地数量刚性管控，有效遏制耕地流失。严格落实耕地保护党政同责，将耕地保有量目标逐级分解压</w:t>
      </w:r>
      <w:r>
        <w:rPr>
          <w:rFonts w:hint="default" w:ascii="Times New Roman" w:hAnsi="Times New Roman" w:eastAsia="仿宋_GB2312" w:cs="Times New Roman"/>
          <w:color w:val="auto"/>
          <w:kern w:val="0"/>
          <w:sz w:val="32"/>
          <w:szCs w:val="32"/>
          <w:highlight w:val="none"/>
          <w:lang w:bidi="ar"/>
        </w:rPr>
        <w:t>实，确保到2030年耕地保有量不低于22.98万亩。</w:t>
      </w:r>
      <w:r>
        <w:rPr>
          <w:rFonts w:hint="default" w:ascii="Times New Roman" w:hAnsi="Times New Roman" w:eastAsia="仿宋_GB2312" w:cs="Times New Roman"/>
          <w:color w:val="auto"/>
          <w:kern w:val="0"/>
          <w:sz w:val="32"/>
          <w:szCs w:val="32"/>
          <w:lang w:bidi="ar"/>
        </w:rPr>
        <w:t>严格落实耕地占补平衡制度，强化补充耕地项目选址、立项、实施、验收、管护全链条管理，</w:t>
      </w:r>
      <w:r>
        <w:rPr>
          <w:rFonts w:hint="default" w:ascii="Times New Roman" w:hAnsi="Times New Roman" w:eastAsia="仿宋_GB2312" w:cs="Times New Roman"/>
          <w:i w:val="0"/>
          <w:iCs w:val="0"/>
          <w:caps w:val="0"/>
          <w:color w:val="auto"/>
          <w:spacing w:val="0"/>
          <w:kern w:val="0"/>
          <w:sz w:val="32"/>
          <w:szCs w:val="32"/>
          <w:shd w:val="clear" w:fill="auto"/>
          <w:lang w:bidi="ar"/>
        </w:rPr>
        <w:t>坚持“恢复优质耕地为主、新开垦耕地为辅”原则，选址优先考虑永久基本农田集中区，</w:t>
      </w:r>
      <w:r>
        <w:rPr>
          <w:rFonts w:hint="default" w:ascii="Times New Roman" w:hAnsi="Times New Roman" w:eastAsia="仿宋_GB2312" w:cs="Times New Roman"/>
          <w:i w:val="0"/>
          <w:iCs w:val="0"/>
          <w:caps w:val="0"/>
          <w:color w:val="auto"/>
          <w:spacing w:val="0"/>
          <w:kern w:val="0"/>
          <w:sz w:val="32"/>
          <w:szCs w:val="32"/>
          <w:shd w:val="clear" w:fill="auto"/>
          <w:lang w:eastAsia="zh-CN" w:bidi="ar"/>
        </w:rPr>
        <w:t>优先选取</w:t>
      </w:r>
      <w:r>
        <w:rPr>
          <w:rFonts w:hint="default" w:ascii="Times New Roman" w:hAnsi="Times New Roman" w:eastAsia="仿宋_GB2312" w:cs="Times New Roman"/>
          <w:i w:val="0"/>
          <w:iCs w:val="0"/>
          <w:caps w:val="0"/>
          <w:color w:val="auto"/>
          <w:spacing w:val="0"/>
          <w:kern w:val="0"/>
          <w:sz w:val="32"/>
          <w:szCs w:val="32"/>
          <w:shd w:val="clear" w:fill="auto"/>
          <w:lang w:bidi="ar"/>
        </w:rPr>
        <w:t>禀赋良好、集中连片、质量等级较高</w:t>
      </w:r>
      <w:r>
        <w:rPr>
          <w:rFonts w:hint="default" w:ascii="Times New Roman" w:hAnsi="Times New Roman" w:eastAsia="仿宋_GB2312" w:cs="Times New Roman"/>
          <w:i w:val="0"/>
          <w:iCs w:val="0"/>
          <w:caps w:val="0"/>
          <w:color w:val="auto"/>
          <w:spacing w:val="0"/>
          <w:kern w:val="0"/>
          <w:sz w:val="32"/>
          <w:szCs w:val="32"/>
          <w:shd w:val="clear" w:fill="auto"/>
          <w:lang w:eastAsia="zh-CN" w:bidi="ar"/>
        </w:rPr>
        <w:t>的地块</w:t>
      </w:r>
      <w:r>
        <w:rPr>
          <w:rFonts w:hint="default" w:ascii="Times New Roman" w:hAnsi="Times New Roman" w:eastAsia="仿宋_GB2312" w:cs="Times New Roman"/>
          <w:i w:val="0"/>
          <w:iCs w:val="0"/>
          <w:caps w:val="0"/>
          <w:color w:val="auto"/>
          <w:spacing w:val="0"/>
          <w:kern w:val="0"/>
          <w:sz w:val="32"/>
          <w:szCs w:val="32"/>
          <w:shd w:val="clear" w:fill="auto"/>
          <w:lang w:bidi="ar"/>
        </w:rPr>
        <w:t>，</w:t>
      </w:r>
      <w:r>
        <w:rPr>
          <w:rFonts w:hint="default" w:ascii="Times New Roman" w:hAnsi="Times New Roman" w:eastAsia="仿宋_GB2312" w:cs="Times New Roman"/>
          <w:color w:val="auto"/>
          <w:kern w:val="0"/>
          <w:sz w:val="32"/>
          <w:szCs w:val="32"/>
          <w:lang w:bidi="ar"/>
        </w:rPr>
        <w:t>新建高标准农田2000亩、撂荒耕地复耕1000亩、流失耕地复耕5000亩</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bidi="ar"/>
        </w:rPr>
        <w:t>明确补充耕地来源，严禁耕地上造耕地，优先在崖州、天涯等南繁重点区域布局新增耕地，精准保障重大项目占补平衡需求。</w:t>
      </w:r>
      <w:r>
        <w:rPr>
          <w:rFonts w:hint="default" w:ascii="Times New Roman" w:hAnsi="Times New Roman" w:eastAsia="仿宋_GB2312" w:cs="Times New Roman"/>
          <w:color w:val="auto"/>
          <w:kern w:val="0"/>
          <w:sz w:val="32"/>
          <w:szCs w:val="32"/>
          <w:lang w:eastAsia="zh-CN" w:bidi="ar"/>
        </w:rPr>
        <w:t>严守</w:t>
      </w:r>
      <w:r>
        <w:rPr>
          <w:rFonts w:hint="default" w:ascii="Times New Roman" w:hAnsi="Times New Roman" w:eastAsia="仿宋_GB2312" w:cs="Times New Roman"/>
          <w:color w:val="auto"/>
          <w:kern w:val="0"/>
          <w:sz w:val="32"/>
          <w:szCs w:val="32"/>
          <w:lang w:bidi="ar"/>
        </w:rPr>
        <w:t>耕地</w:t>
      </w:r>
      <w:r>
        <w:rPr>
          <w:rFonts w:hint="default" w:ascii="Times New Roman" w:hAnsi="Times New Roman" w:eastAsia="仿宋_GB2312" w:cs="Times New Roman"/>
          <w:color w:val="auto"/>
          <w:kern w:val="0"/>
          <w:sz w:val="32"/>
          <w:szCs w:val="32"/>
          <w:lang w:eastAsia="zh-CN" w:bidi="ar"/>
        </w:rPr>
        <w:t>和永久基本农田保护红线，</w:t>
      </w:r>
      <w:r>
        <w:rPr>
          <w:rFonts w:hint="default" w:ascii="Times New Roman" w:hAnsi="Times New Roman" w:eastAsia="仿宋_GB2312" w:cs="Times New Roman"/>
          <w:color w:val="auto"/>
          <w:kern w:val="0"/>
          <w:sz w:val="32"/>
          <w:szCs w:val="32"/>
          <w:lang w:bidi="ar"/>
        </w:rPr>
        <w:t>永久基本农田重点保障粮食生产与南繁科研育种需求，一般耕地优先用于农业生产。坚决遏制耕地“非农化”、防止“非粮化”，从严管控各类占用、破坏耕地行为，筑牢粮食安全和南繁产业发展根基。做好耕地“用途+产业”源头管控，优化“田长制+智慧管理”过程监管，积极稳妥推进存量问题分类处置，全链条层层压实责任。</w:t>
      </w:r>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加强永久基本农田保护</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严格落实永久基本农田特殊保护制度，严守18.90万亩永久基本农田保护红线。坚持永久基本农田数量不减、质量不降、布局稳定原则，严格执行永久基本农田“四严禁”要求，不得违规调整、擅自占用、随意改变用途。加强“多田套合”建设，在永久基本农田上建设高标准农田，逐步把具备条件的永久基本农田全部建设成高标准农田。建立永久基本农田储备区动态调整机制，将全域土地综合整治、高标准农田建设新增优质耕地优先划入储备区，逐步做大永久基本农田储备区规模，确保重大项目占用永久基本农田及时足额补划。</w:t>
      </w:r>
    </w:p>
    <w:tbl>
      <w:tblPr>
        <w:tblStyle w:val="30"/>
        <w:tblW w:w="0" w:type="auto"/>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trPr>
        <w:tc>
          <w:tcPr>
            <w:tcW w:w="1025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黑体" w:cs="Times New Roman"/>
                <w:color w:val="auto"/>
                <w:sz w:val="24"/>
                <w:szCs w:val="24"/>
                <w:lang w:eastAsia="zh"/>
              </w:rPr>
            </w:pPr>
            <w:r>
              <w:rPr>
                <w:rFonts w:hint="default" w:ascii="Times New Roman" w:hAnsi="Times New Roman" w:eastAsia="黑体" w:cs="Times New Roman"/>
                <w:color w:val="auto"/>
                <w:sz w:val="28"/>
                <w:szCs w:val="28"/>
              </w:rPr>
              <w:t xml:space="preserve">专栏2  </w:t>
            </w:r>
            <w:r>
              <w:rPr>
                <w:rFonts w:hint="default" w:ascii="Times New Roman" w:hAnsi="Times New Roman" w:eastAsia="黑体" w:cs="Times New Roman"/>
                <w:color w:val="auto"/>
                <w:sz w:val="28"/>
                <w:szCs w:val="28"/>
                <w:lang w:val="en-US" w:eastAsia="zh-CN"/>
              </w:rPr>
              <w:t>土地整治</w:t>
            </w:r>
            <w:r>
              <w:rPr>
                <w:rFonts w:hint="default" w:ascii="Times New Roman" w:hAnsi="Times New Roman" w:eastAsia="黑体" w:cs="Times New Roman"/>
                <w:color w:val="auto"/>
                <w:sz w:val="28"/>
                <w:szCs w:val="28"/>
              </w:rPr>
              <w:t>重点</w:t>
            </w:r>
            <w:r>
              <w:rPr>
                <w:rFonts w:hint="default" w:ascii="Times New Roman" w:hAnsi="Times New Roman" w:eastAsia="黑体" w:cs="Times New Roman"/>
                <w:color w:val="auto"/>
                <w:sz w:val="28"/>
                <w:szCs w:val="28"/>
                <w:lang w:eastAsia="zh"/>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25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b w:val="0"/>
                <w:bCs w:val="0"/>
                <w:color w:val="auto"/>
                <w:sz w:val="24"/>
                <w:szCs w:val="24"/>
                <w:lang w:eastAsia="zh"/>
              </w:rPr>
              <w:t>1</w:t>
            </w:r>
            <w:r>
              <w:rPr>
                <w:rFonts w:hint="default" w:ascii="Times New Roman" w:hAnsi="Times New Roman" w:eastAsia="仿宋_GB2312" w:cs="Times New Roman"/>
                <w:b w:val="0"/>
                <w:bCs w:val="0"/>
                <w:color w:val="auto"/>
                <w:sz w:val="24"/>
                <w:szCs w:val="24"/>
              </w:rPr>
              <w:t>.三亚市崖州区三更村（片区1）土地综合整治项目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b w:val="0"/>
                <w:bCs w:val="0"/>
                <w:color w:val="auto"/>
                <w:sz w:val="24"/>
                <w:szCs w:val="24"/>
                <w:lang w:eastAsia="zh"/>
              </w:rPr>
              <w:t>2</w:t>
            </w:r>
            <w:r>
              <w:rPr>
                <w:rFonts w:hint="default" w:ascii="Times New Roman" w:hAnsi="Times New Roman" w:eastAsia="仿宋_GB2312" w:cs="Times New Roman"/>
                <w:b w:val="0"/>
                <w:bCs w:val="0"/>
                <w:color w:val="auto"/>
                <w:sz w:val="24"/>
                <w:szCs w:val="24"/>
              </w:rPr>
              <w:t>.三亚南繁基地（长山村片区2）土地综合整治项目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b w:val="0"/>
                <w:bCs w:val="0"/>
                <w:color w:val="auto"/>
                <w:sz w:val="24"/>
                <w:szCs w:val="24"/>
              </w:rPr>
              <w:t>3.海棠区湾坡村村委会耕地开垦项目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b w:val="0"/>
                <w:bCs w:val="0"/>
                <w:color w:val="auto"/>
                <w:sz w:val="24"/>
                <w:szCs w:val="24"/>
              </w:rPr>
              <w:t>4.吉阳区落笔村村委会耕地开垦项目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b w:val="0"/>
                <w:bCs w:val="0"/>
                <w:color w:val="auto"/>
                <w:sz w:val="24"/>
                <w:szCs w:val="24"/>
              </w:rPr>
              <w:t>5.天涯区华丽村村委会耕地开垦项目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b w:val="0"/>
                <w:bCs w:val="0"/>
                <w:color w:val="auto"/>
                <w:sz w:val="24"/>
                <w:szCs w:val="24"/>
              </w:rPr>
              <w:t>6.天涯区文门村村委会耕地开垦项目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b w:val="0"/>
                <w:bCs w:val="0"/>
                <w:color w:val="auto"/>
                <w:sz w:val="24"/>
                <w:szCs w:val="24"/>
              </w:rPr>
              <w:t>7.崖州区北岭村村委会耕地开垦项目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default" w:ascii="Times New Roman" w:hAnsi="Times New Roman" w:eastAsia="楷体" w:cs="Times New Roman"/>
                <w:color w:val="auto"/>
                <w:sz w:val="24"/>
                <w:szCs w:val="24"/>
              </w:rPr>
            </w:pPr>
            <w:r>
              <w:rPr>
                <w:rFonts w:hint="default" w:ascii="Times New Roman" w:hAnsi="Times New Roman" w:eastAsia="仿宋_GB2312" w:cs="Times New Roman"/>
                <w:b w:val="0"/>
                <w:bCs w:val="0"/>
                <w:color w:val="auto"/>
                <w:sz w:val="24"/>
                <w:szCs w:val="24"/>
              </w:rPr>
              <w:t>8.崖州区南滨农场白超队、前哨队耕地开垦项目</w:t>
            </w:r>
          </w:p>
        </w:tc>
      </w:tr>
    </w:tbl>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强化南繁耕地保护</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将南繁耕地保护作为三亚耕地保护的重点，优先保障南繁科研育种用地需求，严守南繁保护区10万亩刚性管控底线，确保南繁科研耕地面积长期稳定、质量持续优良。严格管控南繁核心区、保护区耕地用途，坚决遏制“非农化”“非粮化”行为，永久基本农田范围内南繁耕地优先保障粮食安全及南繁科研育种需求，筑牢国家“种业粮仓”安全根基。持续优化南繁耕地空间布局，依托全域土地综合整治、高标准农田建设，</w:t>
      </w:r>
      <w:r>
        <w:rPr>
          <w:rFonts w:hint="default" w:ascii="Times New Roman" w:hAnsi="Times New Roman" w:eastAsia="仿宋_GB2312" w:cs="Times New Roman"/>
          <w:color w:val="auto"/>
          <w:kern w:val="0"/>
          <w:sz w:val="32"/>
          <w:szCs w:val="32"/>
          <w:lang w:val="en-US" w:eastAsia="zh-CN" w:bidi="ar"/>
        </w:rPr>
        <w:t>持续</w:t>
      </w:r>
      <w:r>
        <w:rPr>
          <w:rFonts w:hint="default" w:ascii="Times New Roman" w:hAnsi="Times New Roman" w:eastAsia="仿宋_GB2312" w:cs="Times New Roman"/>
          <w:color w:val="auto"/>
          <w:kern w:val="0"/>
          <w:sz w:val="32"/>
          <w:szCs w:val="32"/>
          <w:lang w:bidi="ar"/>
        </w:rPr>
        <w:t>打造</w:t>
      </w:r>
      <w:r>
        <w:rPr>
          <w:rFonts w:hint="default" w:ascii="Times New Roman" w:hAnsi="Times New Roman" w:eastAsia="仿宋_GB2312" w:cs="Times New Roman"/>
          <w:color w:val="auto"/>
          <w:kern w:val="0"/>
          <w:sz w:val="32"/>
          <w:szCs w:val="32"/>
          <w:lang w:eastAsia="zh-CN" w:bidi="ar"/>
        </w:rPr>
        <w:t>崖州湾科技城高新区</w:t>
      </w:r>
      <w:r>
        <w:rPr>
          <w:rFonts w:hint="default" w:ascii="Times New Roman" w:hAnsi="Times New Roman" w:eastAsia="仿宋_GB2312" w:cs="Times New Roman"/>
          <w:color w:val="auto"/>
          <w:kern w:val="0"/>
          <w:sz w:val="32"/>
          <w:szCs w:val="32"/>
          <w:lang w:bidi="ar"/>
        </w:rPr>
        <w:t>南繁核心区集中连片育种基地，适配全链控制、智慧农业、国家实验室</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val="en-US" w:eastAsia="zh-CN" w:bidi="ar"/>
        </w:rPr>
        <w:t>保障</w:t>
      </w:r>
      <w:r>
        <w:rPr>
          <w:rFonts w:hint="default" w:ascii="Times New Roman" w:hAnsi="Times New Roman" w:eastAsia="仿宋_GB2312" w:cs="Times New Roman"/>
          <w:color w:val="auto"/>
          <w:kern w:val="0"/>
          <w:sz w:val="32"/>
          <w:szCs w:val="32"/>
          <w:lang w:bidi="ar"/>
        </w:rPr>
        <w:t>南繁育种试验、田间鉴定、制种繁育、科研示范的“政产学研金服用”全流程用地需求。</w:t>
      </w:r>
    </w:p>
    <w:tbl>
      <w:tblPr>
        <w:tblStyle w:val="30"/>
        <w:tblW w:w="495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exact"/>
          <w:jc w:val="right"/>
        </w:trPr>
        <w:tc>
          <w:tcPr>
            <w:tcW w:w="5000" w:type="pct"/>
            <w:vAlign w:val="center"/>
          </w:tcPr>
          <w:p>
            <w:pPr>
              <w:keepNext w:val="0"/>
              <w:keepLines w:val="0"/>
              <w:pageBreakBefore w:val="0"/>
              <w:widowControl w:val="0"/>
              <w:suppressLineNumbers w:val="0"/>
              <w:pBdr>
                <w:bottom w:val="none" w:color="FFFFFF" w:sz="0" w:space="31"/>
              </w:pBdr>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8"/>
                <w:szCs w:val="28"/>
              </w:rPr>
              <w:t>专栏3  耕地保护与南繁融合发展专项工程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jc w:val="right"/>
        </w:trPr>
        <w:tc>
          <w:tcPr>
            <w:tcW w:w="5000" w:type="pct"/>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1" w:firstLineChars="200"/>
              <w:jc w:val="left"/>
              <w:textAlignment w:val="auto"/>
              <w:rPr>
                <w:rFonts w:hint="default" w:ascii="Times New Roman" w:hAnsi="Times New Roman" w:eastAsia="仿宋_GB2312" w:cs="Times New Roman"/>
                <w:b/>
                <w:bCs/>
                <w:color w:val="auto"/>
                <w:kern w:val="0"/>
                <w:sz w:val="24"/>
                <w:szCs w:val="24"/>
                <w:lang w:bidi="ar"/>
              </w:rPr>
            </w:pPr>
            <w:r>
              <w:rPr>
                <w:rFonts w:hint="default" w:ascii="Times New Roman" w:hAnsi="Times New Roman" w:eastAsia="仿宋_GB2312" w:cs="Times New Roman"/>
                <w:b/>
                <w:bCs/>
                <w:color w:val="auto"/>
                <w:kern w:val="0"/>
                <w:sz w:val="24"/>
                <w:szCs w:val="24"/>
                <w:lang w:bidi="ar"/>
              </w:rPr>
              <w:t>1.南繁高标准农田建设工程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default" w:ascii="Times New Roman" w:hAnsi="Times New Roman" w:eastAsia="仿宋_GB2312" w:cs="Times New Roman"/>
                <w:color w:val="auto"/>
                <w:kern w:val="0"/>
                <w:sz w:val="24"/>
                <w:szCs w:val="24"/>
                <w:lang w:bidi="ar"/>
              </w:rPr>
            </w:pPr>
            <w:r>
              <w:rPr>
                <w:rFonts w:hint="default" w:ascii="Times New Roman" w:hAnsi="Times New Roman" w:eastAsia="仿宋_GB2312" w:cs="Times New Roman"/>
                <w:color w:val="auto"/>
                <w:kern w:val="0"/>
                <w:sz w:val="24"/>
                <w:szCs w:val="24"/>
                <w:lang w:bidi="ar"/>
              </w:rPr>
              <w:t>“十五五”期间统筹财政资金支持，推进高标准农田新建及改造提升，重点提升灌溉保证率（≥90%）、土壤有机质含量（提升10%）及田间道路通达率（≥90%），打造“田成方、路相通、渠相连”的现代化农田格局，配套建设南繁科研专用设施，打造国家级南繁高标准农田示范区，实现南繁核心区耕地质量和产能双提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1" w:firstLineChars="200"/>
              <w:jc w:val="left"/>
              <w:textAlignment w:val="auto"/>
              <w:rPr>
                <w:rFonts w:hint="default" w:ascii="Times New Roman" w:hAnsi="Times New Roman" w:eastAsia="仿宋_GB2312" w:cs="Times New Roman"/>
                <w:color w:val="auto"/>
                <w:kern w:val="0"/>
                <w:sz w:val="24"/>
                <w:szCs w:val="24"/>
                <w:lang w:bidi="ar"/>
              </w:rPr>
            </w:pPr>
            <w:r>
              <w:rPr>
                <w:rFonts w:hint="default" w:ascii="Times New Roman" w:hAnsi="Times New Roman" w:eastAsia="仿宋_GB2312" w:cs="Times New Roman"/>
                <w:b/>
                <w:bCs/>
                <w:color w:val="auto"/>
                <w:kern w:val="0"/>
                <w:sz w:val="24"/>
                <w:szCs w:val="24"/>
                <w:lang w:bidi="ar"/>
              </w:rPr>
              <w:t>2. 耕地“非农化”“非粮化”专项整治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default" w:ascii="Times New Roman" w:hAnsi="Times New Roman" w:eastAsia="仿宋_GB2312" w:cs="Times New Roman"/>
                <w:color w:val="auto"/>
                <w:kern w:val="0"/>
                <w:sz w:val="24"/>
                <w:szCs w:val="24"/>
                <w:lang w:bidi="ar"/>
              </w:rPr>
            </w:pPr>
            <w:r>
              <w:rPr>
                <w:rFonts w:hint="default" w:ascii="Times New Roman" w:hAnsi="Times New Roman" w:eastAsia="仿宋_GB2312" w:cs="Times New Roman"/>
                <w:color w:val="auto"/>
                <w:kern w:val="0"/>
                <w:sz w:val="24"/>
                <w:szCs w:val="24"/>
                <w:lang w:bidi="ar"/>
              </w:rPr>
              <w:t>深入开展耕地用途管控专项行动，全面摸排掌握情况，分类施策、有序推进历史流失耕地整改复耕，确保永久基本农田“非农化”“非粮化”问题应改尽改，耕地保护目标任务全面完成，整改完成率100%，南繁产业发展空间得到有效保障。</w:t>
            </w:r>
          </w:p>
        </w:tc>
      </w:tr>
    </w:tbl>
    <w:p>
      <w:pPr>
        <w:rPr>
          <w:rFonts w:hint="default" w:ascii="Times New Roman" w:hAnsi="Times New Roman" w:eastAsia="楷体_GB2312" w:cs="Times New Roman"/>
          <w:b w:val="0"/>
          <w:color w:val="auto"/>
        </w:rPr>
      </w:pPr>
      <w:bookmarkStart w:id="320" w:name="_Toc722867045"/>
      <w:bookmarkStart w:id="321" w:name="_Toc2018925639"/>
    </w:p>
    <w:p>
      <w:pPr>
        <w:pStyle w:val="5"/>
        <w:keepNext w:val="0"/>
        <w:keepLines w:val="0"/>
        <w:spacing w:line="560" w:lineRule="exact"/>
        <w:jc w:val="center"/>
        <w:rPr>
          <w:rFonts w:hint="default" w:ascii="Times New Roman" w:hAnsi="Times New Roman" w:eastAsia="楷体_GB2312" w:cs="Times New Roman"/>
          <w:b w:val="0"/>
          <w:color w:val="auto"/>
        </w:rPr>
      </w:pPr>
      <w:bookmarkStart w:id="322" w:name="_Toc1950794378"/>
      <w:r>
        <w:rPr>
          <w:rFonts w:hint="default" w:ascii="Times New Roman" w:hAnsi="Times New Roman" w:eastAsia="楷体_GB2312" w:cs="Times New Roman"/>
          <w:b w:val="0"/>
          <w:color w:val="auto"/>
        </w:rPr>
        <w:t>第二节  优化耕地空间布局</w:t>
      </w:r>
      <w:bookmarkEnd w:id="320"/>
      <w:bookmarkEnd w:id="321"/>
      <w:bookmarkEnd w:id="322"/>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推动耕地集中连片布局</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立足三亚地形地貌与产业发展实际，统筹城乡建设、产业发展、垦地融合与耕地保护，推动零散、碎片化耕地整合归并，重点在崖州、天涯等南繁核心区</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bidi="ar"/>
        </w:rPr>
        <w:t>宁远河、藤桥河流域</w:t>
      </w:r>
      <w:r>
        <w:rPr>
          <w:rFonts w:hint="default" w:ascii="Times New Roman" w:hAnsi="Times New Roman" w:eastAsia="仿宋_GB2312" w:cs="Times New Roman"/>
          <w:color w:val="auto"/>
          <w:kern w:val="0"/>
          <w:sz w:val="32"/>
          <w:szCs w:val="32"/>
          <w:lang w:eastAsia="zh-CN" w:bidi="ar"/>
        </w:rPr>
        <w:t>以及</w:t>
      </w:r>
      <w:r>
        <w:rPr>
          <w:rFonts w:hint="default" w:ascii="Times New Roman" w:hAnsi="Times New Roman" w:eastAsia="仿宋_GB2312" w:cs="Times New Roman"/>
          <w:color w:val="auto"/>
          <w:kern w:val="0"/>
          <w:sz w:val="32"/>
          <w:szCs w:val="32"/>
          <w:lang w:bidi="ar"/>
        </w:rPr>
        <w:t>岭渣-冲会、仲田、下湾等区域，打造集中连片优质耕地片区，破解耕地细碎化问题，</w:t>
      </w:r>
      <w:r>
        <w:rPr>
          <w:rFonts w:hint="default" w:ascii="Times New Roman" w:hAnsi="Times New Roman" w:eastAsia="仿宋_GB2312" w:cs="Times New Roman"/>
          <w:i w:val="0"/>
          <w:iCs w:val="0"/>
          <w:caps w:val="0"/>
          <w:color w:val="auto"/>
          <w:spacing w:val="0"/>
          <w:kern w:val="0"/>
          <w:sz w:val="32"/>
          <w:szCs w:val="32"/>
          <w:lang w:bidi="ar"/>
        </w:rPr>
        <w:t>为南繁科研育种大规模田间试验和现代农业机械化作业创造优良空间条件</w:t>
      </w:r>
      <w:r>
        <w:rPr>
          <w:rFonts w:hint="default" w:ascii="Times New Roman" w:hAnsi="Times New Roman" w:eastAsia="仿宋_GB2312" w:cs="Times New Roman"/>
          <w:color w:val="auto"/>
          <w:kern w:val="0"/>
          <w:sz w:val="32"/>
          <w:szCs w:val="32"/>
          <w:lang w:bidi="ar"/>
        </w:rPr>
        <w:t>。依托全域土地综合整治、高标准农田建设，建设一批百亩方、千亩方，进一步提高耕地集中连片度与规模化水平，夯实耕地规模化、集约化利用基础。</w:t>
      </w:r>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正向优化永久基本农田布局</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b w:val="0"/>
          <w:bCs w:val="0"/>
          <w:color w:val="auto"/>
          <w:kern w:val="0"/>
          <w:sz w:val="32"/>
          <w:szCs w:val="32"/>
          <w:lang w:val="en-US" w:eastAsia="zh-CN" w:bidi="ar"/>
        </w:rPr>
        <w:t>按照“优进劣出”原则，</w:t>
      </w:r>
      <w:r>
        <w:rPr>
          <w:rFonts w:hint="default" w:ascii="Times New Roman" w:hAnsi="Times New Roman" w:eastAsia="仿宋_GB2312" w:cs="Times New Roman"/>
          <w:color w:val="auto"/>
          <w:kern w:val="0"/>
          <w:sz w:val="32"/>
          <w:szCs w:val="32"/>
          <w:lang w:bidi="ar"/>
        </w:rPr>
        <w:t>稳妥推进25度以上</w:t>
      </w:r>
      <w:r>
        <w:rPr>
          <w:rFonts w:hint="default" w:ascii="Times New Roman" w:hAnsi="Times New Roman" w:eastAsia="仿宋_GB2312" w:cs="Times New Roman"/>
          <w:color w:val="auto"/>
          <w:kern w:val="0"/>
          <w:sz w:val="32"/>
          <w:szCs w:val="32"/>
          <w:lang w:val="en-US" w:eastAsia="zh-CN" w:bidi="ar"/>
        </w:rPr>
        <w:t>陡坡</w:t>
      </w:r>
      <w:r>
        <w:rPr>
          <w:rFonts w:hint="default" w:ascii="Times New Roman" w:hAnsi="Times New Roman" w:eastAsia="仿宋_GB2312" w:cs="Times New Roman"/>
          <w:color w:val="auto"/>
          <w:kern w:val="0"/>
          <w:sz w:val="32"/>
          <w:szCs w:val="32"/>
          <w:lang w:bidi="ar"/>
        </w:rPr>
        <w:t>、零</w:t>
      </w:r>
      <w:r>
        <w:rPr>
          <w:rFonts w:hint="default" w:ascii="Times New Roman" w:hAnsi="Times New Roman" w:eastAsia="仿宋_GB2312" w:cs="Times New Roman"/>
          <w:color w:val="auto"/>
          <w:kern w:val="0"/>
          <w:sz w:val="32"/>
          <w:szCs w:val="32"/>
          <w:lang w:val="en-US" w:eastAsia="zh-CN" w:bidi="ar"/>
        </w:rPr>
        <w:t>星破碎</w:t>
      </w:r>
      <w:r>
        <w:rPr>
          <w:rFonts w:hint="default" w:ascii="Times New Roman" w:hAnsi="Times New Roman" w:eastAsia="仿宋_GB2312" w:cs="Times New Roman"/>
          <w:color w:val="auto"/>
          <w:kern w:val="0"/>
          <w:sz w:val="32"/>
          <w:szCs w:val="32"/>
          <w:lang w:bidi="ar"/>
        </w:rPr>
        <w:t>等不稳定耕地有序退出，将</w:t>
      </w:r>
      <w:r>
        <w:rPr>
          <w:rFonts w:hint="default" w:ascii="Times New Roman" w:hAnsi="Times New Roman" w:eastAsia="仿宋_GB2312" w:cs="Times New Roman"/>
          <w:color w:val="auto"/>
          <w:kern w:val="0"/>
          <w:sz w:val="32"/>
          <w:szCs w:val="32"/>
          <w:lang w:val="en-US" w:eastAsia="zh-CN" w:bidi="ar"/>
        </w:rPr>
        <w:t>全域土地综合整治、高标准农田建设项目中的优质耕地、永久基本农田储备区等</w:t>
      </w:r>
      <w:r>
        <w:rPr>
          <w:rFonts w:hint="default" w:ascii="Times New Roman" w:hAnsi="Times New Roman" w:eastAsia="仿宋_GB2312" w:cs="Times New Roman"/>
          <w:color w:val="auto"/>
          <w:kern w:val="0"/>
          <w:sz w:val="32"/>
          <w:szCs w:val="32"/>
          <w:lang w:bidi="ar"/>
        </w:rPr>
        <w:t>地势平坦、水源充足、土壤肥沃区域耕地优先考虑纳入永久基本农田保护范围。统筹协调永久基本农田、林地、园地、建设用地四类用地空间布局，</w:t>
      </w:r>
      <w:r>
        <w:rPr>
          <w:rFonts w:hint="default" w:ascii="Times New Roman" w:hAnsi="Times New Roman" w:eastAsia="仿宋_GB2312" w:cs="Times New Roman"/>
          <w:color w:val="auto"/>
          <w:kern w:val="0"/>
          <w:sz w:val="32"/>
          <w:szCs w:val="32"/>
          <w:lang w:val="en-US" w:eastAsia="zh-CN" w:bidi="ar"/>
        </w:rPr>
        <w:t>常态化开展年度正向优化永久基本农田布局，</w:t>
      </w:r>
      <w:r>
        <w:rPr>
          <w:rFonts w:hint="default" w:ascii="Times New Roman" w:hAnsi="Times New Roman" w:eastAsia="仿宋_GB2312" w:cs="Times New Roman"/>
          <w:color w:val="auto"/>
          <w:kern w:val="0"/>
          <w:sz w:val="32"/>
          <w:szCs w:val="32"/>
          <w:lang w:bidi="ar"/>
        </w:rPr>
        <w:t>实现集中连片、质量提升、数量不减、布局稳定，精准匹配南繁科研育种与粮食生产空间需求。</w:t>
      </w:r>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科学划定耕、园、林地边界</w:t>
      </w:r>
      <w:r>
        <w:rPr>
          <w:rFonts w:hint="default" w:ascii="Times New Roman" w:hAnsi="Times New Roman" w:eastAsia="仿宋_GB2312" w:cs="Times New Roman"/>
          <w:b w:val="0"/>
          <w:bCs w:val="0"/>
          <w:color w:val="auto"/>
          <w:kern w:val="0"/>
          <w:sz w:val="32"/>
          <w:szCs w:val="32"/>
          <w:lang w:bidi="ar"/>
        </w:rPr>
        <w:t>。结合</w:t>
      </w:r>
      <w:r>
        <w:rPr>
          <w:rFonts w:hint="default" w:ascii="Times New Roman" w:hAnsi="Times New Roman" w:eastAsia="仿宋_GB2312" w:cs="Times New Roman"/>
          <w:color w:val="auto"/>
          <w:kern w:val="0"/>
          <w:sz w:val="32"/>
          <w:szCs w:val="32"/>
          <w:lang w:bidi="ar"/>
        </w:rPr>
        <w:t>耕地保护和国土绿化空间专项规划，遵循“宜耕则耕、宜林则林、宜园则园”原则，兼顾粮食安全、南繁育种与生态保护多重目标，统筹生态保护与农业生产，科学划定三类空间保护边界，推动耕地下山、林木上山、园地合理布局，形成规划耕地、规划林地和园地互不交叉重叠的“一张图”。构建耕地保数量、林地护生态、园地促增收的协调发展格局，破解交叉重叠、图实不符问题，确保耕地保有量和林地保有量两个总量不减少、质量有提升、布局更优化。严控林地、园地无序扩张侵占优质耕地，有序推动低效耕地逐步退出调整为林地或生态园地；对条件适宜的低效园地、残次林地，通过整治改造转化为优质耕地，拓宽耕地后备资源。</w:t>
      </w:r>
    </w:p>
    <w:p>
      <w:pPr>
        <w:spacing w:line="560" w:lineRule="exact"/>
        <w:ind w:firstLine="642" w:firstLineChars="200"/>
        <w:rPr>
          <w:rFonts w:hint="default" w:ascii="Times New Roman" w:hAnsi="Times New Roman" w:eastAsia="仿宋_GB2312" w:cs="Times New Roman"/>
          <w:color w:val="auto"/>
          <w:kern w:val="0"/>
          <w:lang w:bidi="ar"/>
        </w:rPr>
      </w:pPr>
      <w:r>
        <w:rPr>
          <w:rFonts w:hint="default" w:ascii="Times New Roman" w:hAnsi="Times New Roman" w:eastAsia="仿宋_GB2312" w:cs="Times New Roman"/>
          <w:b/>
          <w:bCs/>
          <w:color w:val="auto"/>
          <w:kern w:val="0"/>
          <w:sz w:val="32"/>
          <w:szCs w:val="32"/>
          <w:lang w:bidi="ar"/>
        </w:rPr>
        <w:t>科学编制实施耕地过渡期方案</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针对巩固脱贫攻坚成果以及“三调”前产生的占用耕地种树等“非粮化”耕地，严格落实省级耕地过渡期分类处置要求，落实三亚市耕地过渡期分类处置实施方案，按照“认定一批、恢复一批、置换一批”方式，稳妥处置“非粮化”耕地。对符合完善后耕地调查认定规则的地块，按“认定一批”方式科学有序认定为耕地，并进行严格保护；对集中连片、灌溉条件好且易于恢复的地块，充分尊重农民意愿，按照“恢复一批”方式分</w:t>
      </w:r>
      <w:r>
        <w:rPr>
          <w:rFonts w:hint="default" w:ascii="Times New Roman" w:hAnsi="Times New Roman" w:eastAsia="仿宋_GB2312" w:cs="Times New Roman"/>
          <w:color w:val="auto"/>
          <w:kern w:val="0"/>
          <w:sz w:val="32"/>
          <w:szCs w:val="32"/>
          <w:lang w:val="en-US" w:eastAsia="zh-CN" w:bidi="ar"/>
        </w:rPr>
        <w:t>年度</w:t>
      </w:r>
      <w:r>
        <w:rPr>
          <w:rFonts w:hint="default" w:ascii="Times New Roman" w:hAnsi="Times New Roman" w:eastAsia="仿宋_GB2312" w:cs="Times New Roman"/>
          <w:color w:val="auto"/>
          <w:kern w:val="0"/>
          <w:sz w:val="32"/>
          <w:szCs w:val="32"/>
          <w:lang w:eastAsia="zh-CN" w:bidi="ar"/>
        </w:rPr>
        <w:t>整改</w:t>
      </w:r>
      <w:r>
        <w:rPr>
          <w:rFonts w:hint="default" w:ascii="Times New Roman" w:hAnsi="Times New Roman" w:eastAsia="仿宋_GB2312" w:cs="Times New Roman"/>
          <w:color w:val="auto"/>
          <w:kern w:val="0"/>
          <w:sz w:val="32"/>
          <w:szCs w:val="32"/>
          <w:lang w:bidi="ar"/>
        </w:rPr>
        <w:t>恢复耕种；对确实不宜恢复的地块，按照“置换一批”方式，与其他优质耕地进行有序置换并纳入耕地保护范围，确保全市耕地总量不减、质量不降、布局更优。</w:t>
      </w:r>
    </w:p>
    <w:p>
      <w:pPr>
        <w:pStyle w:val="5"/>
        <w:keepNext w:val="0"/>
        <w:keepLines w:val="0"/>
        <w:spacing w:line="560" w:lineRule="exact"/>
        <w:jc w:val="center"/>
        <w:rPr>
          <w:rFonts w:hint="default" w:ascii="Times New Roman" w:hAnsi="Times New Roman" w:eastAsia="楷体_GB2312" w:cs="Times New Roman"/>
          <w:b w:val="0"/>
          <w:color w:val="auto"/>
        </w:rPr>
      </w:pPr>
      <w:bookmarkStart w:id="323" w:name="_Toc803038886"/>
      <w:bookmarkStart w:id="324" w:name="_Toc488774331"/>
      <w:bookmarkStart w:id="325" w:name="_Toc58294047"/>
      <w:r>
        <w:rPr>
          <w:rFonts w:hint="default" w:ascii="Times New Roman" w:hAnsi="Times New Roman" w:eastAsia="楷体_GB2312" w:cs="Times New Roman"/>
          <w:b w:val="0"/>
          <w:color w:val="auto"/>
        </w:rPr>
        <w:t>第三节  落实耕地保护监管机制</w:t>
      </w:r>
      <w:bookmarkEnd w:id="323"/>
      <w:bookmarkEnd w:id="324"/>
      <w:bookmarkEnd w:id="325"/>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落实耕地保护责任</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严格执行耕地保护党政同责制度，将耕地保有量、永久基本农田保护面积、耕地“非农化”“非粮化”整治成效等刚性指标纳入党政领导干部绩效考核，压实各级政府耕地保护主体责任。优化完善三级田长制运行体系，细化市、区、村各级田长巡查监管职责，健全“巡查—发现—制止—报告—处置”闭环管理机制，构建网格化、精细化、全覆盖耕地保护责任体系，层层压实耕地保护责任。</w:t>
      </w:r>
    </w:p>
    <w:p>
      <w:pPr>
        <w:keepNext w:val="0"/>
        <w:keepLines w:val="0"/>
        <w:widowControl w:val="0"/>
        <w:suppressLineNumbers w:val="0"/>
        <w:spacing w:before="0" w:beforeAutospacing="0" w:after="0" w:afterAutospacing="0" w:line="560" w:lineRule="exact"/>
        <w:ind w:left="0" w:right="0" w:firstLine="642" w:firstLineChars="200"/>
        <w:jc w:val="both"/>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健全耕地监测监管体系</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依托“耕智查”“耕智巡”数字化监管系统，整合卫星遥感监测、无人机巡查、AI智能识别、地面核查、田长巡田等多元手段，构建全天候、全覆盖、智能化耕地监测网络。常态化开展耕地动态监测，精准识别耕地变化、用途异常等情况，</w:t>
      </w:r>
      <w:r>
        <w:rPr>
          <w:rFonts w:hint="default" w:ascii="Times New Roman" w:hAnsi="Times New Roman" w:eastAsia="仿宋_GB2312" w:cs="Times New Roman"/>
          <w:color w:val="auto"/>
          <w:kern w:val="0"/>
          <w:sz w:val="32"/>
          <w:szCs w:val="32"/>
          <w:lang w:eastAsia="zh-CN" w:bidi="ar"/>
        </w:rPr>
        <w:t>及时发现并处置</w:t>
      </w:r>
      <w:r>
        <w:rPr>
          <w:rFonts w:hint="default" w:ascii="Times New Roman" w:hAnsi="Times New Roman" w:eastAsia="仿宋_GB2312" w:cs="Times New Roman"/>
          <w:color w:val="auto"/>
          <w:kern w:val="0"/>
          <w:sz w:val="32"/>
          <w:szCs w:val="32"/>
          <w:lang w:bidi="ar"/>
        </w:rPr>
        <w:t>违法违规行为。强化源头管控、过程监管、末端执法全链条闭环管理，提升耕地保护智能化、精准化、高效化水平，确保耕地保护各项措施落地见效。</w:t>
      </w:r>
    </w:p>
    <w:p>
      <w:pPr>
        <w:spacing w:line="560" w:lineRule="exact"/>
        <w:ind w:firstLine="640" w:firstLineChars="200"/>
        <w:rPr>
          <w:rFonts w:hint="default" w:ascii="Times New Roman" w:hAnsi="Times New Roman" w:eastAsia="仿宋_GB2312" w:cs="Times New Roman"/>
          <w:color w:val="auto"/>
          <w:kern w:val="0"/>
          <w:sz w:val="32"/>
          <w:szCs w:val="32"/>
          <w:lang w:bidi="ar"/>
        </w:rPr>
      </w:pPr>
    </w:p>
    <w:p>
      <w:pPr>
        <w:pStyle w:val="4"/>
        <w:keepNext w:val="0"/>
        <w:keepLines w:val="0"/>
        <w:spacing w:line="560" w:lineRule="exact"/>
        <w:ind w:firstLine="200"/>
        <w:rPr>
          <w:rFonts w:hint="default" w:ascii="Times New Roman" w:hAnsi="Times New Roman" w:cs="Times New Roman"/>
          <w:color w:val="auto"/>
          <w:szCs w:val="32"/>
        </w:rPr>
      </w:pPr>
      <w:bookmarkStart w:id="326" w:name="_Toc1103646303"/>
      <w:bookmarkStart w:id="327" w:name="_Toc1154831908"/>
      <w:bookmarkStart w:id="328" w:name="_Toc112260792"/>
      <w:r>
        <w:rPr>
          <w:rFonts w:hint="default" w:ascii="Times New Roman" w:hAnsi="Times New Roman" w:cs="Times New Roman"/>
          <w:color w:val="auto"/>
          <w:szCs w:val="32"/>
        </w:rPr>
        <w:t>第五章  加强自然资源资产管理</w:t>
      </w:r>
      <w:bookmarkEnd w:id="326"/>
      <w:bookmarkEnd w:id="327"/>
      <w:bookmarkEnd w:id="328"/>
    </w:p>
    <w:p>
      <w:pPr>
        <w:spacing w:line="560" w:lineRule="exact"/>
        <w:ind w:firstLine="200"/>
        <w:jc w:val="center"/>
        <w:rPr>
          <w:rFonts w:hint="default" w:ascii="Times New Roman" w:hAnsi="Times New Roman" w:eastAsia="楷体_GB2312" w:cs="Times New Roman"/>
          <w:color w:val="auto"/>
        </w:rPr>
      </w:pPr>
      <w:bookmarkStart w:id="329" w:name="_Toc348629144"/>
    </w:p>
    <w:p>
      <w:pPr>
        <w:pStyle w:val="5"/>
        <w:keepNext w:val="0"/>
        <w:keepLines w:val="0"/>
        <w:spacing w:line="560" w:lineRule="exact"/>
        <w:ind w:firstLine="200"/>
        <w:jc w:val="center"/>
        <w:rPr>
          <w:rFonts w:hint="default" w:ascii="Times New Roman" w:hAnsi="Times New Roman" w:eastAsia="楷体_GB2312" w:cs="Times New Roman"/>
          <w:b w:val="0"/>
          <w:color w:val="auto"/>
        </w:rPr>
      </w:pPr>
      <w:bookmarkStart w:id="330" w:name="_Toc121987891"/>
      <w:bookmarkStart w:id="331" w:name="_Toc663060335"/>
      <w:r>
        <w:rPr>
          <w:rFonts w:hint="default" w:ascii="Times New Roman" w:hAnsi="Times New Roman" w:eastAsia="楷体_GB2312" w:cs="Times New Roman"/>
          <w:b w:val="0"/>
          <w:color w:val="auto"/>
        </w:rPr>
        <w:t>第一节  开展自然资源统一调查监测和确权登记</w:t>
      </w:r>
      <w:bookmarkEnd w:id="329"/>
      <w:bookmarkEnd w:id="330"/>
      <w:bookmarkEnd w:id="331"/>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推进自然资源统一调查</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根据国家统一部署，开展自然资源全类型调查，夯实数据基础。开展第四次全国国土调查，</w:t>
      </w:r>
      <w:r>
        <w:rPr>
          <w:rFonts w:hint="default" w:ascii="Times New Roman" w:hAnsi="Times New Roman" w:eastAsia="仿宋_GB2312" w:cs="Times New Roman"/>
          <w:bCs/>
          <w:color w:val="auto"/>
          <w:sz w:val="32"/>
          <w:szCs w:val="32"/>
        </w:rPr>
        <w:t>优化调查地类认定规则和调查方法</w:t>
      </w:r>
      <w:r>
        <w:rPr>
          <w:rFonts w:hint="default" w:ascii="Times New Roman" w:hAnsi="Times New Roman" w:eastAsia="仿宋_GB2312" w:cs="Times New Roman"/>
          <w:color w:val="auto"/>
          <w:kern w:val="0"/>
          <w:sz w:val="32"/>
          <w:szCs w:val="32"/>
          <w:lang w:bidi="ar"/>
        </w:rPr>
        <w:t>，</w:t>
      </w:r>
      <w:r>
        <w:rPr>
          <w:rFonts w:hint="default" w:ascii="Times New Roman" w:hAnsi="Times New Roman" w:eastAsia="仿宋_GB2312" w:cs="Times New Roman"/>
          <w:bCs/>
          <w:color w:val="auto"/>
          <w:sz w:val="32"/>
          <w:szCs w:val="32"/>
        </w:rPr>
        <w:t>依据调查成果更新自然资源本底数据。与林业局等部门密切协作，完成林草荒湿专项调查，实现与国土调查衔接统一。</w:t>
      </w:r>
      <w:r>
        <w:rPr>
          <w:rFonts w:hint="default" w:ascii="Times New Roman" w:hAnsi="Times New Roman" w:eastAsia="仿宋_GB2312" w:cs="Times New Roman"/>
          <w:color w:val="auto"/>
          <w:kern w:val="0"/>
          <w:sz w:val="32"/>
          <w:szCs w:val="32"/>
          <w:lang w:bidi="ar"/>
        </w:rPr>
        <w:t>开展森林、草原、湿地、海洋、矿产等自然资源专项调查，查清各类资源分布面积、生态质量、保护开发利用现状。开展国家公园、自然保护地资源本底调查，摸清生态保护核心资源底数。开展地质资源、地下空间、地质灾害专项调查。开展自然景观资源和历史文化遗存、古树名木等地方特色调查。开展无居民海岛、岸线资源调查，查清海岛权属、生态状况。开展滨海地下水咸化、地下水专项调查，监测地下水水质、水位、咸化范围，识别海岸带生态风险隐患。实现全要素全覆盖各项调查，搭建全域自然资源现状数据库，纳入自然资源“一张图”管理，实现自然资源数据互联互通，定期更新数据，监测资源资产变化情况，为城乡垦地要素流动、资源优化配置提供精准的数据支撑和决策依据。</w:t>
      </w:r>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开展自然资源动态监测工作</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运用数字化、智能化手段，构建全方位、常态化监测机制，强化自然资源动态管控。搭建自然资源监测平台，整合卫星遥感、无人机巡查、地面巡护等多种监测手段，实现城乡、垦地自然资源全覆盖监测，重点监测耕地资源、生态保护红线、闲置</w:t>
      </w:r>
      <w:r>
        <w:rPr>
          <w:rFonts w:hint="default" w:ascii="Times New Roman" w:hAnsi="Times New Roman" w:eastAsia="仿宋_GB2312" w:cs="Times New Roman"/>
          <w:color w:val="auto"/>
          <w:kern w:val="0"/>
          <w:sz w:val="32"/>
          <w:szCs w:val="32"/>
          <w:lang w:eastAsia="zh-CN" w:bidi="ar"/>
        </w:rPr>
        <w:t>土地</w:t>
      </w:r>
      <w:r>
        <w:rPr>
          <w:rFonts w:hint="default" w:ascii="Times New Roman" w:hAnsi="Times New Roman" w:eastAsia="仿宋_GB2312" w:cs="Times New Roman"/>
          <w:color w:val="auto"/>
          <w:kern w:val="0"/>
          <w:sz w:val="32"/>
          <w:szCs w:val="32"/>
          <w:lang w:bidi="ar"/>
        </w:rPr>
        <w:t>资源</w:t>
      </w:r>
      <w:r>
        <w:rPr>
          <w:rFonts w:hint="default" w:ascii="Times New Roman" w:hAnsi="Times New Roman" w:eastAsia="仿宋_GB2312" w:cs="Times New Roman"/>
          <w:color w:val="auto"/>
          <w:kern w:val="0"/>
          <w:sz w:val="32"/>
          <w:szCs w:val="32"/>
          <w:lang w:eastAsia="zh-CN" w:bidi="ar"/>
        </w:rPr>
        <w:t>利用</w:t>
      </w:r>
      <w:r>
        <w:rPr>
          <w:rFonts w:hint="default" w:ascii="Times New Roman" w:hAnsi="Times New Roman" w:eastAsia="仿宋_GB2312" w:cs="Times New Roman"/>
          <w:color w:val="auto"/>
          <w:kern w:val="0"/>
          <w:sz w:val="32"/>
          <w:szCs w:val="32"/>
          <w:lang w:bidi="ar"/>
        </w:rPr>
        <w:t>、用地流转等情况。定期监测耕地种植用途变化、耕地流出、生态保护红线内有限人为活动、城镇开发边界外违规建设等情况；适时监测土地要素流转、集体经营性建设用地入市流转等情况。建立监测预警机制，对违规用地、低效利用、生态破坏等问题及时发出预警，明确预警处置流程和责任主体。定期汇总监测数据，强化监测成果应用，形成监测报告，为自然资源管理决策、执法监管、要素流动提供支撑，推动市域监测数据与省级自然资源“一张图”数据库实时对接及动态更新。</w:t>
      </w:r>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全面落实推进自然资源确权登记</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持续推进“互联网+不动产”平台建设</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val="en-US" w:eastAsia="zh-CN" w:bidi="ar"/>
        </w:rPr>
        <w:t>不动产抵押登记跨境视频办理等</w:t>
      </w:r>
      <w:r>
        <w:rPr>
          <w:rFonts w:hint="default" w:ascii="Times New Roman" w:hAnsi="Times New Roman" w:eastAsia="仿宋_GB2312" w:cs="Times New Roman"/>
          <w:color w:val="auto"/>
          <w:kern w:val="0"/>
          <w:sz w:val="32"/>
          <w:szCs w:val="32"/>
          <w:lang w:bidi="ar"/>
        </w:rPr>
        <w:t>不动产</w:t>
      </w:r>
      <w:r>
        <w:rPr>
          <w:rFonts w:hint="default" w:ascii="Times New Roman" w:hAnsi="Times New Roman" w:eastAsia="仿宋_GB2312" w:cs="Times New Roman"/>
          <w:color w:val="auto"/>
          <w:kern w:val="0"/>
          <w:sz w:val="32"/>
          <w:szCs w:val="32"/>
          <w:lang w:val="en-US" w:eastAsia="zh-CN" w:bidi="ar"/>
        </w:rPr>
        <w:t>登记</w:t>
      </w:r>
      <w:r>
        <w:rPr>
          <w:rFonts w:hint="default" w:ascii="Times New Roman" w:hAnsi="Times New Roman" w:eastAsia="仿宋_GB2312" w:cs="Times New Roman"/>
          <w:color w:val="auto"/>
          <w:kern w:val="0"/>
          <w:sz w:val="32"/>
          <w:szCs w:val="32"/>
          <w:lang w:bidi="ar"/>
        </w:rPr>
        <w:t>便利化改革，上线一批“一件事一次办”事项，推动“交房即交证”常态化。有序推进国有企事业单位不动产清查登记和矿业权、取水权、居住权、土地经营权等全类型不动产登记，探索林下经济相关经营权确权登记路径。落实推进不动产登记前端历史遗留问题化解。深化集体土地所有权登记成果应用更新，开展垦区国有农用地确权登记，常态化开展农房宅基地和集体建设用地使用权确权登记颁证工作，推进集体经营性建设用地确权登记，摸清底数，明确产权主体，为农村集体建设用地入市流转奠定基础。强化部门合作，保障农村土地承包合同管理与不动产统一登记有序衔接，做好土地二轮延包和不动产登记试点，稳妥有序化解“一地多证”问题。推进海域使用权确权登记，全面开展近岸海域使用权确权，规范海域使用权管理。建立确权登记台账，实现确权登记信息可追溯。</w:t>
      </w:r>
      <w:r>
        <w:rPr>
          <w:rFonts w:hint="default" w:ascii="Times New Roman" w:hAnsi="Times New Roman" w:eastAsia="仿宋_GB2312" w:cs="Times New Roman"/>
          <w:color w:val="auto"/>
          <w:kern w:val="0"/>
          <w:sz w:val="32"/>
          <w:szCs w:val="32"/>
          <w:lang w:val="en-US" w:eastAsia="zh-CN" w:bidi="ar"/>
        </w:rPr>
        <w:t>探索在崖州湾科技城高新区等自贸港重点园区开展科研用房分割登记。</w:t>
      </w:r>
      <w:r>
        <w:rPr>
          <w:rFonts w:hint="default" w:ascii="Times New Roman" w:hAnsi="Times New Roman" w:eastAsia="仿宋_GB2312" w:cs="Times New Roman"/>
          <w:color w:val="auto"/>
          <w:kern w:val="0"/>
          <w:sz w:val="32"/>
          <w:szCs w:val="32"/>
          <w:lang w:bidi="ar"/>
        </w:rPr>
        <w:t>结合“机器管登记”功能，推动确权登记信息纳入“一张图”产权</w:t>
      </w:r>
      <w:r>
        <w:rPr>
          <w:rFonts w:hint="default" w:ascii="Times New Roman" w:hAnsi="Times New Roman" w:eastAsia="仿宋_GB2312" w:cs="Times New Roman"/>
          <w:color w:val="auto"/>
          <w:kern w:val="0"/>
          <w:sz w:val="32"/>
          <w:szCs w:val="32"/>
          <w:lang w:val="en-US" w:eastAsia="zh-CN" w:bidi="ar"/>
        </w:rPr>
        <w:t>底板</w:t>
      </w:r>
      <w:r>
        <w:rPr>
          <w:rFonts w:hint="default" w:ascii="Times New Roman" w:hAnsi="Times New Roman" w:eastAsia="仿宋_GB2312" w:cs="Times New Roman"/>
          <w:color w:val="auto"/>
          <w:kern w:val="0"/>
          <w:sz w:val="32"/>
          <w:szCs w:val="32"/>
          <w:lang w:bidi="ar"/>
        </w:rPr>
        <w:t>，实现与产权交易、要素流动、执法监管等环节的信息互通，形成自然资源资产全链条闭环管理。</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仿宋_GB2312" w:cs="Times New Roman"/>
                <w:b/>
                <w:color w:val="auto"/>
                <w:sz w:val="24"/>
                <w:szCs w:val="24"/>
              </w:rPr>
            </w:pPr>
            <w:r>
              <w:rPr>
                <w:rFonts w:hint="default" w:ascii="Times New Roman" w:hAnsi="Times New Roman" w:eastAsia="黑体" w:cs="Times New Roman"/>
                <w:bCs/>
                <w:color w:val="auto"/>
                <w:sz w:val="28"/>
                <w:szCs w:val="28"/>
              </w:rPr>
              <w:t>专栏</w:t>
            </w:r>
            <w:r>
              <w:rPr>
                <w:rFonts w:hint="default" w:ascii="Times New Roman" w:hAnsi="Times New Roman" w:eastAsia="黑体" w:cs="Times New Roman"/>
                <w:bCs/>
                <w:color w:val="auto"/>
                <w:sz w:val="28"/>
                <w:szCs w:val="28"/>
                <w:lang w:val="en-US" w:eastAsia="zh-CN"/>
              </w:rPr>
              <w:t>4</w:t>
            </w:r>
            <w:r>
              <w:rPr>
                <w:rFonts w:hint="default" w:ascii="Times New Roman" w:hAnsi="Times New Roman" w:eastAsia="黑体" w:cs="Times New Roman"/>
                <w:bCs/>
                <w:color w:val="auto"/>
                <w:sz w:val="28"/>
                <w:szCs w:val="28"/>
              </w:rPr>
              <w:t xml:space="preserve">  </w:t>
            </w:r>
            <w:r>
              <w:rPr>
                <w:rFonts w:hint="default" w:ascii="Times New Roman" w:hAnsi="Times New Roman" w:eastAsia="黑体" w:cs="Times New Roman"/>
                <w:color w:val="auto"/>
                <w:sz w:val="28"/>
                <w:szCs w:val="28"/>
                <w:highlight w:val="none"/>
                <w:lang w:bidi="ar"/>
              </w:rPr>
              <w:t>自然资源统一调查监测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1"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b/>
                <w:bCs/>
                <w:color w:val="auto"/>
                <w:sz w:val="24"/>
                <w:szCs w:val="24"/>
                <w:highlight w:val="none"/>
                <w:lang w:val="en-US" w:eastAsia="zh-CN" w:bidi="ar"/>
              </w:rPr>
              <w:t>1.</w:t>
            </w:r>
            <w:r>
              <w:rPr>
                <w:rFonts w:hint="default" w:ascii="Times New Roman" w:hAnsi="Times New Roman" w:eastAsia="仿宋_GB2312" w:cs="Times New Roman"/>
                <w:b/>
                <w:bCs/>
                <w:color w:val="auto"/>
                <w:sz w:val="24"/>
                <w:szCs w:val="24"/>
                <w:highlight w:val="none"/>
                <w:lang w:bidi="ar"/>
              </w:rPr>
              <w:t>第四次全国国土调查</w:t>
            </w:r>
            <w:r>
              <w:rPr>
                <w:rFonts w:hint="default" w:ascii="Times New Roman" w:hAnsi="Times New Roman" w:eastAsia="仿宋_GB2312" w:cs="Times New Roman"/>
                <w:b w:val="0"/>
                <w:bCs w:val="0"/>
                <w:color w:val="auto"/>
                <w:sz w:val="24"/>
                <w:szCs w:val="24"/>
                <w:highlight w:val="none"/>
                <w:lang w:eastAsia="zh-CN" w:bidi="ar"/>
              </w:rPr>
              <w:t>。</w:t>
            </w:r>
            <w:r>
              <w:rPr>
                <w:rFonts w:hint="default" w:ascii="Times New Roman" w:hAnsi="Times New Roman" w:eastAsia="仿宋_GB2312" w:cs="Times New Roman"/>
                <w:color w:val="auto"/>
                <w:kern w:val="2"/>
                <w:sz w:val="24"/>
                <w:szCs w:val="24"/>
                <w:highlight w:val="none"/>
                <w:lang w:val="en-US" w:eastAsia="zh-CN" w:bidi="ar"/>
              </w:rPr>
              <w:t>落实《土地调查条例》关于“每十年进行一次全国土地调查”的规定，全面谋划开展三亚市第四次国土调查重大工程。立足新时期三亚市经济社会发展新需求，结合自然资源管理和改革要求，创新组织模式和工作方式，深度应用卫星遥感、人工智能、大数据等先进技术手段，全面查清全市范围内自然资源的类型、面积、空间分布等基本情况，建成权威准确、时效性强的国土调查数据库，摸清资源家底，支撑服务自然资源“两统一”管理和经济社会高质量发展。</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1" w:firstLineChars="200"/>
              <w:textAlignment w:val="auto"/>
              <w:rPr>
                <w:rFonts w:hint="default" w:ascii="Times New Roman" w:hAnsi="Times New Roman" w:eastAsia="仿宋_GB2312" w:cs="Times New Roman"/>
                <w:color w:val="auto"/>
                <w:sz w:val="24"/>
                <w:szCs w:val="24"/>
                <w:highlight w:val="none"/>
                <w:lang w:bidi="ar"/>
              </w:rPr>
            </w:pPr>
            <w:r>
              <w:rPr>
                <w:rFonts w:hint="default" w:ascii="Times New Roman" w:hAnsi="Times New Roman" w:eastAsia="仿宋_GB2312" w:cs="Times New Roman"/>
                <w:b/>
                <w:bCs/>
                <w:color w:val="auto"/>
                <w:sz w:val="24"/>
                <w:szCs w:val="24"/>
                <w:highlight w:val="none"/>
                <w:lang w:val="en-US" w:eastAsia="zh-CN" w:bidi="ar"/>
              </w:rPr>
              <w:t>2</w:t>
            </w:r>
            <w:r>
              <w:rPr>
                <w:rFonts w:hint="default" w:ascii="Times New Roman" w:hAnsi="Times New Roman" w:eastAsia="仿宋_GB2312" w:cs="Times New Roman"/>
                <w:b/>
                <w:bCs/>
                <w:color w:val="auto"/>
                <w:kern w:val="0"/>
                <w:sz w:val="24"/>
                <w:szCs w:val="24"/>
                <w:highlight w:val="none"/>
                <w:lang w:bidi="ar"/>
              </w:rPr>
              <w:t>.</w:t>
            </w:r>
            <w:r>
              <w:rPr>
                <w:rFonts w:hint="default" w:ascii="Times New Roman" w:hAnsi="Times New Roman" w:eastAsia="仿宋_GB2312" w:cs="Times New Roman"/>
                <w:b/>
                <w:bCs/>
                <w:color w:val="auto"/>
                <w:sz w:val="24"/>
                <w:szCs w:val="24"/>
                <w:highlight w:val="none"/>
                <w:lang w:bidi="ar"/>
              </w:rPr>
              <w:t>森林草原湿地荒漠调查监测</w:t>
            </w:r>
            <w:r>
              <w:rPr>
                <w:rFonts w:hint="default" w:ascii="Times New Roman" w:hAnsi="Times New Roman" w:eastAsia="仿宋_GB2312" w:cs="Times New Roman"/>
                <w:b w:val="0"/>
                <w:bCs w:val="0"/>
                <w:color w:val="auto"/>
                <w:sz w:val="24"/>
                <w:szCs w:val="24"/>
                <w:highlight w:val="none"/>
                <w:lang w:eastAsia="zh-CN" w:bidi="ar"/>
              </w:rPr>
              <w:t>。</w:t>
            </w:r>
            <w:r>
              <w:rPr>
                <w:rFonts w:hint="default" w:ascii="Times New Roman" w:hAnsi="Times New Roman" w:eastAsia="仿宋_GB2312" w:cs="Times New Roman"/>
                <w:color w:val="auto"/>
                <w:sz w:val="24"/>
                <w:szCs w:val="24"/>
                <w:highlight w:val="none"/>
                <w:lang w:bidi="ar"/>
              </w:rPr>
              <w:t>持续完善林草湿荒调查监测体系，查清全</w:t>
            </w:r>
            <w:r>
              <w:rPr>
                <w:rFonts w:hint="default" w:ascii="Times New Roman" w:hAnsi="Times New Roman" w:eastAsia="仿宋_GB2312" w:cs="Times New Roman"/>
                <w:color w:val="auto"/>
                <w:sz w:val="24"/>
                <w:szCs w:val="24"/>
                <w:highlight w:val="none"/>
                <w:lang w:eastAsia="zh-CN" w:bidi="ar"/>
              </w:rPr>
              <w:t>市</w:t>
            </w:r>
            <w:r>
              <w:rPr>
                <w:rFonts w:hint="default" w:ascii="Times New Roman" w:hAnsi="Times New Roman" w:eastAsia="仿宋_GB2312" w:cs="Times New Roman"/>
                <w:color w:val="auto"/>
                <w:sz w:val="24"/>
                <w:szCs w:val="24"/>
                <w:highlight w:val="none"/>
                <w:lang w:bidi="ar"/>
              </w:rPr>
              <w:t>范围内森林、草原、湿地、荒漠化动态变化情况，完善并持续</w:t>
            </w:r>
            <w:r>
              <w:rPr>
                <w:rFonts w:hint="default" w:ascii="Times New Roman" w:hAnsi="Times New Roman" w:eastAsia="仿宋_GB2312" w:cs="Times New Roman"/>
                <w:color w:val="auto"/>
                <w:sz w:val="24"/>
                <w:szCs w:val="24"/>
                <w:highlight w:val="none"/>
                <w:lang w:eastAsia="zh-CN" w:bidi="ar"/>
              </w:rPr>
              <w:t>更新</w:t>
            </w:r>
            <w:r>
              <w:rPr>
                <w:rFonts w:hint="default" w:ascii="Times New Roman" w:hAnsi="Times New Roman" w:eastAsia="仿宋_GB2312" w:cs="Times New Roman"/>
                <w:color w:val="auto"/>
                <w:sz w:val="24"/>
                <w:szCs w:val="24"/>
                <w:highlight w:val="none"/>
                <w:lang w:bidi="ar"/>
              </w:rPr>
              <w:t>自然资源调查监测成果。</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1" w:firstLineChars="200"/>
              <w:textAlignment w:val="auto"/>
              <w:rPr>
                <w:rFonts w:hint="default" w:ascii="Times New Roman" w:hAnsi="Times New Roman" w:eastAsia="仿宋_GB2312" w:cs="Times New Roman"/>
                <w:color w:val="auto"/>
                <w:kern w:val="2"/>
                <w:sz w:val="24"/>
                <w:szCs w:val="24"/>
                <w:highlight w:val="none"/>
                <w:lang w:val="en-US" w:eastAsia="zh-CN" w:bidi="ar"/>
              </w:rPr>
            </w:pPr>
            <w:r>
              <w:rPr>
                <w:rFonts w:hint="default" w:ascii="Times New Roman" w:hAnsi="Times New Roman" w:eastAsia="仿宋_GB2312" w:cs="Times New Roman"/>
                <w:b/>
                <w:bCs/>
                <w:color w:val="auto"/>
                <w:sz w:val="24"/>
                <w:szCs w:val="24"/>
                <w:highlight w:val="none"/>
                <w:lang w:val="en-US" w:eastAsia="zh-CN" w:bidi="ar"/>
              </w:rPr>
              <w:t>3</w:t>
            </w:r>
            <w:r>
              <w:rPr>
                <w:rFonts w:hint="default" w:ascii="Times New Roman" w:hAnsi="Times New Roman" w:eastAsia="仿宋_GB2312" w:cs="Times New Roman"/>
                <w:b/>
                <w:bCs/>
                <w:color w:val="auto"/>
                <w:sz w:val="24"/>
                <w:szCs w:val="24"/>
                <w:highlight w:val="none"/>
                <w:lang w:bidi="ar"/>
              </w:rPr>
              <w:t>.不动产</w:t>
            </w:r>
            <w:r>
              <w:rPr>
                <w:rFonts w:hint="default" w:ascii="Times New Roman" w:hAnsi="Times New Roman" w:eastAsia="仿宋_GB2312" w:cs="Times New Roman"/>
                <w:b/>
                <w:bCs/>
                <w:color w:val="auto"/>
                <w:sz w:val="24"/>
                <w:szCs w:val="24"/>
                <w:highlight w:val="none"/>
                <w:lang w:eastAsia="zh-CN" w:bidi="ar"/>
              </w:rPr>
              <w:t>地</w:t>
            </w:r>
            <w:r>
              <w:rPr>
                <w:rFonts w:hint="default" w:ascii="Times New Roman" w:hAnsi="Times New Roman" w:eastAsia="仿宋_GB2312" w:cs="Times New Roman"/>
                <w:b/>
                <w:bCs/>
                <w:color w:val="auto"/>
                <w:sz w:val="24"/>
                <w:szCs w:val="24"/>
                <w:highlight w:val="none"/>
                <w:lang w:bidi="ar"/>
              </w:rPr>
              <w:t>籍调查</w:t>
            </w:r>
            <w:r>
              <w:rPr>
                <w:rFonts w:hint="default" w:ascii="Times New Roman" w:hAnsi="Times New Roman" w:eastAsia="仿宋_GB2312" w:cs="Times New Roman"/>
                <w:b w:val="0"/>
                <w:bCs w:val="0"/>
                <w:color w:val="auto"/>
                <w:sz w:val="24"/>
                <w:szCs w:val="24"/>
                <w:highlight w:val="none"/>
                <w:lang w:eastAsia="zh-CN" w:bidi="ar"/>
              </w:rPr>
              <w:t>。</w:t>
            </w:r>
            <w:r>
              <w:rPr>
                <w:rFonts w:hint="default" w:ascii="Times New Roman" w:hAnsi="Times New Roman" w:eastAsia="仿宋_GB2312" w:cs="Times New Roman"/>
                <w:color w:val="auto"/>
                <w:kern w:val="2"/>
                <w:sz w:val="24"/>
                <w:szCs w:val="24"/>
                <w:highlight w:val="none"/>
                <w:lang w:val="en-US" w:eastAsia="zh-CN" w:bidi="ar"/>
              </w:rPr>
              <w:t>以城镇村和重要自然生态空间为重点，逐步实现地籍调查全覆盖，全面掌握各类自然资源和不动产产权状况，</w:t>
            </w:r>
            <w:r>
              <w:rPr>
                <w:rFonts w:hint="default" w:ascii="Times New Roman" w:hAnsi="Times New Roman" w:eastAsia="仿宋_GB2312" w:cs="Times New Roman"/>
                <w:color w:val="auto"/>
                <w:kern w:val="2"/>
                <w:sz w:val="24"/>
                <w:szCs w:val="24"/>
                <w:highlight w:val="none"/>
                <w:lang w:eastAsia="zh-CN" w:bidi="ar"/>
              </w:rPr>
              <w:t>不断完善</w:t>
            </w:r>
            <w:r>
              <w:rPr>
                <w:rFonts w:hint="default" w:ascii="Times New Roman" w:hAnsi="Times New Roman" w:eastAsia="仿宋_GB2312" w:cs="Times New Roman"/>
                <w:color w:val="auto"/>
                <w:kern w:val="2"/>
                <w:sz w:val="24"/>
                <w:szCs w:val="24"/>
                <w:highlight w:val="none"/>
                <w:lang w:val="en-US" w:eastAsia="zh-CN" w:bidi="ar"/>
              </w:rPr>
              <w:t>地籍数据库，形成全覆盖、全类型、全要素的统一产权底板。</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1" w:firstLineChars="200"/>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b/>
                <w:bCs/>
                <w:strike w:val="0"/>
                <w:color w:val="auto"/>
                <w:kern w:val="2"/>
                <w:sz w:val="24"/>
                <w:szCs w:val="24"/>
                <w:highlight w:val="none"/>
                <w:lang w:val="en-US" w:eastAsia="zh-CN" w:bidi="ar"/>
              </w:rPr>
              <w:t>4</w:t>
            </w:r>
            <w:r>
              <w:rPr>
                <w:rFonts w:hint="default" w:ascii="Times New Roman" w:hAnsi="Times New Roman" w:eastAsia="仿宋_GB2312" w:cs="Times New Roman"/>
                <w:b/>
                <w:bCs/>
                <w:strike w:val="0"/>
                <w:color w:val="auto"/>
                <w:kern w:val="2"/>
                <w:sz w:val="24"/>
                <w:szCs w:val="24"/>
                <w:highlight w:val="none"/>
                <w:lang w:bidi="ar"/>
              </w:rPr>
              <w:t>.</w:t>
            </w:r>
            <w:r>
              <w:rPr>
                <w:rFonts w:hint="default" w:ascii="Times New Roman" w:hAnsi="Times New Roman" w:eastAsia="仿宋_GB2312" w:cs="Times New Roman"/>
                <w:b/>
                <w:bCs/>
                <w:color w:val="auto"/>
                <w:sz w:val="24"/>
                <w:szCs w:val="24"/>
                <w:highlight w:val="none"/>
                <w:lang w:bidi="ar"/>
              </w:rPr>
              <w:t>城市国土空间监测</w:t>
            </w:r>
            <w:r>
              <w:rPr>
                <w:rFonts w:hint="default" w:ascii="Times New Roman" w:hAnsi="Times New Roman" w:eastAsia="仿宋_GB2312" w:cs="Times New Roman"/>
                <w:b w:val="0"/>
                <w:bCs w:val="0"/>
                <w:color w:val="auto"/>
                <w:sz w:val="24"/>
                <w:szCs w:val="24"/>
                <w:highlight w:val="none"/>
                <w:lang w:eastAsia="zh-CN" w:bidi="ar"/>
              </w:rPr>
              <w:t>。持续监测</w:t>
            </w:r>
            <w:r>
              <w:rPr>
                <w:rFonts w:hint="default" w:ascii="Times New Roman" w:hAnsi="Times New Roman" w:eastAsia="仿宋_GB2312" w:cs="Times New Roman"/>
                <w:color w:val="auto"/>
                <w:kern w:val="2"/>
                <w:sz w:val="24"/>
                <w:szCs w:val="24"/>
                <w:highlight w:val="none"/>
                <w:lang w:val="en-US" w:eastAsia="zh-CN" w:bidi="ar"/>
              </w:rPr>
              <w:t>掌握城市空间利用、生活品质、交通便捷、公共服务、安全韧性等</w:t>
            </w:r>
            <w:r>
              <w:rPr>
                <w:rFonts w:hint="default" w:ascii="Times New Roman" w:hAnsi="Times New Roman" w:eastAsia="仿宋_GB2312" w:cs="Times New Roman"/>
                <w:color w:val="auto"/>
                <w:kern w:val="2"/>
                <w:sz w:val="24"/>
                <w:szCs w:val="24"/>
                <w:highlight w:val="none"/>
                <w:lang w:eastAsia="zh-CN" w:bidi="ar"/>
              </w:rPr>
              <w:t>动态变化</w:t>
            </w:r>
            <w:r>
              <w:rPr>
                <w:rFonts w:hint="default" w:ascii="Times New Roman" w:hAnsi="Times New Roman" w:eastAsia="仿宋_GB2312" w:cs="Times New Roman"/>
                <w:color w:val="auto"/>
                <w:kern w:val="2"/>
                <w:sz w:val="24"/>
                <w:szCs w:val="24"/>
                <w:highlight w:val="none"/>
                <w:lang w:val="en-US" w:eastAsia="zh-CN" w:bidi="ar"/>
              </w:rPr>
              <w:t>情况</w:t>
            </w:r>
            <w:r>
              <w:rPr>
                <w:rFonts w:hint="default" w:ascii="Times New Roman" w:hAnsi="Times New Roman" w:eastAsia="仿宋_GB2312" w:cs="Times New Roman"/>
                <w:color w:val="auto"/>
                <w:kern w:val="2"/>
                <w:sz w:val="24"/>
                <w:szCs w:val="24"/>
                <w:highlight w:val="none"/>
                <w:lang w:eastAsia="zh-CN" w:bidi="ar"/>
              </w:rPr>
              <w:t>，</w:t>
            </w:r>
            <w:r>
              <w:rPr>
                <w:rFonts w:hint="default" w:ascii="Times New Roman" w:hAnsi="Times New Roman" w:eastAsia="仿宋_GB2312" w:cs="Times New Roman"/>
                <w:color w:val="auto"/>
                <w:kern w:val="2"/>
                <w:sz w:val="24"/>
                <w:szCs w:val="24"/>
                <w:highlight w:val="none"/>
                <w:lang w:val="en-US" w:eastAsia="zh-CN" w:bidi="ar"/>
              </w:rPr>
              <w:t>探索</w:t>
            </w:r>
            <w:r>
              <w:rPr>
                <w:rFonts w:hint="default" w:ascii="Times New Roman" w:hAnsi="Times New Roman" w:eastAsia="仿宋_GB2312" w:cs="Times New Roman"/>
                <w:color w:val="auto"/>
                <w:kern w:val="2"/>
                <w:sz w:val="24"/>
                <w:szCs w:val="24"/>
                <w:highlight w:val="none"/>
                <w:lang w:eastAsia="zh-CN" w:bidi="ar"/>
              </w:rPr>
              <w:t>建立</w:t>
            </w:r>
            <w:r>
              <w:rPr>
                <w:rFonts w:hint="default" w:ascii="Times New Roman" w:hAnsi="Times New Roman" w:eastAsia="仿宋_GB2312" w:cs="Times New Roman"/>
                <w:color w:val="auto"/>
                <w:kern w:val="2"/>
                <w:sz w:val="24"/>
                <w:szCs w:val="24"/>
                <w:highlight w:val="none"/>
                <w:lang w:val="en-US" w:eastAsia="zh-CN" w:bidi="ar"/>
              </w:rPr>
              <w:t>城市地下空间</w:t>
            </w:r>
            <w:r>
              <w:rPr>
                <w:rFonts w:hint="default" w:ascii="Times New Roman" w:hAnsi="Times New Roman" w:eastAsia="仿宋_GB2312" w:cs="Times New Roman"/>
                <w:color w:val="auto"/>
                <w:kern w:val="2"/>
                <w:sz w:val="24"/>
                <w:szCs w:val="24"/>
                <w:highlight w:val="none"/>
                <w:lang w:eastAsia="zh-CN" w:bidi="ar"/>
              </w:rPr>
              <w:t>监测体系，查清全市城市地下空间开发利用与使用状况</w:t>
            </w:r>
            <w:r>
              <w:rPr>
                <w:rFonts w:hint="default" w:ascii="Times New Roman" w:hAnsi="Times New Roman" w:eastAsia="仿宋_GB2312" w:cs="Times New Roman"/>
                <w:color w:val="auto"/>
                <w:kern w:val="2"/>
                <w:sz w:val="24"/>
                <w:szCs w:val="24"/>
                <w:highlight w:val="none"/>
                <w:lang w:val="en-US" w:eastAsia="zh-CN" w:bidi="ar"/>
              </w:rPr>
              <w:t>，</w:t>
            </w:r>
            <w:r>
              <w:rPr>
                <w:rFonts w:hint="default" w:ascii="Times New Roman" w:hAnsi="Times New Roman" w:eastAsia="仿宋_GB2312" w:cs="Times New Roman"/>
                <w:color w:val="auto"/>
                <w:kern w:val="2"/>
                <w:sz w:val="24"/>
                <w:szCs w:val="24"/>
                <w:highlight w:val="none"/>
                <w:lang w:eastAsia="zh-CN" w:bidi="ar"/>
              </w:rPr>
              <w:t>逐步建立立体化城市国土空间监测成果数据库，并</w:t>
            </w:r>
            <w:r>
              <w:rPr>
                <w:rFonts w:hint="default" w:ascii="Times New Roman" w:hAnsi="Times New Roman" w:eastAsia="仿宋_GB2312" w:cs="Times New Roman"/>
                <w:color w:val="auto"/>
                <w:kern w:val="2"/>
                <w:sz w:val="24"/>
                <w:szCs w:val="24"/>
                <w:highlight w:val="none"/>
                <w:lang w:val="en-US" w:eastAsia="zh-CN" w:bidi="ar"/>
              </w:rPr>
              <w:t>强化</w:t>
            </w:r>
            <w:r>
              <w:rPr>
                <w:rFonts w:hint="default" w:ascii="Times New Roman" w:hAnsi="Times New Roman" w:eastAsia="仿宋_GB2312" w:cs="Times New Roman"/>
                <w:color w:val="auto"/>
                <w:kern w:val="2"/>
                <w:sz w:val="24"/>
                <w:szCs w:val="24"/>
                <w:highlight w:val="none"/>
                <w:lang w:eastAsia="zh-CN" w:bidi="ar"/>
              </w:rPr>
              <w:t>监测</w:t>
            </w:r>
            <w:r>
              <w:rPr>
                <w:rFonts w:hint="default" w:ascii="Times New Roman" w:hAnsi="Times New Roman" w:eastAsia="仿宋_GB2312" w:cs="Times New Roman"/>
                <w:color w:val="auto"/>
                <w:kern w:val="2"/>
                <w:sz w:val="24"/>
                <w:szCs w:val="24"/>
                <w:highlight w:val="none"/>
                <w:lang w:val="en-US" w:eastAsia="zh-CN" w:bidi="ar"/>
              </w:rPr>
              <w:t>成果应用。</w:t>
            </w:r>
          </w:p>
        </w:tc>
      </w:tr>
    </w:tbl>
    <w:p>
      <w:pPr>
        <w:pStyle w:val="5"/>
        <w:keepNext w:val="0"/>
        <w:keepLines w:val="0"/>
        <w:spacing w:line="560" w:lineRule="exact"/>
        <w:jc w:val="center"/>
        <w:rPr>
          <w:rFonts w:hint="default" w:ascii="Times New Roman" w:hAnsi="Times New Roman" w:eastAsia="楷体_GB2312" w:cs="Times New Roman"/>
          <w:b w:val="0"/>
          <w:color w:val="auto"/>
        </w:rPr>
      </w:pPr>
      <w:bookmarkStart w:id="332" w:name="_Toc1567044847"/>
      <w:bookmarkStart w:id="333" w:name="_Toc663494985"/>
      <w:bookmarkStart w:id="334" w:name="_Toc394341877"/>
      <w:r>
        <w:rPr>
          <w:rFonts w:hint="default" w:ascii="Times New Roman" w:hAnsi="Times New Roman" w:eastAsia="楷体_GB2312" w:cs="Times New Roman"/>
          <w:b w:val="0"/>
          <w:color w:val="auto"/>
        </w:rPr>
        <w:t>第二节  深化自然资源资产产权管理</w:t>
      </w:r>
      <w:bookmarkEnd w:id="332"/>
      <w:bookmarkEnd w:id="333"/>
      <w:bookmarkEnd w:id="334"/>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统一行使全民所有自然资源资产所有者职责</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摸清自然资源资产所有权现状，明确土地、海域、矿产、森林、湿地等自然资源资产的产权主体、权利边界、责任清单。厘清垦地产权关系，开展垦区与地方交叉区域产权界定工作，明确垦区与地方国有土地的权属边界，解决产权纠纷，破除垦地之间的产权壁垒，推动垦地资源要素自由流动。推动垦区国有农用地、建设用地授权经营规范化，明确经营责任和收益分配机制，保障国有自然资源资产保值增值。完善产权配套制度，建立自然资源资产产权异议处理机制，规范产权变更、注销流程，确保产权管理有序规范。</w:t>
      </w:r>
      <w:r>
        <w:rPr>
          <w:rFonts w:hint="default" w:ascii="Times New Roman" w:hAnsi="Times New Roman" w:eastAsia="仿宋_GB2312" w:cs="Times New Roman"/>
          <w:color w:val="auto"/>
          <w:sz w:val="32"/>
          <w:szCs w:val="32"/>
        </w:rPr>
        <w:t>深化巩固全民所有自然资源资产委托代理机制试点成果，厘清所有者、使用者与管理者边界，按委托代理约定等要求统一行使自然资源资产所有者职责，</w:t>
      </w:r>
      <w:r>
        <w:rPr>
          <w:rFonts w:hint="default" w:ascii="Times New Roman" w:hAnsi="Times New Roman" w:eastAsia="仿宋_GB2312" w:cs="Times New Roman"/>
          <w:color w:val="auto"/>
          <w:kern w:val="0"/>
          <w:sz w:val="32"/>
          <w:szCs w:val="32"/>
          <w:lang w:bidi="ar"/>
        </w:rPr>
        <w:t>强化对所有者职责行使主体的监督。</w:t>
      </w:r>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稳妥拓展自然资源资产权利体系</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厘清各类自然资源产权边界、权利类型、行使规则，试点探索立体分层设权、抵押，探索特殊用地产权置换机制，推动自然资源资产有序流转、高效配置。创新推进地下空间开发利用，探索三维立体空间规划编制和三维地籍调查测绘，按竖向分层界定建设用地使用权，核发三维不动产证书，为地下空间出让、划拨、租赁、抵押等产权交易奠定基础。持续推进海域立体分层设权，鼓励海上风电、海上光伏与深远海养殖、海洋牧场、休闲渔业、海洋旅游等融合发展。探索无居民海岛使用权转让、出租、抵押等权能体系创新工作。落实探采合一制度，做好探矿权转采矿权的用地保障、规划衔接与生态保护工作。</w:t>
      </w:r>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highlight w:val="none"/>
          <w:shd w:val="clear"/>
          <w:lang w:bidi="ar"/>
        </w:rPr>
        <w:t>探索自然资源资产治理路径</w:t>
      </w:r>
      <w:r>
        <w:rPr>
          <w:rFonts w:hint="default" w:ascii="Times New Roman" w:hAnsi="Times New Roman" w:eastAsia="仿宋_GB2312" w:cs="Times New Roman"/>
          <w:b w:val="0"/>
          <w:bCs w:val="0"/>
          <w:color w:val="auto"/>
          <w:kern w:val="0"/>
          <w:sz w:val="32"/>
          <w:szCs w:val="32"/>
          <w:highlight w:val="none"/>
          <w:shd w:val="clear"/>
          <w:lang w:bidi="ar"/>
        </w:rPr>
        <w:t>。</w:t>
      </w:r>
      <w:r>
        <w:rPr>
          <w:rFonts w:hint="default" w:ascii="Times New Roman" w:hAnsi="Times New Roman" w:eastAsia="仿宋_GB2312" w:cs="Times New Roman"/>
          <w:color w:val="auto"/>
          <w:kern w:val="0"/>
          <w:sz w:val="32"/>
          <w:szCs w:val="32"/>
          <w:highlight w:val="none"/>
          <w:shd w:val="clear"/>
          <w:lang w:bidi="ar"/>
        </w:rPr>
        <w:t>常态化开展全民所有自然资源资产清查和自然资源资产负债表编制工作，建</w:t>
      </w:r>
      <w:r>
        <w:rPr>
          <w:rFonts w:hint="default" w:ascii="Times New Roman" w:hAnsi="Times New Roman" w:eastAsia="仿宋_GB2312" w:cs="Times New Roman"/>
          <w:color w:val="auto"/>
          <w:kern w:val="0"/>
          <w:sz w:val="32"/>
          <w:szCs w:val="32"/>
          <w:lang w:bidi="ar"/>
        </w:rPr>
        <w:t>立资产管理平台，针对变动情况形成“一本账+一张图”图数联动。落实自然资源保护利用和资产保值增值责任考核办法，根据耕地保有量、森林覆盖率、自然岸线保有率、单位GDP建设用地使用面积下降率等指标，建立全民所有自然资源资产管理考核评价体系，开展</w:t>
      </w:r>
      <w:r>
        <w:rPr>
          <w:rFonts w:hint="default" w:ascii="Times New Roman" w:hAnsi="Times New Roman" w:eastAsia="仿宋_GB2312" w:cs="Times New Roman"/>
          <w:color w:val="auto"/>
          <w:sz w:val="32"/>
          <w:szCs w:val="32"/>
        </w:rPr>
        <w:t>自然资源资产离任审计。持续开拓自然资源有偿使用路径，开展资产包组合供应，创新自然资源资产配置规则。运用藤桥河流域保护性开发EOD项目经验，探索开展特定地域单元生态产品价值核算，丰富自然资源资产化举措，实现生态产品价值最大化。建立健全“成本共担、效益共享、合作共治”的自然资源生态补偿机制，引入社会资本，扩展资金来源渠道及资金池规模。推广赤田水库流域生态补偿机制创新试点经验，在宁远河流域通过资金补偿、产业扶持等形式开展横向生态保护补偿试点，打造多元生态补偿机制范本。</w:t>
      </w:r>
    </w:p>
    <w:p>
      <w:pPr>
        <w:pStyle w:val="5"/>
        <w:keepNext w:val="0"/>
        <w:keepLines w:val="0"/>
        <w:spacing w:line="560" w:lineRule="exact"/>
        <w:jc w:val="center"/>
        <w:rPr>
          <w:rFonts w:hint="default" w:ascii="Times New Roman" w:hAnsi="Times New Roman" w:eastAsia="楷体_GB2312" w:cs="Times New Roman"/>
          <w:b w:val="0"/>
          <w:color w:val="auto"/>
        </w:rPr>
      </w:pPr>
      <w:bookmarkStart w:id="335" w:name="_Toc149380973"/>
      <w:bookmarkStart w:id="336" w:name="_Toc1260833608"/>
      <w:bookmarkStart w:id="337" w:name="_Toc17456251"/>
      <w:r>
        <w:rPr>
          <w:rFonts w:hint="default" w:ascii="Times New Roman" w:hAnsi="Times New Roman" w:eastAsia="楷体_GB2312" w:cs="Times New Roman"/>
          <w:b w:val="0"/>
          <w:color w:val="auto"/>
        </w:rPr>
        <w:t>第三节  集约高效利用自然资源</w:t>
      </w:r>
      <w:bookmarkEnd w:id="335"/>
      <w:bookmarkEnd w:id="336"/>
      <w:bookmarkEnd w:id="337"/>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土地资源集约利用</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强化国土空间规划管控与用途管制，全面提升各类土地资源产出效益与生态价值。严格落实建设用地总量和强度“双控”要求，推动城市发展由外延扩张向内涵挖潜转变，全面深化低效用地再开发，推行产业用地“标准地”出让与全生命周期监管，推动建设用地开发由平面扩张向立体提质转变。常态化推进高标准农田建设、中低产田改造、土地综合整治</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val="en-US" w:eastAsia="zh-CN" w:bidi="ar"/>
        </w:rPr>
        <w:t>提升农用地规模化、集约化利用水平</w:t>
      </w:r>
      <w:r>
        <w:rPr>
          <w:rFonts w:hint="default" w:ascii="Times New Roman" w:hAnsi="Times New Roman" w:eastAsia="仿宋_GB2312" w:cs="Times New Roman"/>
          <w:color w:val="auto"/>
          <w:kern w:val="0"/>
          <w:sz w:val="32"/>
          <w:szCs w:val="32"/>
          <w:lang w:bidi="ar"/>
        </w:rPr>
        <w:t>。强化节约集约用地评价，推广先进节地技术和模式，引导土地复合利用，鼓励地上地下空间联动开发。</w:t>
      </w:r>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矿产资源高能利用</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严格落实矿产资源专项规划、绿色矿山建设及矿产资源节约集约利用等相关要求，聚焦探采合一、规模开发、综合利用、绿色管控、矿地协同，系统推进矿产资源集约高效利用。常态化开展矿山指标核查评价，将开采回采率、选矿回收率、综合利用率作为采矿权出让、许可、年检、延续的刚性指标，建立台账并强化生产过程监管，全面提高“三率”水平。推进共伴生矿产资源综合利用，督促矿山企业对矿石、地热配套资源开展共伴生矿、尾矿、矿渣资源化利用，减少资源损耗与固废排放，推动固废资源化、生态化治理。统筹推进矿区土地复垦与综合治理，将闭坑矿区、废弃矿山用地纳入全域土地综合整治或存量低效用地盘活清单，开展生态修复、文旅开发、产业导入。推广大型化、智能化、绿色化开采加工装备应用，以装备升级带动矿产资源利用效率升级。</w:t>
      </w:r>
    </w:p>
    <w:p>
      <w:pPr>
        <w:spacing w:line="560" w:lineRule="exact"/>
        <w:ind w:firstLine="642" w:firstLineChars="200"/>
        <w:rPr>
          <w:rFonts w:hint="default" w:ascii="Times New Roman" w:hAnsi="Times New Roman" w:eastAsia="仿宋_GB2312" w:cs="Times New Roman"/>
          <w:color w:val="auto"/>
          <w:kern w:val="0"/>
          <w:sz w:val="32"/>
          <w:szCs w:val="32"/>
          <w:lang w:eastAsia="zh-CN" w:bidi="ar"/>
        </w:rPr>
      </w:pPr>
      <w:r>
        <w:rPr>
          <w:rFonts w:hint="default" w:ascii="Times New Roman" w:hAnsi="Times New Roman" w:eastAsia="仿宋_GB2312" w:cs="Times New Roman"/>
          <w:b/>
          <w:bCs/>
          <w:color w:val="auto"/>
          <w:kern w:val="0"/>
          <w:sz w:val="32"/>
          <w:szCs w:val="32"/>
          <w:lang w:bidi="ar"/>
        </w:rPr>
        <w:t>海洋资源统筹利用</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严格落实海域用途管制与海洋生态管控要求，严守海洋生态保护红线，规范各类用海审批管理，严控粗放无序用海行为，提升海域、海岛资源配置效率，持续提升全市海洋资源精细化治理和资产保值增值水平。坚持用储结合，整合港口岸线资源，划定战略留白空间，应对未来重大产业发展和重大项目落地。差异化配置养殖、文旅、生态、临港产业用海空间，重点保障海上运动、滨海研学等绿色海洋产业发展需求。常态化开展海域、无居民海岛批后巡查，建立低效、闲置海域资源台账，持续推进低效养殖用海提质升级，整治违规用海乱象。强化无居民海岛保护与适度利用管理，严格落实无居民海岛市场化出让制度，规范无居民海岛资源市场化配置。推动海域立体利用，有序开展海域立体分层设权工作，鼓励相关产业兼容用海、融合发展，推动水面、水体、海床和底土立体复合利用。</w:t>
      </w:r>
    </w:p>
    <w:p>
      <w:pPr>
        <w:pStyle w:val="5"/>
        <w:keepNext w:val="0"/>
        <w:keepLines w:val="0"/>
        <w:spacing w:line="560" w:lineRule="exact"/>
        <w:jc w:val="center"/>
        <w:rPr>
          <w:rFonts w:hint="default" w:ascii="Times New Roman" w:hAnsi="Times New Roman" w:eastAsia="楷体_GB2312" w:cs="Times New Roman"/>
          <w:b w:val="0"/>
          <w:color w:val="auto"/>
          <w:lang w:eastAsia="zh-CN"/>
        </w:rPr>
      </w:pPr>
      <w:bookmarkStart w:id="338" w:name="_Toc2008206797"/>
      <w:bookmarkStart w:id="339" w:name="_Toc593212386"/>
      <w:bookmarkStart w:id="340" w:name="_Toc308545645"/>
      <w:r>
        <w:rPr>
          <w:rFonts w:hint="default" w:ascii="Times New Roman" w:hAnsi="Times New Roman" w:eastAsia="楷体_GB2312" w:cs="Times New Roman"/>
          <w:b w:val="0"/>
          <w:color w:val="auto"/>
        </w:rPr>
        <w:t>第四节  大力推进存量资源盘活利用</w:t>
      </w:r>
      <w:bookmarkEnd w:id="338"/>
      <w:bookmarkEnd w:id="339"/>
      <w:bookmarkEnd w:id="340"/>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盘活存量用地资源</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全面提升土地资源利用效率，切实盘活存量用地资源。严格落实新增建设用地计划与闲置土地处置数量挂钩机制，实现增量安排与存量盘活紧密联动。定期组织开展批而未供</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bidi="ar"/>
        </w:rPr>
        <w:t>闲置土地的清查与评估，精准摸清存量土地底数，深入分析成因并分类制定处置方案。</w:t>
      </w:r>
      <w:r>
        <w:rPr>
          <w:rFonts w:hint="default" w:ascii="Times New Roman" w:hAnsi="Times New Roman" w:eastAsia="仿宋_GB2312" w:cs="Times New Roman"/>
          <w:color w:val="auto"/>
          <w:kern w:val="0"/>
          <w:sz w:val="32"/>
          <w:szCs w:val="32"/>
          <w:lang w:val="en-US" w:eastAsia="zh-CN" w:bidi="ar"/>
        </w:rPr>
        <w:t>加大批而未供土地的供应力度，充分挖掘存量建设用地潜力；</w:t>
      </w:r>
      <w:r>
        <w:rPr>
          <w:rFonts w:hint="default" w:ascii="Times New Roman" w:hAnsi="Times New Roman" w:eastAsia="仿宋_GB2312" w:cs="Times New Roman"/>
          <w:color w:val="auto"/>
          <w:kern w:val="0"/>
          <w:sz w:val="32"/>
          <w:szCs w:val="32"/>
          <w:lang w:bidi="ar"/>
        </w:rPr>
        <w:t>健全“收回、调整、供应”全链条管理，依法依规收回闲置土地，推行协商回购、土地置换等多元收回方式；将盘活后的存量用地及时纳入供应计划，优先保障</w:t>
      </w:r>
      <w:r>
        <w:rPr>
          <w:rFonts w:hint="default" w:ascii="Times New Roman" w:hAnsi="Times New Roman" w:eastAsia="仿宋_GB2312" w:cs="Times New Roman"/>
          <w:color w:val="auto"/>
          <w:kern w:val="0"/>
          <w:sz w:val="32"/>
          <w:szCs w:val="32"/>
          <w:lang w:val="en-US" w:eastAsia="zh-CN" w:bidi="ar"/>
        </w:rPr>
        <w:t>深海科技、</w:t>
      </w:r>
      <w:r>
        <w:rPr>
          <w:rFonts w:hint="default" w:ascii="Times New Roman" w:hAnsi="Times New Roman" w:eastAsia="仿宋_GB2312" w:cs="Times New Roman"/>
          <w:color w:val="auto"/>
          <w:kern w:val="0"/>
          <w:sz w:val="32"/>
          <w:szCs w:val="32"/>
          <w:highlight w:val="none"/>
          <w:lang w:val="en-US" w:eastAsia="zh-CN" w:bidi="ar"/>
        </w:rPr>
        <w:t>南繁种业、总部经济、先进制造、旅游消费、临空经济等优势产业</w:t>
      </w:r>
      <w:r>
        <w:rPr>
          <w:rFonts w:hint="default" w:ascii="Times New Roman" w:hAnsi="Times New Roman" w:eastAsia="仿宋_GB2312" w:cs="Times New Roman"/>
          <w:color w:val="auto"/>
          <w:kern w:val="0"/>
          <w:sz w:val="32"/>
          <w:szCs w:val="32"/>
          <w:lang w:bidi="ar"/>
        </w:rPr>
        <w:t>项目用地需求。支持存量用地复合利用，允许在出让合同约定的用途和比例范围内，转型为多种业态融合的综合用地，促进产业转型升级和城市更新发展。</w:t>
      </w:r>
    </w:p>
    <w:p>
      <w:pPr>
        <w:spacing w:line="560" w:lineRule="exact"/>
        <w:ind w:firstLine="642" w:firstLineChars="200"/>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b/>
          <w:bCs/>
          <w:color w:val="auto"/>
          <w:kern w:val="0"/>
          <w:sz w:val="32"/>
          <w:szCs w:val="32"/>
          <w:lang w:bidi="ar"/>
        </w:rPr>
        <w:t>持续推进批而未供土地处置</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全面开展批而未供土地清查工作，建立台账，明确处置责任主体、处置时限和处置方式，分类施策推进处置工作。制定详细的分类处置计划，有序开展批而未供土地处置工作，</w:t>
      </w:r>
      <w:r>
        <w:rPr>
          <w:rFonts w:hint="default" w:ascii="Times New Roman" w:hAnsi="Times New Roman" w:eastAsia="仿宋_GB2312" w:cs="Times New Roman"/>
          <w:color w:val="auto"/>
          <w:kern w:val="0"/>
          <w:sz w:val="32"/>
          <w:szCs w:val="32"/>
          <w:lang w:val="en-US" w:eastAsia="zh-CN" w:bidi="ar"/>
        </w:rPr>
        <w:t>推进</w:t>
      </w:r>
      <w:r>
        <w:rPr>
          <w:rFonts w:hint="default" w:ascii="Times New Roman" w:hAnsi="Times New Roman" w:eastAsia="仿宋_GB2312" w:cs="Times New Roman"/>
          <w:color w:val="auto"/>
          <w:kern w:val="0"/>
          <w:sz w:val="32"/>
          <w:szCs w:val="32"/>
          <w:highlight w:val="none"/>
          <w:lang w:bidi="ar"/>
        </w:rPr>
        <w:t>3</w:t>
      </w:r>
      <w:r>
        <w:rPr>
          <w:rFonts w:hint="default" w:ascii="Times New Roman" w:hAnsi="Times New Roman" w:eastAsia="仿宋_GB2312" w:cs="Times New Roman"/>
          <w:color w:val="auto"/>
          <w:kern w:val="0"/>
          <w:sz w:val="32"/>
          <w:szCs w:val="32"/>
          <w:highlight w:val="none"/>
          <w:lang w:val="en-US" w:eastAsia="zh-CN" w:bidi="ar"/>
        </w:rPr>
        <w:t>万</w:t>
      </w:r>
      <w:r>
        <w:rPr>
          <w:rFonts w:hint="default" w:ascii="Times New Roman" w:hAnsi="Times New Roman" w:eastAsia="仿宋_GB2312" w:cs="Times New Roman"/>
          <w:color w:val="auto"/>
          <w:kern w:val="0"/>
          <w:sz w:val="32"/>
          <w:szCs w:val="32"/>
          <w:lang w:bidi="ar"/>
        </w:rPr>
        <w:t>亩批而未供土地处置，完成</w:t>
      </w:r>
      <w:r>
        <w:rPr>
          <w:rFonts w:hint="default" w:ascii="Times New Roman" w:hAnsi="Times New Roman" w:eastAsia="仿宋_GB2312" w:cs="Times New Roman"/>
          <w:color w:val="auto"/>
          <w:kern w:val="0"/>
          <w:sz w:val="32"/>
          <w:szCs w:val="32"/>
          <w:lang w:val="en-US" w:eastAsia="zh-CN" w:bidi="ar"/>
        </w:rPr>
        <w:t>专项考核目标及年度任务</w:t>
      </w:r>
      <w:r>
        <w:rPr>
          <w:rFonts w:hint="default" w:ascii="Times New Roman" w:hAnsi="Times New Roman" w:eastAsia="仿宋_GB2312" w:cs="Times New Roman"/>
          <w:color w:val="auto"/>
          <w:kern w:val="0"/>
          <w:sz w:val="32"/>
          <w:szCs w:val="32"/>
          <w:lang w:bidi="ar"/>
        </w:rPr>
        <w:t>。</w:t>
      </w:r>
      <w:r>
        <w:rPr>
          <w:rFonts w:hint="default" w:ascii="Times New Roman" w:hAnsi="Times New Roman" w:eastAsia="仿宋_GB2312" w:cs="Times New Roman"/>
          <w:color w:val="auto"/>
          <w:kern w:val="0"/>
          <w:sz w:val="32"/>
          <w:szCs w:val="32"/>
          <w:lang w:val="en-US" w:eastAsia="zh-CN" w:bidi="ar"/>
        </w:rPr>
        <w:t>积极提高项目谋划水平，加大招商力度，严控新增批而未供土地，压实属地区政府与园区</w:t>
      </w:r>
      <w:r>
        <w:rPr>
          <w:rFonts w:hint="default" w:ascii="Times New Roman" w:hAnsi="Times New Roman" w:eastAsia="仿宋_GB2312" w:cs="Times New Roman"/>
          <w:color w:val="auto"/>
          <w:kern w:val="0"/>
          <w:sz w:val="32"/>
          <w:szCs w:val="32"/>
          <w:lang w:eastAsia="zh-CN" w:bidi="ar"/>
        </w:rPr>
        <w:t>管委会</w:t>
      </w:r>
      <w:r>
        <w:rPr>
          <w:rFonts w:hint="default" w:ascii="Times New Roman" w:hAnsi="Times New Roman" w:eastAsia="仿宋_GB2312" w:cs="Times New Roman"/>
          <w:color w:val="auto"/>
          <w:kern w:val="0"/>
          <w:sz w:val="32"/>
          <w:szCs w:val="32"/>
          <w:lang w:val="en-US" w:eastAsia="zh-CN" w:bidi="ar"/>
        </w:rPr>
        <w:t>处置责任，加大政府投资类项目土地供应力度，优化</w:t>
      </w:r>
      <w:r>
        <w:rPr>
          <w:rFonts w:hint="default" w:ascii="Times New Roman" w:hAnsi="Times New Roman" w:eastAsia="仿宋_GB2312" w:cs="Times New Roman"/>
          <w:color w:val="auto"/>
          <w:kern w:val="0"/>
          <w:sz w:val="32"/>
          <w:szCs w:val="32"/>
          <w:lang w:bidi="ar"/>
        </w:rPr>
        <w:t>供地审批流程</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bidi="ar"/>
        </w:rPr>
        <w:t>推动</w:t>
      </w:r>
      <w:r>
        <w:rPr>
          <w:rFonts w:hint="default" w:ascii="Times New Roman" w:hAnsi="Times New Roman" w:eastAsia="仿宋_GB2312" w:cs="Times New Roman"/>
          <w:color w:val="auto"/>
          <w:kern w:val="0"/>
          <w:sz w:val="32"/>
          <w:szCs w:val="32"/>
          <w:lang w:val="en-US" w:eastAsia="zh-CN" w:bidi="ar"/>
        </w:rPr>
        <w:t>存量</w:t>
      </w:r>
      <w:r>
        <w:rPr>
          <w:rFonts w:hint="default" w:ascii="Times New Roman" w:hAnsi="Times New Roman" w:eastAsia="仿宋_GB2312" w:cs="Times New Roman"/>
          <w:color w:val="auto"/>
          <w:kern w:val="0"/>
          <w:sz w:val="32"/>
          <w:szCs w:val="32"/>
          <w:lang w:eastAsia="zh-CN" w:bidi="ar"/>
        </w:rPr>
        <w:t>用地</w:t>
      </w:r>
      <w:r>
        <w:rPr>
          <w:rFonts w:hint="default" w:ascii="Times New Roman" w:hAnsi="Times New Roman" w:eastAsia="仿宋_GB2312" w:cs="Times New Roman"/>
          <w:color w:val="auto"/>
          <w:kern w:val="0"/>
          <w:sz w:val="32"/>
          <w:szCs w:val="32"/>
          <w:lang w:bidi="ar"/>
        </w:rPr>
        <w:t>快速盘活与高效利用。</w:t>
      </w:r>
    </w:p>
    <w:p>
      <w:pPr>
        <w:spacing w:line="560" w:lineRule="exact"/>
        <w:ind w:firstLine="642" w:firstLineChars="200"/>
        <w:jc w:val="both"/>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b/>
          <w:bCs/>
          <w:color w:val="auto"/>
          <w:kern w:val="0"/>
          <w:sz w:val="32"/>
          <w:szCs w:val="32"/>
          <w:lang w:bidi="ar"/>
        </w:rPr>
        <w:t>深化闲置土地处置工作</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val="en-US" w:eastAsia="zh-CN" w:bidi="ar"/>
        </w:rPr>
        <w:t>依托自然资源要素全生命周期监管系统（用地），加大</w:t>
      </w:r>
      <w:r>
        <w:rPr>
          <w:rFonts w:hint="default" w:ascii="Times New Roman" w:hAnsi="Times New Roman" w:eastAsia="仿宋_GB2312" w:cs="Times New Roman"/>
          <w:color w:val="auto"/>
          <w:kern w:val="0"/>
          <w:sz w:val="32"/>
          <w:szCs w:val="32"/>
          <w:lang w:bidi="ar"/>
        </w:rPr>
        <w:t>闲置土地</w:t>
      </w:r>
      <w:r>
        <w:rPr>
          <w:rFonts w:hint="default" w:ascii="Times New Roman" w:hAnsi="Times New Roman" w:eastAsia="仿宋_GB2312" w:cs="Times New Roman"/>
          <w:color w:val="auto"/>
          <w:kern w:val="0"/>
          <w:sz w:val="32"/>
          <w:szCs w:val="32"/>
          <w:lang w:val="en-US" w:eastAsia="zh-CN" w:bidi="ar"/>
        </w:rPr>
        <w:t>巡查力度，开展闲置土地</w:t>
      </w:r>
      <w:r>
        <w:rPr>
          <w:rFonts w:hint="default" w:ascii="Times New Roman" w:hAnsi="Times New Roman" w:eastAsia="仿宋_GB2312" w:cs="Times New Roman"/>
          <w:color w:val="auto"/>
          <w:kern w:val="0"/>
          <w:sz w:val="32"/>
          <w:szCs w:val="32"/>
          <w:lang w:bidi="ar"/>
        </w:rPr>
        <w:t>排查</w:t>
      </w:r>
      <w:r>
        <w:rPr>
          <w:rFonts w:hint="default" w:ascii="Times New Roman" w:hAnsi="Times New Roman" w:eastAsia="仿宋_GB2312" w:cs="Times New Roman"/>
          <w:color w:val="auto"/>
          <w:kern w:val="0"/>
          <w:sz w:val="32"/>
          <w:szCs w:val="32"/>
          <w:lang w:val="en-US" w:eastAsia="zh-CN" w:bidi="ar"/>
        </w:rPr>
        <w:t>清理</w:t>
      </w:r>
      <w:r>
        <w:rPr>
          <w:rFonts w:hint="default" w:ascii="Times New Roman" w:hAnsi="Times New Roman" w:eastAsia="仿宋_GB2312" w:cs="Times New Roman"/>
          <w:color w:val="auto"/>
          <w:kern w:val="0"/>
          <w:sz w:val="32"/>
          <w:szCs w:val="32"/>
          <w:lang w:bidi="ar"/>
        </w:rPr>
        <w:t>，严控新增</w:t>
      </w:r>
      <w:r>
        <w:rPr>
          <w:rFonts w:hint="default" w:ascii="Times New Roman" w:hAnsi="Times New Roman" w:eastAsia="仿宋_GB2312" w:cs="Times New Roman"/>
          <w:color w:val="auto"/>
          <w:kern w:val="0"/>
          <w:sz w:val="32"/>
          <w:szCs w:val="32"/>
          <w:lang w:val="en-US" w:eastAsia="zh-CN" w:bidi="ar"/>
        </w:rPr>
        <w:t>闲置土地，提高闲置土地处置率，推进6000</w:t>
      </w:r>
      <w:r>
        <w:rPr>
          <w:rFonts w:hint="default" w:ascii="Times New Roman" w:hAnsi="Times New Roman" w:eastAsia="仿宋_GB2312" w:cs="Times New Roman"/>
          <w:color w:val="auto"/>
          <w:kern w:val="0"/>
          <w:sz w:val="32"/>
          <w:szCs w:val="32"/>
          <w:lang w:bidi="ar"/>
        </w:rPr>
        <w:t>亩</w:t>
      </w:r>
      <w:r>
        <w:rPr>
          <w:rFonts w:hint="default" w:ascii="Times New Roman" w:hAnsi="Times New Roman" w:eastAsia="仿宋_GB2312" w:cs="Times New Roman"/>
          <w:color w:val="auto"/>
          <w:kern w:val="0"/>
          <w:sz w:val="32"/>
          <w:szCs w:val="32"/>
          <w:lang w:val="en-US" w:eastAsia="zh-CN" w:bidi="ar"/>
        </w:rPr>
        <w:t>闲置土地处置</w:t>
      </w:r>
      <w:r>
        <w:rPr>
          <w:rFonts w:hint="default" w:ascii="Times New Roman" w:hAnsi="Times New Roman" w:eastAsia="仿宋_GB2312" w:cs="Times New Roman"/>
          <w:color w:val="auto"/>
          <w:kern w:val="0"/>
          <w:sz w:val="32"/>
          <w:szCs w:val="32"/>
          <w:lang w:bidi="ar"/>
        </w:rPr>
        <w:t>，完成</w:t>
      </w:r>
      <w:r>
        <w:rPr>
          <w:rFonts w:hint="default" w:ascii="Times New Roman" w:hAnsi="Times New Roman" w:eastAsia="仿宋_GB2312" w:cs="Times New Roman"/>
          <w:color w:val="auto"/>
          <w:kern w:val="0"/>
          <w:sz w:val="32"/>
          <w:szCs w:val="32"/>
          <w:lang w:val="en-US" w:eastAsia="zh-CN" w:bidi="ar"/>
        </w:rPr>
        <w:t>专项考核任务</w:t>
      </w:r>
      <w:r>
        <w:rPr>
          <w:rFonts w:hint="default" w:ascii="Times New Roman" w:hAnsi="Times New Roman" w:eastAsia="仿宋_GB2312" w:cs="Times New Roman"/>
          <w:color w:val="auto"/>
          <w:kern w:val="0"/>
          <w:sz w:val="32"/>
          <w:szCs w:val="32"/>
          <w:lang w:bidi="ar"/>
        </w:rPr>
        <w:t>目标。严格落实闲置土地处置相关政策要求，建立闲置土地分类处置台账，明确闲置原因、处置路径和完成时限</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val="en-US" w:eastAsia="zh-CN" w:bidi="ar"/>
        </w:rPr>
        <w:t>纳入“一张图”监管。</w:t>
      </w:r>
      <w:r>
        <w:rPr>
          <w:rFonts w:hint="default" w:ascii="Times New Roman" w:hAnsi="Times New Roman" w:eastAsia="仿宋_GB2312" w:cs="Times New Roman"/>
          <w:color w:val="auto"/>
          <w:kern w:val="0"/>
          <w:sz w:val="32"/>
          <w:szCs w:val="32"/>
          <w:lang w:bidi="ar"/>
        </w:rPr>
        <w:t>按照“推动动工一批”“依法收回一批”“依法置换一批”“依法收费一批”“延长动工开发期限一批”“市场盘活利用一批”“安排临时使用一批”等方式，“一宗一策”推进闲置土地处置。对因企业原因</w:t>
      </w:r>
      <w:r>
        <w:rPr>
          <w:rFonts w:hint="default" w:ascii="Times New Roman" w:hAnsi="Times New Roman" w:eastAsia="仿宋_GB2312" w:cs="Times New Roman"/>
          <w:color w:val="auto"/>
          <w:kern w:val="0"/>
          <w:sz w:val="32"/>
          <w:szCs w:val="32"/>
          <w:lang w:val="en-US" w:eastAsia="zh-CN" w:bidi="ar"/>
        </w:rPr>
        <w:t>造成的土地</w:t>
      </w:r>
      <w:r>
        <w:rPr>
          <w:rFonts w:hint="default" w:ascii="Times New Roman" w:hAnsi="Times New Roman" w:eastAsia="仿宋_GB2312" w:cs="Times New Roman"/>
          <w:color w:val="auto"/>
          <w:kern w:val="0"/>
          <w:sz w:val="32"/>
          <w:szCs w:val="32"/>
          <w:lang w:bidi="ar"/>
        </w:rPr>
        <w:t>闲置</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bidi="ar"/>
        </w:rPr>
        <w:t>依法依规征缴土地闲置费</w:t>
      </w:r>
      <w:r>
        <w:rPr>
          <w:rFonts w:hint="default" w:ascii="Times New Roman" w:hAnsi="Times New Roman" w:eastAsia="仿宋_GB2312" w:cs="Times New Roman"/>
          <w:color w:val="auto"/>
          <w:kern w:val="0"/>
          <w:sz w:val="32"/>
          <w:szCs w:val="32"/>
          <w:lang w:val="en-US" w:eastAsia="zh-CN" w:bidi="ar"/>
        </w:rPr>
        <w:t>或无偿收回</w:t>
      </w:r>
      <w:r>
        <w:rPr>
          <w:rFonts w:hint="default" w:ascii="Times New Roman" w:hAnsi="Times New Roman" w:eastAsia="仿宋_GB2312" w:cs="Times New Roman"/>
          <w:color w:val="auto"/>
          <w:kern w:val="0"/>
          <w:sz w:val="32"/>
          <w:szCs w:val="32"/>
          <w:lang w:bidi="ar"/>
        </w:rPr>
        <w:t>。依法收回</w:t>
      </w:r>
      <w:r>
        <w:rPr>
          <w:rFonts w:hint="default" w:ascii="Times New Roman" w:hAnsi="Times New Roman" w:eastAsia="仿宋_GB2312" w:cs="Times New Roman"/>
          <w:color w:val="auto"/>
          <w:kern w:val="0"/>
          <w:sz w:val="32"/>
          <w:szCs w:val="32"/>
          <w:lang w:val="en-US" w:eastAsia="zh-CN" w:bidi="ar"/>
        </w:rPr>
        <w:t>的</w:t>
      </w:r>
      <w:r>
        <w:rPr>
          <w:rFonts w:hint="default" w:ascii="Times New Roman" w:hAnsi="Times New Roman" w:eastAsia="仿宋_GB2312" w:cs="Times New Roman"/>
          <w:color w:val="auto"/>
          <w:kern w:val="0"/>
          <w:sz w:val="32"/>
          <w:szCs w:val="32"/>
          <w:lang w:eastAsia="zh-CN" w:bidi="ar"/>
        </w:rPr>
        <w:t>闲置</w:t>
      </w:r>
      <w:r>
        <w:rPr>
          <w:rFonts w:hint="default" w:ascii="Times New Roman" w:hAnsi="Times New Roman" w:eastAsia="仿宋_GB2312" w:cs="Times New Roman"/>
          <w:color w:val="auto"/>
          <w:kern w:val="0"/>
          <w:sz w:val="32"/>
          <w:szCs w:val="32"/>
          <w:lang w:val="en-US" w:eastAsia="zh-CN" w:bidi="ar"/>
        </w:rPr>
        <w:t>土地可</w:t>
      </w:r>
      <w:r>
        <w:rPr>
          <w:rFonts w:hint="default" w:ascii="Times New Roman" w:hAnsi="Times New Roman" w:eastAsia="仿宋_GB2312" w:cs="Times New Roman"/>
          <w:color w:val="auto"/>
          <w:kern w:val="0"/>
          <w:sz w:val="32"/>
          <w:szCs w:val="32"/>
          <w:lang w:bidi="ar"/>
        </w:rPr>
        <w:t>重新出让，优先用于深海科技、南繁种业、低空经济等重点产业发展需求。对农村闲置宅基地、垦区闲置建设用地，通过有偿退出、流转使用、活态改造等方式，盘活用于乡村产业、公共服务等</w:t>
      </w:r>
      <w:r>
        <w:rPr>
          <w:rFonts w:hint="default" w:ascii="Times New Roman" w:hAnsi="Times New Roman" w:eastAsia="仿宋_GB2312" w:cs="Times New Roman"/>
          <w:color w:val="auto"/>
          <w:kern w:val="0"/>
          <w:sz w:val="32"/>
          <w:szCs w:val="32"/>
          <w:lang w:eastAsia="zh-CN" w:bidi="ar"/>
        </w:rPr>
        <w:t>项目</w:t>
      </w:r>
      <w:r>
        <w:rPr>
          <w:rFonts w:hint="default" w:ascii="Times New Roman" w:hAnsi="Times New Roman" w:eastAsia="仿宋_GB2312" w:cs="Times New Roman"/>
          <w:color w:val="auto"/>
          <w:kern w:val="0"/>
          <w:sz w:val="32"/>
          <w:szCs w:val="32"/>
          <w:lang w:bidi="ar"/>
        </w:rPr>
        <w:t>建设。</w:t>
      </w:r>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探索低效用地再开发新模式</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坚持“政府引导、市场运作、分类施策、协同推进”原则，探索低效用地再开发新模式，重点推进</w:t>
      </w:r>
      <w:r>
        <w:rPr>
          <w:rFonts w:hint="default" w:ascii="Times New Roman" w:hAnsi="Times New Roman" w:eastAsia="仿宋_GB2312" w:cs="Times New Roman"/>
          <w:color w:val="auto"/>
          <w:kern w:val="0"/>
          <w:sz w:val="32"/>
          <w:szCs w:val="32"/>
          <w:lang w:val="en-US" w:eastAsia="zh-CN" w:bidi="ar"/>
        </w:rPr>
        <w:t>中心城区</w:t>
      </w:r>
      <w:r>
        <w:rPr>
          <w:rFonts w:hint="default" w:ascii="Times New Roman" w:hAnsi="Times New Roman" w:eastAsia="仿宋_GB2312" w:cs="Times New Roman"/>
          <w:color w:val="auto"/>
          <w:kern w:val="0"/>
          <w:sz w:val="32"/>
          <w:szCs w:val="32"/>
          <w:lang w:bidi="ar"/>
        </w:rPr>
        <w:t>、</w:t>
      </w:r>
      <w:r>
        <w:rPr>
          <w:rFonts w:hint="default" w:ascii="Times New Roman" w:hAnsi="Times New Roman" w:eastAsia="仿宋_GB2312" w:cs="Times New Roman"/>
          <w:color w:val="auto"/>
          <w:kern w:val="0"/>
          <w:sz w:val="32"/>
          <w:szCs w:val="32"/>
          <w:lang w:val="en-US" w:eastAsia="zh-CN" w:bidi="ar"/>
        </w:rPr>
        <w:t>园区</w:t>
      </w:r>
      <w:r>
        <w:rPr>
          <w:rFonts w:hint="default" w:ascii="Times New Roman" w:hAnsi="Times New Roman" w:eastAsia="仿宋_GB2312" w:cs="Times New Roman"/>
          <w:color w:val="auto"/>
          <w:kern w:val="0"/>
          <w:sz w:val="32"/>
          <w:szCs w:val="32"/>
          <w:lang w:bidi="ar"/>
        </w:rPr>
        <w:t>、垦区低效用地再开发。建立低效用地台账，明确再开发范围、方式和管控要求。鼓励企业自主开展低效用地再开发，对提容改造、产业升级的企业给予政策支持。通过政府回购、土地置</w:t>
      </w:r>
      <w:r>
        <w:rPr>
          <w:rFonts w:hint="default" w:ascii="Times New Roman" w:hAnsi="Times New Roman" w:eastAsia="仿宋_GB2312" w:cs="Times New Roman"/>
          <w:color w:val="auto"/>
          <w:kern w:val="0"/>
          <w:sz w:val="32"/>
          <w:szCs w:val="32"/>
          <w:highlight w:val="none"/>
          <w:lang w:bidi="ar"/>
        </w:rPr>
        <w:t>换、合作开发、业态组合、复合利用等方式，推动低效用地转型为科创、文旅</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高端消费</w:t>
      </w:r>
      <w:r>
        <w:rPr>
          <w:rFonts w:hint="default" w:ascii="Times New Roman" w:hAnsi="Times New Roman" w:eastAsia="仿宋_GB2312" w:cs="Times New Roman"/>
          <w:color w:val="auto"/>
          <w:kern w:val="0"/>
          <w:sz w:val="32"/>
          <w:szCs w:val="32"/>
          <w:highlight w:val="none"/>
          <w:lang w:bidi="ar"/>
        </w:rPr>
        <w:t>等高效益用地。结合全域土地综合整治，整</w:t>
      </w:r>
      <w:r>
        <w:rPr>
          <w:rFonts w:hint="default" w:ascii="Times New Roman" w:hAnsi="Times New Roman" w:eastAsia="仿宋_GB2312" w:cs="Times New Roman"/>
          <w:color w:val="auto"/>
          <w:kern w:val="0"/>
          <w:sz w:val="32"/>
          <w:szCs w:val="32"/>
          <w:lang w:bidi="ar"/>
        </w:rPr>
        <w:t>合零散低效用地，推动规模化、集约化利用，同步推进低效集体经营性建设用地再开发，畅通城乡土地要素流动，提升土地利用效能。</w:t>
      </w:r>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推动产业园区用地提质增效</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严格落实国家、省级产业用地控制指标刚性管控要求，联动园区管委会、发改、工信等部门，开展产业园区用地评价及监测，结合签订的产业项目准入协议开展履约监管、动态评估等专项工作，加强监管与评估结果的约束和引导作用。聚焦</w:t>
      </w:r>
      <w:r>
        <w:rPr>
          <w:rFonts w:hint="default" w:ascii="Times New Roman" w:hAnsi="Times New Roman" w:eastAsia="仿宋_GB2312" w:cs="Times New Roman"/>
          <w:color w:val="auto"/>
          <w:kern w:val="0"/>
          <w:sz w:val="32"/>
          <w:szCs w:val="32"/>
          <w:lang w:val="en" w:eastAsia="zh-CN" w:bidi="ar"/>
        </w:rPr>
        <w:t>崖州湾科技城高新区</w:t>
      </w:r>
      <w:r>
        <w:rPr>
          <w:rFonts w:hint="default" w:ascii="Times New Roman" w:hAnsi="Times New Roman" w:eastAsia="仿宋_GB2312" w:cs="Times New Roman"/>
          <w:color w:val="auto"/>
          <w:kern w:val="0"/>
          <w:sz w:val="32"/>
          <w:szCs w:val="32"/>
          <w:lang w:bidi="ar"/>
        </w:rPr>
        <w:t>、中央商务区</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val="en-US" w:eastAsia="zh-CN" w:bidi="ar"/>
        </w:rPr>
        <w:t>三亚海棠湾国家海岸休闲园区</w:t>
      </w:r>
      <w:r>
        <w:rPr>
          <w:rFonts w:hint="default" w:ascii="Times New Roman" w:hAnsi="Times New Roman" w:eastAsia="仿宋_GB2312" w:cs="Times New Roman"/>
          <w:color w:val="auto"/>
          <w:kern w:val="0"/>
          <w:sz w:val="32"/>
          <w:szCs w:val="32"/>
          <w:lang w:bidi="ar"/>
        </w:rPr>
        <w:t>等重点园区</w:t>
      </w:r>
      <w:r>
        <w:rPr>
          <w:rFonts w:hint="default" w:ascii="Times New Roman" w:hAnsi="Times New Roman" w:eastAsia="仿宋_GB2312" w:cs="Times New Roman"/>
          <w:color w:val="auto"/>
          <w:kern w:val="0"/>
          <w:sz w:val="32"/>
          <w:szCs w:val="32"/>
          <w:lang w:val="en-US" w:eastAsia="zh-CN" w:bidi="ar"/>
        </w:rPr>
        <w:t>以及亚龙湾国</w:t>
      </w:r>
      <w:r>
        <w:rPr>
          <w:rFonts w:hint="default" w:ascii="Times New Roman" w:hAnsi="Times New Roman" w:eastAsia="仿宋_GB2312" w:cs="Times New Roman"/>
          <w:color w:val="auto"/>
          <w:kern w:val="0"/>
          <w:sz w:val="32"/>
          <w:szCs w:val="32"/>
          <w:lang w:eastAsia="zh-CN" w:bidi="ar"/>
        </w:rPr>
        <w:t>家</w:t>
      </w:r>
      <w:r>
        <w:rPr>
          <w:rFonts w:hint="default" w:ascii="Times New Roman" w:hAnsi="Times New Roman" w:eastAsia="仿宋_GB2312" w:cs="Times New Roman"/>
          <w:color w:val="auto"/>
          <w:kern w:val="0"/>
          <w:sz w:val="32"/>
          <w:szCs w:val="32"/>
          <w:lang w:val="en-US" w:eastAsia="zh-CN" w:bidi="ar"/>
        </w:rPr>
        <w:t>级旅游度假区等统筹提升专项研究工作，</w:t>
      </w:r>
      <w:r>
        <w:rPr>
          <w:rFonts w:hint="default" w:ascii="Times New Roman" w:hAnsi="Times New Roman" w:eastAsia="仿宋_GB2312" w:cs="Times New Roman"/>
          <w:color w:val="auto"/>
          <w:kern w:val="0"/>
          <w:sz w:val="32"/>
          <w:szCs w:val="32"/>
          <w:lang w:bidi="ar"/>
        </w:rPr>
        <w:t>全面排查闲置土地、零散用地、违规用地情况，建立产业园区用地专项治理台账，实行“一园一策、一宗一方案”。加强产业园区低效用地管控，支持依法采取</w:t>
      </w:r>
      <w:r>
        <w:rPr>
          <w:rFonts w:hint="default" w:ascii="Times New Roman" w:hAnsi="Times New Roman" w:eastAsia="仿宋_GB2312" w:cs="Times New Roman"/>
          <w:color w:val="auto"/>
          <w:kern w:val="0"/>
          <w:sz w:val="32"/>
          <w:szCs w:val="32"/>
          <w:lang w:val="en-US" w:eastAsia="zh-CN" w:bidi="ar"/>
        </w:rPr>
        <w:t>收回、</w:t>
      </w:r>
      <w:r>
        <w:rPr>
          <w:rFonts w:hint="default" w:ascii="Times New Roman" w:hAnsi="Times New Roman" w:eastAsia="仿宋_GB2312" w:cs="Times New Roman"/>
          <w:color w:val="auto"/>
          <w:kern w:val="0"/>
          <w:sz w:val="32"/>
          <w:szCs w:val="32"/>
          <w:lang w:bidi="ar"/>
        </w:rPr>
        <w:t>分割转让、土地置换、配套统筹等方式，促进产业园区提质增效。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auto"/>
        <w:spacing w:before="0" w:beforeAutospacing="0" w:after="0" w:afterAutospacing="0" w:line="560" w:lineRule="exact"/>
        <w:ind w:left="0" w:right="0" w:firstLine="642" w:firstLineChars="200"/>
        <w:jc w:val="left"/>
        <w:rPr>
          <w:rFonts w:hint="default" w:ascii="Times New Roman" w:hAnsi="Times New Roman" w:eastAsia="仿宋_GB2312" w:cs="Times New Roman"/>
          <w:i w:val="0"/>
          <w:iCs w:val="0"/>
          <w:caps w:val="0"/>
          <w:color w:val="auto"/>
          <w:spacing w:val="0"/>
          <w:kern w:val="0"/>
          <w:sz w:val="32"/>
          <w:szCs w:val="32"/>
          <w:lang w:bidi="ar"/>
        </w:rPr>
      </w:pPr>
      <w:r>
        <w:rPr>
          <w:rFonts w:hint="default" w:ascii="Times New Roman" w:hAnsi="Times New Roman" w:eastAsia="仿宋_GB2312" w:cs="Times New Roman"/>
          <w:b/>
          <w:bCs/>
          <w:i w:val="0"/>
          <w:iCs w:val="0"/>
          <w:caps w:val="0"/>
          <w:color w:val="auto"/>
          <w:spacing w:val="0"/>
          <w:kern w:val="0"/>
          <w:sz w:val="32"/>
          <w:szCs w:val="32"/>
          <w:shd w:val="clear" w:fill="auto"/>
          <w:lang w:val="en-US" w:eastAsia="zh-CN" w:bidi="ar"/>
        </w:rPr>
        <w:t>推进矿产资源利用</w:t>
      </w:r>
      <w:r>
        <w:rPr>
          <w:rFonts w:hint="default" w:ascii="Times New Roman" w:hAnsi="Times New Roman" w:eastAsia="仿宋_GB2312" w:cs="Times New Roman"/>
          <w:b w:val="0"/>
          <w:bCs w:val="0"/>
          <w:i w:val="0"/>
          <w:iCs w:val="0"/>
          <w:caps w:val="0"/>
          <w:color w:val="auto"/>
          <w:spacing w:val="0"/>
          <w:kern w:val="0"/>
          <w:sz w:val="32"/>
          <w:szCs w:val="32"/>
          <w:shd w:val="clear" w:fill="auto"/>
          <w:lang w:val="en-US" w:eastAsia="zh-CN" w:bidi="ar"/>
        </w:rPr>
        <w:t>。</w:t>
      </w:r>
      <w:r>
        <w:rPr>
          <w:rFonts w:hint="default" w:ascii="Times New Roman" w:hAnsi="Times New Roman" w:eastAsia="仿宋_GB2312" w:cs="Times New Roman"/>
          <w:i w:val="0"/>
          <w:iCs w:val="0"/>
          <w:caps w:val="0"/>
          <w:color w:val="auto"/>
          <w:spacing w:val="0"/>
          <w:kern w:val="0"/>
          <w:sz w:val="32"/>
          <w:szCs w:val="32"/>
          <w:shd w:val="clear" w:fill="auto"/>
          <w:lang w:val="en-US" w:eastAsia="zh-CN" w:bidi="ar"/>
        </w:rPr>
        <w:t>统筹推进矿产资源存量盘活，实现矿产资源高效利用与生态保护</w:t>
      </w:r>
      <w:r>
        <w:rPr>
          <w:rFonts w:hint="default" w:ascii="Times New Roman" w:hAnsi="Times New Roman" w:eastAsia="仿宋_GB2312" w:cs="Times New Roman"/>
          <w:i w:val="0"/>
          <w:iCs w:val="0"/>
          <w:caps w:val="0"/>
          <w:color w:val="auto"/>
          <w:spacing w:val="0"/>
          <w:kern w:val="0"/>
          <w:sz w:val="32"/>
          <w:szCs w:val="32"/>
          <w:shd w:val="clear" w:fill="auto"/>
          <w:lang w:eastAsia="zh-CN" w:bidi="ar"/>
        </w:rPr>
        <w:t>相</w:t>
      </w:r>
      <w:r>
        <w:rPr>
          <w:rFonts w:hint="default" w:ascii="Times New Roman" w:hAnsi="Times New Roman" w:eastAsia="仿宋_GB2312" w:cs="Times New Roman"/>
          <w:i w:val="0"/>
          <w:iCs w:val="0"/>
          <w:caps w:val="0"/>
          <w:color w:val="auto"/>
          <w:spacing w:val="0"/>
          <w:kern w:val="0"/>
          <w:sz w:val="32"/>
          <w:szCs w:val="32"/>
          <w:shd w:val="clear" w:fill="auto"/>
          <w:lang w:val="en-US" w:eastAsia="zh-CN" w:bidi="ar"/>
        </w:rPr>
        <w:t>协同。</w:t>
      </w:r>
      <w:r>
        <w:rPr>
          <w:rFonts w:hint="default" w:ascii="Times New Roman" w:hAnsi="Times New Roman" w:eastAsia="仿宋_GB2312" w:cs="Times New Roman"/>
          <w:i w:val="0"/>
          <w:iCs w:val="0"/>
          <w:caps w:val="0"/>
          <w:color w:val="auto"/>
          <w:spacing w:val="0"/>
          <w:kern w:val="0"/>
          <w:sz w:val="32"/>
          <w:szCs w:val="32"/>
          <w:shd w:val="clear" w:fill="auto"/>
          <w:lang w:eastAsia="zh-CN" w:bidi="ar"/>
        </w:rPr>
        <w:t>落实</w:t>
      </w:r>
      <w:r>
        <w:rPr>
          <w:rFonts w:hint="default" w:ascii="Times New Roman" w:hAnsi="Times New Roman" w:eastAsia="仿宋_GB2312" w:cs="Times New Roman"/>
          <w:i w:val="0"/>
          <w:iCs w:val="0"/>
          <w:caps w:val="0"/>
          <w:color w:val="auto"/>
          <w:spacing w:val="0"/>
          <w:kern w:val="0"/>
          <w:sz w:val="32"/>
          <w:szCs w:val="32"/>
          <w:shd w:val="clear" w:fill="auto"/>
          <w:lang w:val="en-US" w:eastAsia="zh-CN" w:bidi="ar"/>
        </w:rPr>
        <w:t>闭坑矿山生态修复责任，推动开展生态修复</w:t>
      </w:r>
      <w:r>
        <w:rPr>
          <w:rFonts w:hint="default" w:ascii="Times New Roman" w:hAnsi="Times New Roman" w:eastAsia="仿宋_GB2312" w:cs="Times New Roman"/>
          <w:i w:val="0"/>
          <w:iCs w:val="0"/>
          <w:caps w:val="0"/>
          <w:color w:val="auto"/>
          <w:spacing w:val="0"/>
          <w:kern w:val="0"/>
          <w:sz w:val="32"/>
          <w:szCs w:val="32"/>
          <w:shd w:val="clear" w:fill="auto"/>
          <w:lang w:eastAsia="zh-CN" w:bidi="ar"/>
        </w:rPr>
        <w:t>，</w:t>
      </w:r>
      <w:r>
        <w:rPr>
          <w:rFonts w:hint="default" w:ascii="Times New Roman" w:hAnsi="Times New Roman" w:eastAsia="仿宋_GB2312" w:cs="Times New Roman"/>
          <w:i w:val="0"/>
          <w:iCs w:val="0"/>
          <w:caps w:val="0"/>
          <w:color w:val="auto"/>
          <w:spacing w:val="0"/>
          <w:kern w:val="0"/>
          <w:sz w:val="32"/>
          <w:szCs w:val="32"/>
          <w:shd w:val="clear" w:fill="auto"/>
          <w:lang w:bidi="ar"/>
        </w:rPr>
        <w:t>充分借鉴荔枝岭等矿山生态修复工程经验，将闭坑矿区、废弃矿山用地纳入全域土地综合整治和存量低效用地盘活清单</w:t>
      </w:r>
      <w:r>
        <w:rPr>
          <w:rFonts w:hint="default" w:ascii="Times New Roman" w:hAnsi="Times New Roman" w:eastAsia="仿宋_GB2312" w:cs="Times New Roman"/>
          <w:i w:val="0"/>
          <w:iCs w:val="0"/>
          <w:caps w:val="0"/>
          <w:color w:val="auto"/>
          <w:spacing w:val="0"/>
          <w:kern w:val="0"/>
          <w:sz w:val="32"/>
          <w:szCs w:val="32"/>
          <w:shd w:val="clear" w:fill="auto"/>
          <w:lang w:val="en-US" w:eastAsia="zh-CN" w:bidi="ar"/>
        </w:rPr>
        <w:t>。分类妥善解决地热水开采历史遗留问题，对有取水许可、符合有关条件的，补发采矿许可证</w:t>
      </w:r>
      <w:r>
        <w:rPr>
          <w:rFonts w:hint="default" w:ascii="Times New Roman" w:hAnsi="Times New Roman" w:eastAsia="仿宋_GB2312" w:cs="Times New Roman"/>
          <w:i w:val="0"/>
          <w:iCs w:val="0"/>
          <w:caps w:val="0"/>
          <w:color w:val="auto"/>
          <w:spacing w:val="0"/>
          <w:kern w:val="0"/>
          <w:sz w:val="32"/>
          <w:szCs w:val="32"/>
          <w:shd w:val="clear" w:fill="auto"/>
          <w:lang w:eastAsia="zh-CN" w:bidi="ar"/>
        </w:rPr>
        <w:t>；</w:t>
      </w:r>
      <w:r>
        <w:rPr>
          <w:rFonts w:hint="default" w:ascii="Times New Roman" w:hAnsi="Times New Roman" w:eastAsia="仿宋_GB2312" w:cs="Times New Roman"/>
          <w:i w:val="0"/>
          <w:iCs w:val="0"/>
          <w:caps w:val="0"/>
          <w:color w:val="auto"/>
          <w:spacing w:val="0"/>
          <w:kern w:val="0"/>
          <w:sz w:val="32"/>
          <w:szCs w:val="32"/>
          <w:shd w:val="clear" w:fill="auto"/>
          <w:lang w:val="en-US" w:eastAsia="zh-CN" w:bidi="ar"/>
        </w:rPr>
        <w:t>对无取水许可、无采矿许可的，查处违法开采行为</w:t>
      </w:r>
      <w:r>
        <w:rPr>
          <w:rFonts w:hint="default" w:ascii="Times New Roman" w:hAnsi="Times New Roman" w:eastAsia="仿宋_GB2312" w:cs="Times New Roman"/>
          <w:i w:val="0"/>
          <w:iCs w:val="0"/>
          <w:caps w:val="0"/>
          <w:color w:val="auto"/>
          <w:spacing w:val="0"/>
          <w:kern w:val="0"/>
          <w:sz w:val="32"/>
          <w:szCs w:val="32"/>
          <w:shd w:val="clear" w:fill="auto"/>
          <w:lang w:eastAsia="zh-CN" w:bidi="ar"/>
        </w:rPr>
        <w:t>并</w:t>
      </w:r>
      <w:r>
        <w:rPr>
          <w:rFonts w:hint="default" w:ascii="Times New Roman" w:hAnsi="Times New Roman" w:eastAsia="仿宋_GB2312" w:cs="Times New Roman"/>
          <w:i w:val="0"/>
          <w:iCs w:val="0"/>
          <w:caps w:val="0"/>
          <w:color w:val="auto"/>
          <w:spacing w:val="0"/>
          <w:kern w:val="0"/>
          <w:sz w:val="32"/>
          <w:szCs w:val="32"/>
          <w:shd w:val="clear" w:fill="auto"/>
          <w:lang w:val="en-US" w:eastAsia="zh-CN" w:bidi="ar"/>
        </w:rPr>
        <w:t>关闭退出</w:t>
      </w:r>
      <w:r>
        <w:rPr>
          <w:rFonts w:hint="default" w:ascii="Times New Roman" w:hAnsi="Times New Roman" w:eastAsia="仿宋_GB2312" w:cs="Times New Roman"/>
          <w:i w:val="0"/>
          <w:iCs w:val="0"/>
          <w:caps w:val="0"/>
          <w:color w:val="auto"/>
          <w:spacing w:val="0"/>
          <w:kern w:val="0"/>
          <w:sz w:val="32"/>
          <w:szCs w:val="32"/>
          <w:shd w:val="clear" w:fill="auto"/>
          <w:lang w:eastAsia="zh-CN" w:bidi="ar"/>
        </w:rPr>
        <w:t>；</w:t>
      </w:r>
      <w:r>
        <w:rPr>
          <w:rFonts w:hint="default" w:ascii="Times New Roman" w:hAnsi="Times New Roman" w:eastAsia="仿宋_GB2312" w:cs="Times New Roman"/>
          <w:i w:val="0"/>
          <w:iCs w:val="0"/>
          <w:caps w:val="0"/>
          <w:color w:val="auto"/>
          <w:spacing w:val="0"/>
          <w:kern w:val="0"/>
          <w:sz w:val="32"/>
          <w:szCs w:val="32"/>
          <w:shd w:val="clear" w:fill="auto"/>
          <w:lang w:val="en-US" w:eastAsia="zh-CN" w:bidi="ar"/>
        </w:rPr>
        <w:t>对不符合有关条件的，按地下水管理，不再核发采矿许可证。探索推进已有探矿权转采矿权工作，支持战略性矿产探矿权整合并入现有采矿权或单独转为采矿权，保障矿业权人权益。</w:t>
      </w:r>
    </w:p>
    <w:p>
      <w:pPr>
        <w:keepNext w:val="0"/>
        <w:keepLines w:val="0"/>
        <w:widowControl w:val="0"/>
        <w:suppressLineNumbers w:val="0"/>
        <w:spacing w:before="0" w:beforeAutospacing="0" w:after="0" w:afterAutospacing="0" w:line="560" w:lineRule="exact"/>
        <w:ind w:left="0" w:right="0" w:firstLine="642" w:firstLineChars="200"/>
        <w:jc w:val="both"/>
        <w:rPr>
          <w:rFonts w:hint="default" w:ascii="Times New Roman" w:hAnsi="Times New Roman" w:cs="Times New Roman"/>
          <w:color w:val="auto"/>
          <w:sz w:val="28"/>
          <w:szCs w:val="28"/>
        </w:rPr>
      </w:pPr>
      <w:r>
        <w:rPr>
          <w:rFonts w:hint="default" w:ascii="Times New Roman" w:hAnsi="Times New Roman" w:eastAsia="仿宋_GB2312" w:cs="Times New Roman"/>
          <w:b/>
          <w:bCs/>
          <w:color w:val="auto"/>
          <w:kern w:val="0"/>
          <w:sz w:val="32"/>
          <w:szCs w:val="32"/>
          <w:lang w:bidi="ar"/>
        </w:rPr>
        <w:t>推进存量海洋资源利用</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统筹推进海洋资源存量盘活，探索开展闲置海域盘活，建立闲置用海动态清单，通过置换、有偿收回等方式盘活闲置海域、低效利用海域。优化海域使用布局，推动海域资源向高效益、生态型产业倾斜，规范养殖用海、临港用海管理，推动养殖用海规模化、集约化发展。加快围填海历史遗留问题处置</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bidi="ar"/>
        </w:rPr>
        <w:t>按照“谁破坏、谁修复”原则实施生态保护修复，加快开发利用闲置或低效利用的围填海区域。持续推进无居民海岛历史遗留问题处置，解决过去未经批准或手续不全的开发问题，实现“保护+利用”的平衡，盘活无居民海岛存量资源。在符合生态保护要求的前提下，在</w:t>
      </w:r>
      <w:r>
        <w:rPr>
          <w:rFonts w:hint="default" w:ascii="Times New Roman" w:hAnsi="Times New Roman" w:eastAsia="仿宋_GB2312" w:cs="Times New Roman"/>
          <w:color w:val="auto"/>
          <w:kern w:val="2"/>
          <w:sz w:val="32"/>
          <w:szCs w:val="32"/>
          <w:lang w:val="en-US" w:eastAsia="zh-CN" w:bidi="ar"/>
        </w:rPr>
        <w:t>蜈支洲岛</w:t>
      </w:r>
      <w:r>
        <w:rPr>
          <w:rFonts w:hint="default" w:ascii="Times New Roman" w:hAnsi="Times New Roman" w:eastAsia="仿宋_GB2312" w:cs="Times New Roman"/>
          <w:color w:val="auto"/>
          <w:kern w:val="2"/>
          <w:sz w:val="32"/>
          <w:szCs w:val="32"/>
          <w:lang w:eastAsia="zh-CN" w:bidi="ar"/>
        </w:rPr>
        <w:t>、</w:t>
      </w:r>
      <w:r>
        <w:rPr>
          <w:rFonts w:hint="default" w:ascii="Times New Roman" w:hAnsi="Times New Roman" w:eastAsia="仿宋_GB2312" w:cs="Times New Roman"/>
          <w:color w:val="auto"/>
          <w:kern w:val="2"/>
          <w:sz w:val="32"/>
          <w:szCs w:val="32"/>
          <w:lang w:val="en-US" w:eastAsia="zh-CN" w:bidi="ar"/>
        </w:rPr>
        <w:t>西岛</w:t>
      </w:r>
      <w:r>
        <w:rPr>
          <w:rFonts w:hint="default" w:ascii="Times New Roman" w:hAnsi="Times New Roman" w:eastAsia="仿宋_GB2312" w:cs="Times New Roman"/>
          <w:color w:val="auto"/>
          <w:kern w:val="2"/>
          <w:sz w:val="32"/>
          <w:szCs w:val="32"/>
          <w:lang w:eastAsia="zh-CN" w:bidi="ar"/>
        </w:rPr>
        <w:t>等可开发利用</w:t>
      </w:r>
      <w:r>
        <w:rPr>
          <w:rFonts w:hint="default" w:ascii="Times New Roman" w:hAnsi="Times New Roman" w:eastAsia="仿宋_GB2312" w:cs="Times New Roman"/>
          <w:color w:val="auto"/>
          <w:kern w:val="0"/>
          <w:sz w:val="32"/>
          <w:szCs w:val="32"/>
          <w:lang w:bidi="ar"/>
        </w:rPr>
        <w:t>海岛探索生态旅游、科研科普等适度开发模式，推动海洋资源存量高效利用，助力陆海统筹发展。</w:t>
      </w: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Pr>
        <w:spacing w:line="560" w:lineRule="exact"/>
        <w:ind w:firstLine="200"/>
        <w:rPr>
          <w:rFonts w:hint="default" w:ascii="Times New Roman" w:hAnsi="Times New Roman" w:cs="Times New Roman"/>
          <w:color w:val="auto"/>
          <w:szCs w:val="32"/>
        </w:rPr>
      </w:pPr>
      <w:bookmarkStart w:id="341" w:name="_Toc834861172"/>
      <w:bookmarkStart w:id="342" w:name="_Toc2111063624"/>
      <w:bookmarkStart w:id="343" w:name="_Toc793719645"/>
      <w:bookmarkStart w:id="344" w:name="_Toc2115623521"/>
      <w:bookmarkStart w:id="345" w:name="_Toc1282160555"/>
      <w:bookmarkStart w:id="346" w:name="_Toc1570361170"/>
      <w:bookmarkStart w:id="347" w:name="_Toc1862774787"/>
      <w:bookmarkStart w:id="348" w:name="_Toc101549011"/>
      <w:bookmarkStart w:id="349" w:name="_Toc950020836"/>
      <w:bookmarkStart w:id="350" w:name="_Toc2040024348"/>
      <w:bookmarkStart w:id="351" w:name="_Toc843035383"/>
      <w:bookmarkStart w:id="352" w:name="_Toc445942934"/>
      <w:bookmarkStart w:id="353" w:name="_Toc1189424058"/>
      <w:bookmarkStart w:id="354" w:name="_Toc1432644914"/>
      <w:bookmarkStart w:id="355" w:name="_Toc1405045667"/>
      <w:bookmarkStart w:id="356" w:name="_Toc1008456685"/>
      <w:bookmarkStart w:id="357" w:name="_Toc1996936705"/>
      <w:bookmarkStart w:id="358" w:name="_Toc1126354431"/>
      <w:bookmarkStart w:id="359" w:name="_Toc995887582"/>
      <w:bookmarkStart w:id="360" w:name="_Toc2042839147"/>
      <w:bookmarkStart w:id="361" w:name="_Toc501084256"/>
      <w:bookmarkStart w:id="362" w:name="_Toc1692122380"/>
      <w:bookmarkStart w:id="363" w:name="_Toc529119647"/>
      <w:bookmarkStart w:id="364" w:name="_Toc1848545671"/>
      <w:bookmarkStart w:id="365" w:name="_Toc2116899899"/>
      <w:bookmarkStart w:id="366" w:name="_Toc1033114082"/>
      <w:bookmarkStart w:id="367" w:name="_Toc1152919915"/>
      <w:bookmarkStart w:id="368" w:name="_Toc214633358"/>
      <w:bookmarkStart w:id="369" w:name="_Toc27515"/>
      <w:bookmarkStart w:id="370" w:name="_Toc1163835085"/>
      <w:bookmarkStart w:id="371" w:name="_Toc1022961953"/>
      <w:bookmarkStart w:id="372" w:name="_Toc1330654927"/>
      <w:bookmarkStart w:id="373" w:name="_Toc1569305826"/>
      <w:bookmarkStart w:id="374" w:name="_Toc4838"/>
      <w:bookmarkStart w:id="375" w:name="_Toc1166337283"/>
      <w:bookmarkStart w:id="376" w:name="_Toc1968066971"/>
      <w:bookmarkStart w:id="377" w:name="_Toc221017039"/>
      <w:bookmarkStart w:id="378" w:name="_Toc2053399815"/>
      <w:bookmarkStart w:id="379" w:name="_Toc1007019400"/>
      <w:bookmarkStart w:id="380" w:name="_Toc22352"/>
      <w:bookmarkStart w:id="381" w:name="_Toc977173474"/>
      <w:bookmarkStart w:id="382" w:name="_Toc1095578947"/>
      <w:bookmarkStart w:id="383" w:name="_Toc1964894440"/>
      <w:bookmarkStart w:id="384" w:name="_Toc211592736"/>
      <w:bookmarkStart w:id="385" w:name="_Toc2091838221"/>
      <w:bookmarkStart w:id="386" w:name="_Toc1369008417"/>
      <w:bookmarkStart w:id="387" w:name="_Toc213169706"/>
      <w:bookmarkStart w:id="388" w:name="_Toc29824694"/>
      <w:bookmarkStart w:id="389" w:name="_Toc1928925637"/>
      <w:bookmarkStart w:id="390" w:name="_Toc749782693"/>
      <w:bookmarkStart w:id="391" w:name="_Toc1832828222"/>
      <w:bookmarkStart w:id="392" w:name="_Toc2114403230"/>
      <w:bookmarkStart w:id="393" w:name="_Toc202928097"/>
      <w:bookmarkStart w:id="394" w:name="_Toc387408658"/>
      <w:bookmarkStart w:id="395" w:name="_Toc567005309"/>
      <w:bookmarkStart w:id="396" w:name="_Toc80235795"/>
      <w:bookmarkStart w:id="397" w:name="_Toc2086392217"/>
      <w:bookmarkStart w:id="398" w:name="_Toc23176"/>
      <w:bookmarkStart w:id="399" w:name="_Toc197470294"/>
      <w:bookmarkStart w:id="400" w:name="_Toc27479"/>
      <w:bookmarkStart w:id="401" w:name="_Toc969551723"/>
      <w:bookmarkStart w:id="402" w:name="_Toc196145760"/>
      <w:bookmarkStart w:id="403" w:name="_Toc26673"/>
      <w:bookmarkStart w:id="404" w:name="_Toc1366677419"/>
      <w:bookmarkStart w:id="405" w:name="_Toc18972"/>
      <w:bookmarkStart w:id="406" w:name="_Toc2117032430"/>
      <w:bookmarkStart w:id="407" w:name="_Toc8776"/>
      <w:bookmarkStart w:id="408" w:name="_Toc4561"/>
      <w:bookmarkStart w:id="409" w:name="_Toc3412"/>
      <w:bookmarkStart w:id="410" w:name="_Toc28264"/>
    </w:p>
    <w:p>
      <w:pPr>
        <w:pStyle w:val="4"/>
        <w:keepNext w:val="0"/>
        <w:keepLines w:val="0"/>
        <w:spacing w:line="560" w:lineRule="exact"/>
        <w:ind w:firstLine="200"/>
        <w:rPr>
          <w:rFonts w:hint="default" w:ascii="Times New Roman" w:hAnsi="Times New Roman" w:cs="Times New Roman"/>
          <w:color w:val="auto"/>
          <w:szCs w:val="32"/>
        </w:rPr>
      </w:pPr>
      <w:bookmarkStart w:id="411" w:name="_Toc565319826"/>
      <w:bookmarkStart w:id="412" w:name="_Toc529996772"/>
      <w:r>
        <w:rPr>
          <w:rFonts w:hint="default" w:ascii="Times New Roman" w:hAnsi="Times New Roman" w:cs="Times New Roman"/>
          <w:color w:val="auto"/>
          <w:szCs w:val="32"/>
        </w:rPr>
        <w:t>第六章  强化自然资源要素保障</w:t>
      </w:r>
      <w:bookmarkEnd w:id="341"/>
      <w:r>
        <w:rPr>
          <w:rFonts w:hint="default" w:ascii="Times New Roman" w:hAnsi="Times New Roman" w:cs="Times New Roman"/>
          <w:color w:val="auto"/>
          <w:szCs w:val="32"/>
        </w:rPr>
        <w:t>与防灾减灾</w:t>
      </w:r>
      <w:bookmarkEnd w:id="411"/>
      <w:r>
        <w:rPr>
          <w:rFonts w:hint="default" w:ascii="Times New Roman" w:hAnsi="Times New Roman" w:cs="Times New Roman"/>
          <w:color w:val="auto"/>
          <w:szCs w:val="32"/>
        </w:rPr>
        <w:t>能力</w:t>
      </w:r>
      <w:bookmarkEnd w:id="412"/>
    </w:p>
    <w:p>
      <w:pPr>
        <w:spacing w:line="560" w:lineRule="exact"/>
        <w:ind w:firstLine="200"/>
        <w:jc w:val="center"/>
        <w:rPr>
          <w:rFonts w:hint="default" w:ascii="Times New Roman" w:hAnsi="Times New Roman" w:eastAsia="楷体_GB2312" w:cs="Times New Roman"/>
          <w:color w:val="auto"/>
        </w:rPr>
      </w:pPr>
      <w:bookmarkStart w:id="413" w:name="_Toc21142"/>
      <w:bookmarkEnd w:id="413"/>
      <w:bookmarkStart w:id="414" w:name="_Toc339307592"/>
    </w:p>
    <w:p>
      <w:pPr>
        <w:pStyle w:val="5"/>
        <w:keepNext w:val="0"/>
        <w:keepLines w:val="0"/>
        <w:spacing w:line="560" w:lineRule="exact"/>
        <w:ind w:firstLine="200"/>
        <w:jc w:val="center"/>
        <w:rPr>
          <w:rFonts w:hint="default" w:ascii="Times New Roman" w:hAnsi="Times New Roman" w:eastAsia="楷体_GB2312" w:cs="Times New Roman"/>
          <w:b w:val="0"/>
          <w:color w:val="auto"/>
        </w:rPr>
      </w:pPr>
      <w:bookmarkStart w:id="415" w:name="_Toc1827487286"/>
      <w:bookmarkStart w:id="416" w:name="_Toc738940413"/>
      <w:r>
        <w:rPr>
          <w:rFonts w:hint="default" w:ascii="Times New Roman" w:hAnsi="Times New Roman" w:eastAsia="楷体_GB2312" w:cs="Times New Roman"/>
          <w:b w:val="0"/>
          <w:color w:val="auto"/>
        </w:rPr>
        <w:t>第一节</w:t>
      </w:r>
      <w:r>
        <w:rPr>
          <w:rFonts w:hint="default" w:ascii="Times New Roman" w:hAnsi="Times New Roman" w:eastAsia="楷体_GB2312" w:cs="Times New Roman"/>
          <w:b w:val="0"/>
          <w:color w:val="auto"/>
          <w:lang w:val="en-US" w:eastAsia="zh-CN"/>
        </w:rPr>
        <w:t xml:space="preserve"> </w:t>
      </w:r>
      <w:r>
        <w:rPr>
          <w:rFonts w:hint="default" w:ascii="Times New Roman" w:hAnsi="Times New Roman" w:eastAsia="楷体_GB2312" w:cs="Times New Roman"/>
          <w:b w:val="0"/>
          <w:color w:val="auto"/>
        </w:rPr>
        <w:t xml:space="preserve"> 保障重点园区与重大项目资源要素需求</w:t>
      </w:r>
      <w:bookmarkEnd w:id="414"/>
      <w:bookmarkEnd w:id="415"/>
      <w:bookmarkEnd w:id="416"/>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落实重大项目空间保障</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强化要素配置与国家战略、省级定位、区域功能、产业导向的深度衔接。通过国土空间规划动态调整，划定战略留白区，为重大</w:t>
      </w:r>
      <w:r>
        <w:rPr>
          <w:rFonts w:hint="default" w:ascii="Times New Roman" w:hAnsi="Times New Roman" w:eastAsia="仿宋_GB2312" w:cs="Times New Roman"/>
          <w:color w:val="auto"/>
          <w:sz w:val="32"/>
          <w:szCs w:val="32"/>
        </w:rPr>
        <w:t>项目用地预留发展空间，</w:t>
      </w:r>
      <w:r>
        <w:rPr>
          <w:rFonts w:hint="default" w:ascii="Times New Roman" w:hAnsi="Times New Roman" w:eastAsia="仿宋_GB2312" w:cs="Times New Roman"/>
          <w:color w:val="auto"/>
          <w:kern w:val="0"/>
          <w:sz w:val="32"/>
          <w:szCs w:val="32"/>
          <w:lang w:bidi="ar"/>
        </w:rPr>
        <w:t>将“十五五”期间重大项目优先纳入规划“一张图”</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kern w:val="0"/>
          <w:sz w:val="32"/>
          <w:szCs w:val="32"/>
          <w:lang w:bidi="ar"/>
        </w:rPr>
        <w:t>推动G98“北抬”空间战略，全力推进G98环岛高速公路大三亚段扩容工程，为自贸港建设提供高质量的要素流动平台与功能承载腹地，引导主导产业向北集聚、连片开发。推进</w:t>
      </w:r>
      <w:r>
        <w:rPr>
          <w:rFonts w:hint="default" w:ascii="Times New Roman" w:hAnsi="Times New Roman" w:eastAsia="仿宋_GB2312" w:cs="Times New Roman"/>
          <w:color w:val="auto"/>
          <w:kern w:val="0"/>
          <w:sz w:val="32"/>
          <w:szCs w:val="32"/>
          <w:lang w:val="en" w:eastAsia="zh-CN" w:bidi="ar"/>
        </w:rPr>
        <w:t>崖州湾科技城高新区</w:t>
      </w:r>
      <w:r>
        <w:rPr>
          <w:rFonts w:hint="default" w:ascii="Times New Roman" w:hAnsi="Times New Roman" w:eastAsia="仿宋_GB2312" w:cs="Times New Roman"/>
          <w:color w:val="auto"/>
          <w:kern w:val="0"/>
          <w:sz w:val="32"/>
          <w:szCs w:val="32"/>
          <w:lang w:bidi="ar"/>
        </w:rPr>
        <w:t>、中央商务区、</w:t>
      </w:r>
      <w:r>
        <w:rPr>
          <w:rFonts w:hint="default" w:ascii="Times New Roman" w:hAnsi="Times New Roman" w:eastAsia="仿宋_GB2312" w:cs="Times New Roman"/>
          <w:color w:val="auto"/>
          <w:kern w:val="0"/>
          <w:sz w:val="32"/>
          <w:szCs w:val="32"/>
          <w:lang w:eastAsia="zh-CN" w:bidi="ar"/>
        </w:rPr>
        <w:t>三亚海棠湾国家海岸休闲园区</w:t>
      </w:r>
      <w:r>
        <w:rPr>
          <w:rFonts w:hint="default" w:ascii="Times New Roman" w:hAnsi="Times New Roman" w:eastAsia="仿宋_GB2312" w:cs="Times New Roman"/>
          <w:color w:val="auto"/>
          <w:kern w:val="0"/>
          <w:sz w:val="32"/>
          <w:szCs w:val="32"/>
          <w:lang w:bidi="ar"/>
        </w:rPr>
        <w:t>等重</w:t>
      </w:r>
      <w:r>
        <w:rPr>
          <w:rFonts w:hint="default" w:ascii="Times New Roman" w:hAnsi="Times New Roman" w:eastAsia="仿宋_GB2312" w:cs="Times New Roman"/>
          <w:color w:val="auto"/>
          <w:kern w:val="0"/>
          <w:sz w:val="32"/>
          <w:szCs w:val="32"/>
          <w:lang w:val="en-US" w:eastAsia="zh-CN" w:bidi="ar"/>
        </w:rPr>
        <w:t>点</w:t>
      </w:r>
      <w:r>
        <w:rPr>
          <w:rFonts w:hint="default" w:ascii="Times New Roman" w:hAnsi="Times New Roman" w:eastAsia="仿宋_GB2312" w:cs="Times New Roman"/>
          <w:color w:val="auto"/>
          <w:kern w:val="0"/>
          <w:sz w:val="32"/>
          <w:szCs w:val="32"/>
          <w:lang w:bidi="ar"/>
        </w:rPr>
        <w:t>园区建设，加快推动传统园区转型升级，创新“一区多园”“飞地经济”等建园方式。配合</w:t>
      </w:r>
      <w:r>
        <w:rPr>
          <w:rFonts w:hint="default" w:ascii="Times New Roman" w:hAnsi="Times New Roman" w:eastAsia="仿宋_GB2312" w:cs="Times New Roman"/>
          <w:color w:val="auto"/>
          <w:kern w:val="0"/>
          <w:sz w:val="32"/>
          <w:szCs w:val="32"/>
          <w:lang w:eastAsia="zh-CN" w:bidi="ar"/>
        </w:rPr>
        <w:t>崖州湾科技城高新区</w:t>
      </w:r>
      <w:r>
        <w:rPr>
          <w:rFonts w:hint="default" w:ascii="Times New Roman" w:hAnsi="Times New Roman" w:eastAsia="仿宋_GB2312" w:cs="Times New Roman"/>
          <w:color w:val="auto"/>
          <w:kern w:val="0"/>
          <w:sz w:val="32"/>
          <w:szCs w:val="32"/>
          <w:lang w:bidi="ar"/>
        </w:rPr>
        <w:t>周边南繁科研育种保护区</w:t>
      </w:r>
      <w:r>
        <w:rPr>
          <w:rFonts w:hint="default" w:ascii="Times New Roman" w:hAnsi="Times New Roman" w:eastAsia="仿宋_GB2312" w:cs="Times New Roman"/>
          <w:color w:val="auto"/>
          <w:kern w:val="0"/>
          <w:sz w:val="32"/>
          <w:szCs w:val="32"/>
          <w:lang w:eastAsia="zh-CN" w:bidi="ar"/>
        </w:rPr>
        <w:t>、崖州湾实验室复杂优良性状高效耦合育种装置配套项目、国家实验室配套工程</w:t>
      </w:r>
      <w:r>
        <w:rPr>
          <w:rFonts w:hint="default" w:ascii="Times New Roman" w:hAnsi="Times New Roman" w:eastAsia="仿宋_GB2312" w:cs="Times New Roman"/>
          <w:color w:val="auto"/>
          <w:kern w:val="0"/>
          <w:sz w:val="32"/>
          <w:szCs w:val="32"/>
          <w:lang w:val="en-US" w:eastAsia="zh-CN" w:bidi="ar"/>
        </w:rPr>
        <w:t>及</w:t>
      </w:r>
      <w:r>
        <w:rPr>
          <w:rFonts w:hint="default" w:ascii="Times New Roman" w:hAnsi="Times New Roman" w:eastAsia="仿宋_GB2312" w:cs="Times New Roman"/>
          <w:color w:val="auto"/>
          <w:kern w:val="0"/>
          <w:sz w:val="32"/>
          <w:szCs w:val="32"/>
          <w:lang w:eastAsia="zh-CN" w:bidi="ar"/>
        </w:rPr>
        <w:t>二期园区</w:t>
      </w:r>
      <w:r>
        <w:rPr>
          <w:rFonts w:hint="default" w:ascii="Times New Roman" w:hAnsi="Times New Roman" w:eastAsia="仿宋_GB2312" w:cs="Times New Roman"/>
          <w:color w:val="auto"/>
          <w:kern w:val="0"/>
          <w:sz w:val="32"/>
          <w:szCs w:val="32"/>
          <w:lang w:bidi="ar"/>
        </w:rPr>
        <w:t>，保障南繁科研用地需求。盘活园区存量，通过低效用地再开发，保障重大项目落地。</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440" w:lineRule="exact"/>
              <w:ind w:left="0" w:right="0"/>
              <w:jc w:val="center"/>
              <w:textAlignment w:val="auto"/>
              <w:rPr>
                <w:rFonts w:hint="default" w:ascii="Times New Roman" w:hAnsi="Times New Roman" w:eastAsia="仿宋_GB2312" w:cs="Times New Roman"/>
                <w:b/>
                <w:bCs/>
                <w:color w:val="auto"/>
                <w:sz w:val="24"/>
                <w:szCs w:val="24"/>
              </w:rPr>
            </w:pPr>
            <w:r>
              <w:rPr>
                <w:rFonts w:hint="default" w:ascii="Times New Roman" w:hAnsi="Times New Roman" w:eastAsia="黑体" w:cs="Times New Roman"/>
                <w:color w:val="auto"/>
                <w:kern w:val="0"/>
                <w:sz w:val="28"/>
                <w:szCs w:val="28"/>
                <w:lang w:bidi="ar"/>
              </w:rPr>
              <w:t>专栏</w:t>
            </w:r>
            <w:r>
              <w:rPr>
                <w:rFonts w:hint="default" w:ascii="Times New Roman" w:hAnsi="Times New Roman" w:eastAsia="黑体" w:cs="Times New Roman"/>
                <w:color w:val="auto"/>
                <w:kern w:val="0"/>
                <w:sz w:val="28"/>
                <w:szCs w:val="28"/>
                <w:lang w:val="en-US" w:eastAsia="zh-CN" w:bidi="ar"/>
              </w:rPr>
              <w:t>5</w:t>
            </w:r>
            <w:r>
              <w:rPr>
                <w:rFonts w:hint="default" w:ascii="Times New Roman" w:hAnsi="Times New Roman" w:eastAsia="黑体" w:cs="Times New Roman"/>
                <w:color w:val="auto"/>
                <w:kern w:val="0"/>
                <w:sz w:val="28"/>
                <w:szCs w:val="28"/>
                <w:lang w:bidi="ar"/>
              </w:rPr>
              <w:t xml:space="preserve">  重点园区和重大项目用地保障工程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5000"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firstLine="481" w:firstLineChars="200"/>
              <w:jc w:val="left"/>
              <w:textAlignment w:val="auto"/>
              <w:rPr>
                <w:rFonts w:hint="default" w:ascii="Times New Roman" w:hAnsi="Times New Roman" w:eastAsia="仿宋_GB2312" w:cs="Times New Roman"/>
                <w:b/>
                <w:bCs/>
                <w:color w:val="auto"/>
                <w:kern w:val="0"/>
                <w:sz w:val="24"/>
                <w:szCs w:val="24"/>
                <w:lang w:bidi="ar"/>
              </w:rPr>
            </w:pPr>
            <w:r>
              <w:rPr>
                <w:rFonts w:hint="default" w:ascii="Times New Roman" w:hAnsi="Times New Roman" w:eastAsia="仿宋_GB2312" w:cs="Times New Roman"/>
                <w:b/>
                <w:bCs/>
                <w:color w:val="auto"/>
                <w:kern w:val="0"/>
                <w:sz w:val="24"/>
                <w:szCs w:val="24"/>
                <w:lang w:bidi="ar"/>
              </w:rPr>
              <w:t>1.重点园区用地保障工程</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firstLine="480" w:firstLineChars="200"/>
              <w:jc w:val="left"/>
              <w:textAlignment w:val="auto"/>
              <w:rPr>
                <w:rFonts w:hint="default" w:ascii="Times New Roman" w:hAnsi="Times New Roman" w:eastAsia="仿宋_GB2312" w:cs="Times New Roman"/>
                <w:color w:val="auto"/>
                <w:kern w:val="0"/>
                <w:sz w:val="24"/>
                <w:szCs w:val="24"/>
                <w:lang w:val="en-US" w:eastAsia="zh-CN" w:bidi="ar"/>
              </w:rPr>
            </w:pPr>
            <w:r>
              <w:rPr>
                <w:rFonts w:hint="default" w:ascii="Times New Roman" w:hAnsi="Times New Roman" w:eastAsia="仿宋_GB2312" w:cs="Times New Roman"/>
                <w:color w:val="auto"/>
                <w:kern w:val="0"/>
                <w:sz w:val="24"/>
                <w:szCs w:val="24"/>
                <w:lang w:bidi="ar"/>
              </w:rPr>
              <w:t>做大做强做优园区经济，强化园区核心功能和主导产业，增加</w:t>
            </w:r>
            <w:r>
              <w:rPr>
                <w:rFonts w:hint="default" w:ascii="Times New Roman" w:hAnsi="Times New Roman" w:eastAsia="仿宋_GB2312" w:cs="Times New Roman"/>
                <w:color w:val="auto"/>
                <w:kern w:val="0"/>
                <w:sz w:val="24"/>
                <w:szCs w:val="24"/>
                <w:lang w:val="en" w:eastAsia="zh-CN" w:bidi="ar"/>
              </w:rPr>
              <w:t>崖州湾科技城高新区</w:t>
            </w:r>
            <w:r>
              <w:rPr>
                <w:rFonts w:hint="default" w:ascii="Times New Roman" w:hAnsi="Times New Roman" w:eastAsia="仿宋_GB2312" w:cs="Times New Roman"/>
                <w:color w:val="auto"/>
                <w:kern w:val="0"/>
                <w:sz w:val="24"/>
                <w:szCs w:val="24"/>
                <w:lang w:bidi="ar"/>
              </w:rPr>
              <w:t>、中央商务区、</w:t>
            </w:r>
            <w:r>
              <w:rPr>
                <w:rFonts w:hint="default" w:ascii="Times New Roman" w:hAnsi="Times New Roman" w:eastAsia="仿宋_GB2312" w:cs="Times New Roman"/>
                <w:color w:val="auto"/>
                <w:kern w:val="0"/>
                <w:sz w:val="24"/>
                <w:szCs w:val="24"/>
                <w:lang w:eastAsia="zh-CN" w:bidi="ar"/>
              </w:rPr>
              <w:t>三亚海棠湾国家海岸休闲园区</w:t>
            </w:r>
            <w:r>
              <w:rPr>
                <w:rFonts w:hint="default" w:ascii="Times New Roman" w:hAnsi="Times New Roman" w:eastAsia="仿宋_GB2312" w:cs="Times New Roman"/>
                <w:color w:val="auto"/>
                <w:kern w:val="0"/>
                <w:sz w:val="24"/>
                <w:szCs w:val="24"/>
                <w:lang w:bidi="ar"/>
              </w:rPr>
              <w:t>等重点园区可利用建设用地规模，保障</w:t>
            </w:r>
            <w:r>
              <w:rPr>
                <w:rFonts w:hint="default" w:ascii="Times New Roman" w:hAnsi="Times New Roman" w:eastAsia="仿宋_GB2312" w:cs="Times New Roman"/>
                <w:color w:val="auto"/>
                <w:kern w:val="0"/>
                <w:sz w:val="24"/>
                <w:szCs w:val="24"/>
                <w:lang w:val="en-US" w:eastAsia="zh-CN" w:bidi="ar"/>
              </w:rPr>
              <w:t>超级地中海项目、三亚海棠演艺中心项目、三亚国际艺术港配套项目、南边海游艇产业用地、科技城北拓展区</w:t>
            </w:r>
            <w:r>
              <w:rPr>
                <w:rFonts w:hint="default" w:ascii="Times New Roman" w:hAnsi="Times New Roman" w:eastAsia="仿宋_GB2312" w:cs="Times New Roman"/>
                <w:color w:val="auto"/>
                <w:kern w:val="0"/>
                <w:sz w:val="24"/>
                <w:szCs w:val="24"/>
                <w:lang w:eastAsia="zh-CN" w:bidi="ar"/>
              </w:rPr>
              <w:t>等</w:t>
            </w:r>
            <w:r>
              <w:rPr>
                <w:rFonts w:hint="default" w:ascii="Times New Roman" w:hAnsi="Times New Roman" w:eastAsia="仿宋_GB2312" w:cs="Times New Roman"/>
                <w:color w:val="auto"/>
                <w:kern w:val="0"/>
                <w:sz w:val="24"/>
                <w:szCs w:val="24"/>
                <w:lang w:val="en-US" w:eastAsia="zh-CN" w:bidi="ar"/>
              </w:rPr>
              <w:t>重点项目。</w:t>
            </w:r>
          </w:p>
          <w:p>
            <w:pPr>
              <w:pStyle w:val="2"/>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440" w:lineRule="exact"/>
              <w:ind w:left="0" w:leftChars="0" w:right="0" w:rightChars="0" w:firstLine="481" w:firstLineChars="200"/>
              <w:textAlignment w:val="auto"/>
              <w:rPr>
                <w:rFonts w:hint="default" w:ascii="Times New Roman" w:hAnsi="Times New Roman" w:eastAsia="仿宋_GB2312" w:cs="Times New Roman"/>
                <w:b/>
                <w:bCs/>
                <w:color w:val="auto"/>
                <w:kern w:val="0"/>
                <w:sz w:val="24"/>
                <w:szCs w:val="24"/>
                <w:lang w:bidi="ar"/>
              </w:rPr>
            </w:pPr>
            <w:r>
              <w:rPr>
                <w:rFonts w:hint="default" w:ascii="Times New Roman" w:hAnsi="Times New Roman" w:eastAsia="仿宋_GB2312" w:cs="Times New Roman"/>
                <w:b/>
                <w:bCs/>
                <w:color w:val="auto"/>
                <w:kern w:val="0"/>
                <w:sz w:val="24"/>
                <w:szCs w:val="24"/>
                <w:lang w:eastAsia="zh-CN" w:bidi="ar"/>
              </w:rPr>
              <w:t>2</w:t>
            </w:r>
            <w:r>
              <w:rPr>
                <w:rFonts w:hint="default" w:ascii="Times New Roman" w:hAnsi="Times New Roman" w:eastAsia="仿宋_GB2312" w:cs="Times New Roman"/>
                <w:b/>
                <w:bCs/>
                <w:color w:val="auto"/>
                <w:kern w:val="0"/>
                <w:sz w:val="24"/>
                <w:szCs w:val="24"/>
                <w:lang w:val="en-US" w:eastAsia="zh-CN" w:bidi="ar"/>
              </w:rPr>
              <w:t>.</w:t>
            </w:r>
            <w:r>
              <w:rPr>
                <w:rFonts w:hint="default" w:ascii="Times New Roman" w:hAnsi="Times New Roman" w:eastAsia="仿宋_GB2312" w:cs="Times New Roman"/>
                <w:b/>
                <w:bCs/>
                <w:color w:val="auto"/>
                <w:kern w:val="0"/>
                <w:sz w:val="24"/>
                <w:szCs w:val="24"/>
                <w:lang w:bidi="ar"/>
              </w:rPr>
              <w:t>重大产业项目用地保障工程</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firstLine="480" w:firstLineChars="200"/>
              <w:jc w:val="left"/>
              <w:textAlignment w:val="auto"/>
              <w:rPr>
                <w:rFonts w:hint="default" w:ascii="Times New Roman" w:hAnsi="Times New Roman" w:eastAsia="仿宋_GB2312" w:cs="Times New Roman"/>
                <w:color w:val="auto"/>
                <w:kern w:val="0"/>
                <w:sz w:val="24"/>
                <w:szCs w:val="24"/>
                <w:lang w:val="en-US" w:eastAsia="zh-CN" w:bidi="ar"/>
              </w:rPr>
            </w:pPr>
            <w:r>
              <w:rPr>
                <w:rFonts w:hint="default" w:ascii="Times New Roman" w:hAnsi="Times New Roman" w:eastAsia="仿宋_GB2312" w:cs="Times New Roman"/>
                <w:b w:val="0"/>
                <w:bCs w:val="0"/>
                <w:color w:val="auto"/>
                <w:kern w:val="0"/>
                <w:sz w:val="24"/>
                <w:szCs w:val="24"/>
                <w:lang w:bidi="ar"/>
              </w:rPr>
              <w:t>重点保障崖</w:t>
            </w:r>
            <w:r>
              <w:rPr>
                <w:rFonts w:hint="default" w:ascii="Times New Roman" w:hAnsi="Times New Roman" w:eastAsia="仿宋_GB2312" w:cs="Times New Roman"/>
                <w:color w:val="auto"/>
                <w:kern w:val="0"/>
                <w:sz w:val="24"/>
                <w:szCs w:val="24"/>
                <w:lang w:val="en-US" w:eastAsia="zh-CN" w:bidi="ar"/>
              </w:rPr>
              <w:t>州湾国家实验室生物育种核心技术攻关平台项目、三亚崖州湾科技城深远海无人装备未来技术与产业创新平台项目、南繁硅谷重大科创平台项目（一期）、汉江实验室三亚基地项目、崖州湾实验室配套工程项目、崖州湾实验室复杂优良性状高效耦合育种装置配套项目</w:t>
            </w:r>
            <w:r>
              <w:rPr>
                <w:rFonts w:hint="default" w:ascii="Times New Roman" w:hAnsi="Times New Roman" w:eastAsia="仿宋_GB2312" w:cs="Times New Roman"/>
                <w:color w:val="auto"/>
                <w:kern w:val="0"/>
                <w:sz w:val="24"/>
                <w:szCs w:val="24"/>
                <w:lang w:eastAsia="zh-CN" w:bidi="ar"/>
              </w:rPr>
              <w:t>等用地需求，支撑国家重大战略科技力量建设，服务海南自贸港科创高地建设</w:t>
            </w:r>
            <w:r>
              <w:rPr>
                <w:rFonts w:hint="default" w:ascii="Times New Roman" w:hAnsi="Times New Roman" w:eastAsia="仿宋_GB2312" w:cs="Times New Roman"/>
                <w:color w:val="auto"/>
                <w:kern w:val="0"/>
                <w:sz w:val="24"/>
                <w:szCs w:val="24"/>
                <w:lang w:val="en-US" w:eastAsia="zh-CN" w:bidi="ar"/>
              </w:rPr>
              <w:t>。</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firstLine="481" w:firstLineChars="200"/>
              <w:jc w:val="left"/>
              <w:textAlignment w:val="auto"/>
              <w:rPr>
                <w:rFonts w:hint="default" w:ascii="Times New Roman" w:hAnsi="Times New Roman" w:eastAsia="仿宋_GB2312" w:cs="Times New Roman"/>
                <w:b/>
                <w:bCs/>
                <w:color w:val="auto"/>
                <w:kern w:val="0"/>
                <w:sz w:val="24"/>
                <w:szCs w:val="24"/>
                <w:lang w:bidi="ar"/>
              </w:rPr>
            </w:pPr>
            <w:r>
              <w:rPr>
                <w:rFonts w:hint="default" w:ascii="Times New Roman" w:hAnsi="Times New Roman" w:eastAsia="仿宋_GB2312" w:cs="Times New Roman"/>
                <w:b/>
                <w:bCs/>
                <w:color w:val="auto"/>
                <w:kern w:val="0"/>
                <w:sz w:val="24"/>
                <w:szCs w:val="24"/>
                <w:lang w:bidi="ar"/>
              </w:rPr>
              <w:t>3.交通基础设施用地保障工程</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firstLine="480" w:firstLineChars="200"/>
              <w:jc w:val="both"/>
              <w:textAlignment w:val="auto"/>
              <w:rPr>
                <w:rFonts w:hint="default" w:ascii="Times New Roman" w:hAnsi="Times New Roman" w:eastAsia="仿宋_GB2312" w:cs="Times New Roman"/>
                <w:color w:val="auto"/>
                <w:kern w:val="0"/>
                <w:sz w:val="24"/>
                <w:szCs w:val="24"/>
                <w:lang w:val="en-US" w:eastAsia="zh-CN" w:bidi="ar"/>
              </w:rPr>
            </w:pPr>
            <w:r>
              <w:rPr>
                <w:rFonts w:hint="default" w:ascii="Times New Roman" w:hAnsi="Times New Roman" w:eastAsia="仿宋_GB2312" w:cs="Times New Roman"/>
                <w:color w:val="auto"/>
                <w:kern w:val="0"/>
                <w:sz w:val="24"/>
                <w:szCs w:val="24"/>
                <w:lang w:val="en-US" w:eastAsia="zh-CN" w:bidi="ar"/>
              </w:rPr>
              <w:t>重点保障凤凰机场 T3 航站楼、</w:t>
            </w:r>
            <w:r>
              <w:rPr>
                <w:rFonts w:hint="default" w:ascii="Times New Roman" w:hAnsi="Times New Roman" w:eastAsia="仿宋_GB2312" w:cs="Times New Roman"/>
                <w:color w:val="auto"/>
                <w:kern w:val="0"/>
                <w:sz w:val="24"/>
                <w:szCs w:val="24"/>
                <w:lang w:eastAsia="zh-CN" w:bidi="ar"/>
              </w:rPr>
              <w:t>湛海高铁三亚动车所改扩建、</w:t>
            </w:r>
            <w:r>
              <w:rPr>
                <w:rFonts w:hint="default" w:ascii="Times New Roman" w:hAnsi="Times New Roman" w:eastAsia="仿宋_GB2312" w:cs="Times New Roman"/>
                <w:color w:val="auto"/>
                <w:kern w:val="0"/>
                <w:sz w:val="24"/>
                <w:szCs w:val="24"/>
                <w:lang w:val="en-US" w:eastAsia="zh-CN" w:bidi="ar"/>
              </w:rPr>
              <w:t>海南中线高铁（三亚段）、东环高铁改扩建、三亚至陵水市域铁路、三级城际铁路站点、三亚-南山-红塘港区码头水上交通设施、东锣岛等9处旅游码头，</w:t>
            </w:r>
            <w:r>
              <w:rPr>
                <w:rFonts w:hint="default" w:ascii="Times New Roman" w:hAnsi="Times New Roman" w:eastAsia="仿宋_GB2312" w:cs="Times New Roman"/>
                <w:color w:val="auto"/>
                <w:kern w:val="0"/>
                <w:sz w:val="24"/>
                <w:szCs w:val="24"/>
                <w:lang w:eastAsia="zh-CN" w:bidi="ar"/>
              </w:rPr>
              <w:t>统筹</w:t>
            </w:r>
            <w:r>
              <w:rPr>
                <w:rFonts w:hint="default" w:ascii="Times New Roman" w:hAnsi="Times New Roman" w:eastAsia="仿宋_GB2312" w:cs="Times New Roman"/>
                <w:color w:val="auto"/>
                <w:kern w:val="0"/>
                <w:sz w:val="24"/>
                <w:szCs w:val="24"/>
                <w:lang w:val="en-US" w:eastAsia="zh-CN" w:bidi="ar"/>
              </w:rPr>
              <w:t>海南三亚国际邮轮港及配套项目、三亚临空经济区、育才新机场及综合配套交通项目、海棠湾高铁TOD、G98环岛高速公路三亚段快速化改造项目，三亚天涯通用机场改扩建项目、南山港区货运码头二期项目、凤凰机场天涯连接线扩容项目、国道G224迎宾互通至吉阳连接线段改扩建项目、环热带雨林国家公园旅游公路三亚支线</w:t>
            </w:r>
            <w:r>
              <w:rPr>
                <w:rFonts w:hint="default" w:ascii="Times New Roman" w:hAnsi="Times New Roman" w:eastAsia="仿宋_GB2312" w:cs="Times New Roman"/>
                <w:color w:val="auto"/>
                <w:kern w:val="0"/>
                <w:sz w:val="24"/>
                <w:szCs w:val="24"/>
                <w:lang w:eastAsia="zh-CN" w:bidi="ar"/>
              </w:rPr>
              <w:t>、三亚市鹿城大道（森海路至田独路）市政道路工程、三亚动车站综合交通枢纽项目</w:t>
            </w:r>
            <w:r>
              <w:rPr>
                <w:rFonts w:hint="default" w:ascii="Times New Roman" w:hAnsi="Times New Roman" w:eastAsia="仿宋_GB2312" w:cs="Times New Roman"/>
                <w:color w:val="auto"/>
                <w:kern w:val="0"/>
                <w:sz w:val="24"/>
                <w:szCs w:val="24"/>
                <w:lang w:val="en-US" w:eastAsia="zh-CN" w:bidi="ar"/>
              </w:rPr>
              <w:t>等工程项目的用地需求，不断提升三亚交通基础设施条件。</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firstLine="481" w:firstLineChars="200"/>
              <w:jc w:val="left"/>
              <w:textAlignment w:val="auto"/>
              <w:rPr>
                <w:rFonts w:hint="default" w:ascii="Times New Roman" w:hAnsi="Times New Roman" w:eastAsia="仿宋_GB2312" w:cs="Times New Roman"/>
                <w:b/>
                <w:bCs/>
                <w:color w:val="auto"/>
                <w:kern w:val="0"/>
                <w:sz w:val="24"/>
                <w:szCs w:val="24"/>
                <w:lang w:bidi="ar"/>
              </w:rPr>
            </w:pPr>
            <w:r>
              <w:rPr>
                <w:rFonts w:hint="default" w:ascii="Times New Roman" w:hAnsi="Times New Roman" w:eastAsia="仿宋_GB2312" w:cs="Times New Roman"/>
                <w:b/>
                <w:bCs/>
                <w:color w:val="auto"/>
                <w:kern w:val="0"/>
                <w:sz w:val="24"/>
                <w:szCs w:val="24"/>
                <w:lang w:bidi="ar"/>
              </w:rPr>
              <w:t>4.公共服务设施用地保障工程</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firstLine="480" w:firstLineChars="200"/>
              <w:jc w:val="left"/>
              <w:textAlignment w:val="auto"/>
              <w:rPr>
                <w:rFonts w:hint="default" w:ascii="Times New Roman" w:hAnsi="Times New Roman" w:eastAsia="仿宋_GB2312" w:cs="Times New Roman"/>
                <w:b/>
                <w:bCs/>
                <w:color w:val="auto"/>
                <w:kern w:val="0"/>
                <w:sz w:val="24"/>
                <w:szCs w:val="24"/>
                <w:lang w:val="en-US" w:eastAsia="zh-CN" w:bidi="ar"/>
              </w:rPr>
            </w:pPr>
            <w:r>
              <w:rPr>
                <w:rFonts w:hint="default" w:ascii="Times New Roman" w:hAnsi="Times New Roman" w:eastAsia="仿宋_GB2312" w:cs="Times New Roman"/>
                <w:color w:val="auto"/>
                <w:kern w:val="0"/>
                <w:sz w:val="24"/>
                <w:szCs w:val="24"/>
                <w:lang w:bidi="ar"/>
              </w:rPr>
              <w:t>重点保障三亚航院新校区建设项目教育设施、海棠湾大健康未来方舟＆数字医疗综合体、</w:t>
            </w:r>
            <w:r>
              <w:rPr>
                <w:rFonts w:hint="default" w:ascii="Times New Roman" w:hAnsi="Times New Roman" w:eastAsia="仿宋_GB2312" w:cs="Times New Roman"/>
                <w:b w:val="0"/>
                <w:bCs w:val="0"/>
                <w:color w:val="auto"/>
                <w:kern w:val="0"/>
                <w:sz w:val="24"/>
                <w:szCs w:val="24"/>
                <w:lang w:val="en-US" w:eastAsia="zh-CN" w:bidi="ar"/>
              </w:rPr>
              <w:t>临春岭森林公园基础设施</w:t>
            </w:r>
            <w:r>
              <w:rPr>
                <w:rFonts w:hint="default" w:ascii="Times New Roman" w:hAnsi="Times New Roman" w:eastAsia="仿宋_GB2312" w:cs="Times New Roman"/>
                <w:b w:val="0"/>
                <w:bCs w:val="0"/>
                <w:color w:val="auto"/>
                <w:kern w:val="0"/>
                <w:sz w:val="24"/>
                <w:szCs w:val="24"/>
                <w:lang w:eastAsia="zh-CN" w:bidi="ar"/>
              </w:rPr>
              <w:t>、</w:t>
            </w:r>
            <w:r>
              <w:rPr>
                <w:rFonts w:hint="default" w:ascii="Times New Roman" w:hAnsi="Times New Roman" w:eastAsia="仿宋_GB2312" w:cs="Times New Roman"/>
                <w:color w:val="auto"/>
                <w:kern w:val="0"/>
                <w:sz w:val="24"/>
                <w:szCs w:val="24"/>
                <w:lang w:bidi="ar"/>
              </w:rPr>
              <w:t>三亚市卫生健康服务能力提升、三亚崖州湾科技城综合物流园区五网基础设施配套工程、三亚崖州湾科技城综合物流园区安置区配套道路、</w:t>
            </w:r>
            <w:r>
              <w:rPr>
                <w:rFonts w:hint="default" w:ascii="Times New Roman" w:hAnsi="Times New Roman" w:eastAsia="仿宋_GB2312" w:cs="Times New Roman"/>
                <w:color w:val="auto"/>
                <w:kern w:val="0"/>
                <w:sz w:val="24"/>
                <w:szCs w:val="24"/>
                <w:lang w:val="en-US" w:eastAsia="zh-CN" w:bidi="ar"/>
              </w:rPr>
              <w:t>育才水质净化厂扩建</w:t>
            </w:r>
            <w:r>
              <w:rPr>
                <w:rFonts w:hint="default" w:ascii="Times New Roman" w:hAnsi="Times New Roman" w:eastAsia="仿宋_GB2312" w:cs="Times New Roman"/>
                <w:color w:val="auto"/>
                <w:kern w:val="0"/>
                <w:sz w:val="24"/>
                <w:szCs w:val="24"/>
                <w:lang w:eastAsia="zh-CN" w:bidi="ar"/>
              </w:rPr>
              <w:t>工程</w:t>
            </w:r>
            <w:r>
              <w:rPr>
                <w:rFonts w:hint="default" w:ascii="Times New Roman" w:hAnsi="Times New Roman" w:eastAsia="仿宋_GB2312" w:cs="Times New Roman"/>
                <w:color w:val="auto"/>
                <w:kern w:val="0"/>
                <w:sz w:val="24"/>
                <w:szCs w:val="24"/>
                <w:lang w:bidi="ar"/>
              </w:rPr>
              <w:t>等用地需求，打造高品质公共服务设施。</w:t>
            </w:r>
          </w:p>
        </w:tc>
      </w:tr>
    </w:tbl>
    <w:p>
      <w:pPr>
        <w:spacing w:line="560" w:lineRule="exact"/>
        <w:ind w:firstLine="642" w:firstLineChars="200"/>
        <w:rPr>
          <w:rFonts w:hint="default" w:ascii="Times New Roman" w:hAnsi="Times New Roman" w:cs="Times New Roman"/>
          <w:color w:val="auto"/>
          <w:sz w:val="32"/>
          <w:szCs w:val="32"/>
        </w:rPr>
      </w:pPr>
      <w:bookmarkStart w:id="417" w:name="_Toc1613"/>
      <w:bookmarkEnd w:id="417"/>
      <w:r>
        <w:rPr>
          <w:rFonts w:hint="default" w:ascii="Times New Roman" w:hAnsi="Times New Roman" w:eastAsia="仿宋_GB2312" w:cs="Times New Roman"/>
          <w:b/>
          <w:bCs/>
          <w:color w:val="auto"/>
          <w:kern w:val="0"/>
          <w:sz w:val="32"/>
          <w:szCs w:val="32"/>
          <w:lang w:bidi="ar"/>
        </w:rPr>
        <w:t>全面优化自然资源要素审批流程</w:t>
      </w:r>
      <w:r>
        <w:rPr>
          <w:rFonts w:hint="default" w:ascii="Times New Roman" w:hAnsi="Times New Roman" w:eastAsia="仿宋_GB2312" w:cs="Times New Roman"/>
          <w:b w:val="0"/>
          <w:bCs w:val="0"/>
          <w:color w:val="auto"/>
          <w:kern w:val="0"/>
          <w:sz w:val="32"/>
          <w:szCs w:val="32"/>
          <w:lang w:bidi="ar"/>
        </w:rPr>
        <w:t>。</w:t>
      </w:r>
      <w:bookmarkStart w:id="418" w:name="_Toc16489"/>
      <w:bookmarkEnd w:id="418"/>
      <w:r>
        <w:rPr>
          <w:rFonts w:hint="default" w:ascii="Times New Roman" w:hAnsi="Times New Roman" w:eastAsia="仿宋_GB2312" w:cs="Times New Roman"/>
          <w:color w:val="auto"/>
          <w:kern w:val="0"/>
          <w:sz w:val="32"/>
          <w:szCs w:val="32"/>
          <w:lang w:bidi="ar"/>
        </w:rPr>
        <w:t>统筹各类自然资源要素供给与审批，强化空间准入管控与复合集约利用导向，构建“事前科学谋划、事中高效审批、事后跟踪监管”的全生命周期工作机制。支持“带方案出让”“方案模拟审查”双轨并行，同步办理不动产登记，核发建设工程规划许可证，推行“交地即交证”。衔接用海审批与不动产登记，实行“交海即交证”。建立森林采伐“采、造、管”全流程管理模式，强化事中事后监管。</w:t>
      </w:r>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统筹建设用地指标配置</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合理编制年度土地供应计划，重点保障深海科技、南繁</w:t>
      </w:r>
      <w:r>
        <w:rPr>
          <w:rFonts w:hint="default" w:ascii="Times New Roman" w:hAnsi="Times New Roman" w:eastAsia="仿宋_GB2312" w:cs="Times New Roman"/>
          <w:color w:val="auto"/>
          <w:kern w:val="0"/>
          <w:sz w:val="32"/>
          <w:szCs w:val="32"/>
          <w:lang w:val="en-US" w:eastAsia="zh-CN" w:bidi="ar"/>
        </w:rPr>
        <w:t>种业</w:t>
      </w:r>
      <w:r>
        <w:rPr>
          <w:rFonts w:hint="default" w:ascii="Times New Roman" w:hAnsi="Times New Roman" w:eastAsia="仿宋_GB2312" w:cs="Times New Roman"/>
          <w:color w:val="auto"/>
          <w:kern w:val="0"/>
          <w:sz w:val="32"/>
          <w:szCs w:val="32"/>
          <w:lang w:bidi="ar"/>
        </w:rPr>
        <w:t>、总部经济、</w:t>
      </w:r>
      <w:r>
        <w:rPr>
          <w:rFonts w:hint="default" w:ascii="Times New Roman" w:hAnsi="Times New Roman" w:eastAsia="仿宋_GB2312" w:cs="Times New Roman"/>
          <w:color w:val="auto"/>
          <w:kern w:val="0"/>
          <w:sz w:val="32"/>
          <w:szCs w:val="32"/>
          <w:lang w:val="en-US" w:eastAsia="zh-CN" w:bidi="ar"/>
        </w:rPr>
        <w:t>旅游消费</w:t>
      </w:r>
      <w:r>
        <w:rPr>
          <w:rFonts w:hint="default" w:ascii="Times New Roman" w:hAnsi="Times New Roman" w:eastAsia="仿宋_GB2312" w:cs="Times New Roman"/>
          <w:color w:val="auto"/>
          <w:kern w:val="0"/>
          <w:sz w:val="32"/>
          <w:szCs w:val="32"/>
          <w:lang w:bidi="ar"/>
        </w:rPr>
        <w:t>、</w:t>
      </w:r>
      <w:r>
        <w:rPr>
          <w:rFonts w:hint="default" w:ascii="Times New Roman" w:hAnsi="Times New Roman" w:eastAsia="仿宋_GB2312" w:cs="Times New Roman"/>
          <w:color w:val="auto"/>
          <w:kern w:val="0"/>
          <w:sz w:val="32"/>
          <w:szCs w:val="32"/>
          <w:lang w:val="en-US" w:eastAsia="zh-CN" w:bidi="ar"/>
        </w:rPr>
        <w:t>先进制造</w:t>
      </w:r>
      <w:r>
        <w:rPr>
          <w:rFonts w:hint="default" w:ascii="Times New Roman" w:hAnsi="Times New Roman" w:eastAsia="仿宋_GB2312" w:cs="Times New Roman"/>
          <w:color w:val="auto"/>
          <w:kern w:val="0"/>
          <w:sz w:val="32"/>
          <w:szCs w:val="32"/>
          <w:lang w:bidi="ar"/>
        </w:rPr>
        <w:t>、</w:t>
      </w:r>
      <w:r>
        <w:rPr>
          <w:rFonts w:hint="default" w:ascii="Times New Roman" w:hAnsi="Times New Roman" w:eastAsia="仿宋_GB2312" w:cs="Times New Roman"/>
          <w:color w:val="auto"/>
          <w:kern w:val="0"/>
          <w:sz w:val="32"/>
          <w:szCs w:val="32"/>
          <w:lang w:val="en-US" w:eastAsia="zh-CN" w:bidi="ar"/>
        </w:rPr>
        <w:t>临空经济</w:t>
      </w:r>
      <w:r>
        <w:rPr>
          <w:rFonts w:hint="default" w:ascii="Times New Roman" w:hAnsi="Times New Roman" w:eastAsia="仿宋_GB2312" w:cs="Times New Roman"/>
          <w:color w:val="auto"/>
          <w:kern w:val="0"/>
          <w:sz w:val="32"/>
          <w:szCs w:val="32"/>
          <w:lang w:bidi="ar"/>
        </w:rPr>
        <w:t>等</w:t>
      </w:r>
      <w:r>
        <w:rPr>
          <w:rFonts w:hint="default" w:ascii="Times New Roman" w:hAnsi="Times New Roman" w:eastAsia="仿宋_GB2312" w:cs="Times New Roman"/>
          <w:color w:val="auto"/>
          <w:kern w:val="0"/>
          <w:sz w:val="32"/>
          <w:szCs w:val="32"/>
          <w:lang w:val="en-US" w:eastAsia="zh-CN" w:bidi="ar"/>
        </w:rPr>
        <w:t>优势</w:t>
      </w:r>
      <w:r>
        <w:rPr>
          <w:rFonts w:hint="default" w:ascii="Times New Roman" w:hAnsi="Times New Roman" w:eastAsia="仿宋_GB2312" w:cs="Times New Roman"/>
          <w:color w:val="auto"/>
          <w:kern w:val="0"/>
          <w:sz w:val="32"/>
          <w:szCs w:val="32"/>
          <w:lang w:bidi="ar"/>
        </w:rPr>
        <w:t>产业实施，优先支持标志性、引领性的重大科技攻关项目、新兴制造业项目，重点保障实体经济产业发展，做好强链补链畅链护链用地保障工作；统筹城乡建设用地节余指标优先用于保障性住房和公共基础设施等用地需求。安排不少于10%的乡村建设用地指标，保障乡村产业发展用地需求；村庄规划预留不超过5%的建设用地机动指标用于农村村民住宅、乡村公共设施、公益事业建设和产业发展。</w:t>
      </w:r>
    </w:p>
    <w:p>
      <w:pPr>
        <w:pStyle w:val="5"/>
        <w:keepNext w:val="0"/>
        <w:keepLines w:val="0"/>
        <w:spacing w:line="560" w:lineRule="exact"/>
        <w:ind w:firstLine="200"/>
        <w:jc w:val="center"/>
        <w:rPr>
          <w:rFonts w:hint="default" w:ascii="Times New Roman" w:hAnsi="Times New Roman" w:eastAsia="楷体_GB2312" w:cs="Times New Roman"/>
          <w:b w:val="0"/>
          <w:color w:val="auto"/>
        </w:rPr>
      </w:pPr>
      <w:bookmarkStart w:id="419" w:name="_Toc526407516"/>
      <w:bookmarkStart w:id="420" w:name="_Toc1903575309"/>
      <w:bookmarkStart w:id="421" w:name="_Toc936439932"/>
      <w:r>
        <w:rPr>
          <w:rFonts w:hint="default" w:ascii="Times New Roman" w:hAnsi="Times New Roman" w:eastAsia="楷体_GB2312" w:cs="Times New Roman"/>
          <w:b w:val="0"/>
          <w:color w:val="auto"/>
        </w:rPr>
        <w:t xml:space="preserve">第二节 </w:t>
      </w:r>
      <w:r>
        <w:rPr>
          <w:rFonts w:hint="default" w:ascii="Times New Roman" w:hAnsi="Times New Roman" w:eastAsia="楷体_GB2312" w:cs="Times New Roman"/>
          <w:b w:val="0"/>
          <w:color w:val="auto"/>
          <w:lang w:val="en-US" w:eastAsia="zh-CN"/>
        </w:rPr>
        <w:t xml:space="preserve"> </w:t>
      </w:r>
      <w:r>
        <w:rPr>
          <w:rFonts w:hint="default" w:ascii="Times New Roman" w:hAnsi="Times New Roman" w:eastAsia="楷体_GB2312" w:cs="Times New Roman"/>
          <w:b w:val="0"/>
          <w:color w:val="auto"/>
        </w:rPr>
        <w:t>优化土地供应与利用模式</w:t>
      </w:r>
      <w:bookmarkEnd w:id="419"/>
      <w:bookmarkEnd w:id="420"/>
      <w:bookmarkEnd w:id="421"/>
    </w:p>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创新土地供应方式</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适应新产业、新业态发展需要，积极推行弹性年期出让、长期租赁、先租后让、租让结合等供应方式，</w:t>
      </w:r>
      <w:r>
        <w:rPr>
          <w:rFonts w:hint="default" w:ascii="Times New Roman" w:hAnsi="Times New Roman" w:eastAsia="仿宋_GB2312" w:cs="Times New Roman"/>
          <w:color w:val="auto"/>
          <w:kern w:val="0"/>
          <w:sz w:val="32"/>
          <w:szCs w:val="32"/>
          <w:lang w:val="en-US" w:eastAsia="zh-CN" w:bidi="ar"/>
        </w:rPr>
        <w:t>支持一二三产业用地、多种用途用地混合供应，</w:t>
      </w:r>
      <w:r>
        <w:rPr>
          <w:rFonts w:hint="default" w:ascii="Times New Roman" w:hAnsi="Times New Roman" w:eastAsia="仿宋_GB2312" w:cs="Times New Roman"/>
          <w:color w:val="auto"/>
          <w:kern w:val="0"/>
          <w:sz w:val="32"/>
          <w:szCs w:val="32"/>
          <w:lang w:bidi="ar"/>
        </w:rPr>
        <w:t>探索“混合产业用地供应+土地用途灵活转换”供地方式。</w:t>
      </w:r>
      <w:r>
        <w:rPr>
          <w:rFonts w:hint="default" w:ascii="Times New Roman" w:hAnsi="Times New Roman" w:eastAsia="仿宋_GB2312" w:cs="Times New Roman"/>
          <w:color w:val="auto"/>
          <w:kern w:val="0"/>
          <w:sz w:val="32"/>
          <w:szCs w:val="32"/>
          <w:lang w:val="en-US" w:eastAsia="zh-CN" w:bidi="ar"/>
        </w:rPr>
        <w:t>拓展自然资源资产产业链，落实</w:t>
      </w:r>
      <w:r>
        <w:rPr>
          <w:rFonts w:hint="default" w:ascii="Times New Roman" w:hAnsi="Times New Roman" w:eastAsia="仿宋_GB2312" w:cs="Times New Roman"/>
          <w:color w:val="auto"/>
          <w:kern w:val="0"/>
          <w:sz w:val="32"/>
          <w:szCs w:val="32"/>
          <w:lang w:bidi="ar"/>
        </w:rPr>
        <w:t>跨类型、跨空间、跨权能的自然资源资产组合供应，将不同自然资源资产整体打包、合并配置、统一供应、整体运营，实现资产价值最大化。针对</w:t>
      </w:r>
      <w:r>
        <w:rPr>
          <w:rFonts w:hint="default" w:ascii="Times New Roman" w:hAnsi="Times New Roman" w:eastAsia="仿宋_GB2312" w:cs="Times New Roman"/>
          <w:color w:val="auto"/>
          <w:kern w:val="0"/>
          <w:sz w:val="32"/>
          <w:szCs w:val="32"/>
          <w:lang w:val="en-US" w:eastAsia="zh-CN" w:bidi="ar"/>
        </w:rPr>
        <w:t>南繁种业、深海科技等</w:t>
      </w:r>
      <w:r>
        <w:rPr>
          <w:rFonts w:hint="default" w:ascii="Times New Roman" w:hAnsi="Times New Roman" w:eastAsia="仿宋_GB2312" w:cs="Times New Roman"/>
          <w:color w:val="auto"/>
          <w:kern w:val="0"/>
          <w:sz w:val="32"/>
          <w:szCs w:val="32"/>
          <w:lang w:bidi="ar"/>
        </w:rPr>
        <w:t>具有重大带动作用的产业项目，可采取协议出让（租赁）等差别化供地方式</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val="en-US" w:eastAsia="zh-CN" w:bidi="ar"/>
        </w:rPr>
        <w:t>降低企业</w:t>
      </w:r>
      <w:r>
        <w:rPr>
          <w:rFonts w:hint="default" w:ascii="Times New Roman" w:hAnsi="Times New Roman" w:eastAsia="仿宋_GB2312" w:cs="Times New Roman"/>
          <w:color w:val="auto"/>
          <w:kern w:val="0"/>
          <w:sz w:val="32"/>
          <w:szCs w:val="32"/>
          <w:lang w:eastAsia="zh-CN" w:bidi="ar"/>
        </w:rPr>
        <w:t>用地</w:t>
      </w:r>
      <w:r>
        <w:rPr>
          <w:rFonts w:hint="default" w:ascii="Times New Roman" w:hAnsi="Times New Roman" w:eastAsia="仿宋_GB2312" w:cs="Times New Roman"/>
          <w:color w:val="auto"/>
          <w:kern w:val="0"/>
          <w:sz w:val="32"/>
          <w:szCs w:val="32"/>
          <w:lang w:val="en-US" w:eastAsia="zh-CN" w:bidi="ar"/>
        </w:rPr>
        <w:t>成本</w:t>
      </w:r>
      <w:r>
        <w:rPr>
          <w:rFonts w:hint="default" w:ascii="Times New Roman" w:hAnsi="Times New Roman" w:eastAsia="仿宋_GB2312" w:cs="Times New Roman"/>
          <w:color w:val="auto"/>
          <w:kern w:val="0"/>
          <w:sz w:val="32"/>
          <w:szCs w:val="32"/>
          <w:lang w:bidi="ar"/>
        </w:rPr>
        <w:t>。</w:t>
      </w:r>
      <w:r>
        <w:rPr>
          <w:rFonts w:hint="default" w:ascii="Times New Roman" w:hAnsi="Times New Roman" w:eastAsia="仿宋_GB2312" w:cs="Times New Roman"/>
          <w:i w:val="0"/>
          <w:iCs w:val="0"/>
          <w:caps w:val="0"/>
          <w:color w:val="auto"/>
          <w:spacing w:val="0"/>
          <w:kern w:val="0"/>
          <w:sz w:val="32"/>
          <w:szCs w:val="32"/>
          <w:lang w:bidi="ar"/>
        </w:rPr>
        <w:t>用好用足“先投后股”成果转化政策，支持深海装备、深海探测、深远海养殖等科技成果落地转化项目用地需求。</w:t>
      </w:r>
      <w:r>
        <w:rPr>
          <w:rFonts w:hint="default" w:ascii="Times New Roman" w:hAnsi="Times New Roman" w:eastAsia="仿宋_GB2312" w:cs="Times New Roman"/>
          <w:color w:val="auto"/>
          <w:kern w:val="0"/>
          <w:sz w:val="32"/>
          <w:szCs w:val="32"/>
          <w:lang w:bidi="ar"/>
        </w:rPr>
        <w:t>落实</w:t>
      </w:r>
      <w:r>
        <w:rPr>
          <w:rFonts w:hint="default" w:ascii="Times New Roman" w:hAnsi="Times New Roman" w:eastAsia="仿宋_GB2312" w:cs="Times New Roman"/>
          <w:color w:val="auto"/>
          <w:kern w:val="0"/>
          <w:sz w:val="32"/>
          <w:szCs w:val="32"/>
          <w:lang w:val="en-US" w:eastAsia="zh-CN" w:bidi="ar"/>
        </w:rPr>
        <w:t>海南自贸港重点园区</w:t>
      </w:r>
      <w:r>
        <w:rPr>
          <w:rFonts w:hint="default" w:ascii="Times New Roman" w:hAnsi="Times New Roman" w:eastAsia="仿宋_GB2312" w:cs="Times New Roman"/>
          <w:color w:val="auto"/>
          <w:kern w:val="0"/>
          <w:sz w:val="32"/>
          <w:szCs w:val="32"/>
          <w:lang w:bidi="ar"/>
        </w:rPr>
        <w:t>“标准地+用地清单制”，新增工业用地原则上全部按照“标准地”模式供地，切实提高产业用地利用效率。</w:t>
      </w:r>
    </w:p>
    <w:p>
      <w:pPr>
        <w:spacing w:line="560" w:lineRule="exact"/>
        <w:ind w:firstLine="642" w:firstLineChars="200"/>
        <w:rPr>
          <w:rFonts w:hint="default" w:ascii="Times New Roman" w:hAnsi="Times New Roman" w:eastAsia="仿宋_GB2312" w:cs="Times New Roman"/>
          <w:strike/>
          <w:color w:val="auto"/>
          <w:kern w:val="0"/>
          <w:sz w:val="32"/>
          <w:szCs w:val="32"/>
          <w:lang w:bidi="ar"/>
        </w:rPr>
      </w:pPr>
      <w:r>
        <w:rPr>
          <w:rFonts w:hint="default" w:ascii="Times New Roman" w:hAnsi="Times New Roman" w:eastAsia="仿宋_GB2312" w:cs="Times New Roman"/>
          <w:b/>
          <w:bCs/>
          <w:color w:val="auto"/>
          <w:kern w:val="0"/>
          <w:sz w:val="32"/>
          <w:szCs w:val="32"/>
          <w:lang w:bidi="ar"/>
        </w:rPr>
        <w:t>创新土地利用方式</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强化城市地下空间规划统筹引领，探索地上地下空间复合利用，</w:t>
      </w:r>
      <w:r>
        <w:rPr>
          <w:rFonts w:hint="default" w:ascii="Times New Roman" w:hAnsi="Times New Roman" w:eastAsia="仿宋_GB2312" w:cs="Times New Roman"/>
          <w:i w:val="0"/>
          <w:iCs w:val="0"/>
          <w:caps w:val="0"/>
          <w:color w:val="auto"/>
          <w:spacing w:val="0"/>
          <w:kern w:val="0"/>
          <w:sz w:val="32"/>
          <w:szCs w:val="32"/>
          <w:shd w:val="clear" w:fill="auto"/>
          <w:lang w:bidi="ar"/>
        </w:rPr>
        <w:t>在城市更新、综合防灾等工作中统筹推进地下空间开发利用</w:t>
      </w:r>
      <w:r>
        <w:rPr>
          <w:rFonts w:hint="default" w:ascii="Times New Roman" w:hAnsi="Times New Roman" w:eastAsia="仿宋_GB2312" w:cs="Times New Roman"/>
          <w:i w:val="0"/>
          <w:iCs w:val="0"/>
          <w:caps w:val="0"/>
          <w:color w:val="auto"/>
          <w:spacing w:val="0"/>
          <w:kern w:val="0"/>
          <w:sz w:val="32"/>
          <w:szCs w:val="32"/>
          <w:shd w:val="clear"/>
          <w:lang w:bidi="ar"/>
        </w:rPr>
        <w:t>，</w:t>
      </w:r>
      <w:r>
        <w:rPr>
          <w:rFonts w:hint="default" w:ascii="Times New Roman" w:hAnsi="Times New Roman" w:eastAsia="仿宋_GB2312" w:cs="Times New Roman"/>
          <w:color w:val="auto"/>
          <w:kern w:val="0"/>
          <w:sz w:val="32"/>
          <w:szCs w:val="32"/>
          <w:lang w:bidi="ar"/>
        </w:rPr>
        <w:t>完善建设用地使用权分层设权、开发利用与监督管理制度，充分挖掘地下空间资源潜力，提升地上地下空间</w:t>
      </w:r>
      <w:r>
        <w:rPr>
          <w:rFonts w:hint="default" w:ascii="Times New Roman" w:hAnsi="Times New Roman" w:eastAsia="仿宋_GB2312" w:cs="Times New Roman"/>
          <w:color w:val="auto"/>
          <w:kern w:val="0"/>
          <w:sz w:val="32"/>
          <w:szCs w:val="32"/>
          <w:lang w:val="en-US" w:eastAsia="zh-CN" w:bidi="ar"/>
        </w:rPr>
        <w:t>和</w:t>
      </w:r>
      <w:r>
        <w:rPr>
          <w:rFonts w:hint="default" w:ascii="Times New Roman" w:hAnsi="Times New Roman" w:eastAsia="仿宋_GB2312" w:cs="Times New Roman"/>
          <w:color w:val="auto"/>
          <w:kern w:val="0"/>
          <w:sz w:val="32"/>
          <w:szCs w:val="32"/>
          <w:lang w:bidi="ar"/>
        </w:rPr>
        <w:t>产业</w:t>
      </w:r>
      <w:r>
        <w:rPr>
          <w:rFonts w:hint="default" w:ascii="Times New Roman" w:hAnsi="Times New Roman" w:eastAsia="仿宋_GB2312" w:cs="Times New Roman"/>
          <w:color w:val="auto"/>
          <w:kern w:val="0"/>
          <w:sz w:val="32"/>
          <w:szCs w:val="32"/>
          <w:lang w:val="en-US" w:eastAsia="zh-CN" w:bidi="ar"/>
        </w:rPr>
        <w:t>的</w:t>
      </w:r>
      <w:r>
        <w:rPr>
          <w:rFonts w:hint="default" w:ascii="Times New Roman" w:hAnsi="Times New Roman" w:eastAsia="仿宋_GB2312" w:cs="Times New Roman"/>
          <w:color w:val="auto"/>
          <w:kern w:val="0"/>
          <w:sz w:val="32"/>
          <w:szCs w:val="32"/>
          <w:lang w:bidi="ar"/>
        </w:rPr>
        <w:t>联动效应，增强城市综合承载能力。推行将暂不供应的储备用地，在不改变远期规划</w:t>
      </w:r>
      <w:r>
        <w:rPr>
          <w:rFonts w:hint="default" w:ascii="Times New Roman" w:hAnsi="Times New Roman" w:eastAsia="仿宋_GB2312" w:cs="Times New Roman"/>
          <w:color w:val="auto"/>
          <w:kern w:val="0"/>
          <w:sz w:val="32"/>
          <w:szCs w:val="32"/>
          <w:highlight w:val="none"/>
          <w:lang w:bidi="ar"/>
        </w:rPr>
        <w:t>用途的前提下，通过短期出租、临时使用等方式加以利用，提高土地利用效率。科学发展林下经济，充分利用林下空间资源，发展森林康养、休闲农业等产业。探索房地产用地新模式，</w:t>
      </w:r>
      <w:r>
        <w:rPr>
          <w:rFonts w:hint="default" w:ascii="Times New Roman" w:hAnsi="Times New Roman" w:eastAsia="仿宋_GB2312" w:cs="Times New Roman"/>
          <w:color w:val="auto"/>
          <w:kern w:val="0"/>
          <w:sz w:val="32"/>
          <w:szCs w:val="32"/>
          <w:lang w:bidi="ar"/>
        </w:rPr>
        <w:t>做好分类管理规划和用地保障，推动市场平稳健康发展。</w:t>
      </w:r>
    </w:p>
    <w:p>
      <w:pPr>
        <w:widowControl/>
        <w:spacing w:line="560" w:lineRule="exact"/>
        <w:ind w:firstLine="642" w:firstLineChars="200"/>
        <w:rPr>
          <w:rFonts w:hint="default" w:ascii="Times New Roman" w:hAnsi="Times New Roman" w:cs="Times New Roman"/>
          <w:color w:val="auto"/>
        </w:rPr>
      </w:pPr>
      <w:r>
        <w:rPr>
          <w:rFonts w:hint="default" w:ascii="Times New Roman" w:hAnsi="Times New Roman" w:eastAsia="仿宋_GB2312" w:cs="Times New Roman"/>
          <w:b/>
          <w:bCs/>
          <w:color w:val="auto"/>
          <w:kern w:val="0"/>
          <w:sz w:val="32"/>
          <w:szCs w:val="32"/>
          <w:lang w:bidi="ar"/>
        </w:rPr>
        <w:t>持续优化市级土地储备</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运用地方政府债券支持土地储备，优先将城市更新、存量低效、闲置土地、产业急需用地纳入储备库，有序推进储备土地前期开发、管理及供应。通过“人防+技防”等多种措施提高储备土地管护工作质效</w:t>
      </w:r>
      <w:r>
        <w:rPr>
          <w:rFonts w:hint="default" w:ascii="Times New Roman" w:hAnsi="Times New Roman" w:eastAsia="仿宋_GB2312" w:cs="Times New Roman"/>
          <w:color w:val="auto"/>
          <w:kern w:val="0"/>
          <w:sz w:val="32"/>
          <w:szCs w:val="32"/>
          <w:lang w:eastAsia="zh-CN" w:bidi="ar"/>
        </w:rPr>
        <w:t>，防止储备土地被侵占、破坏和污染；</w:t>
      </w:r>
      <w:r>
        <w:rPr>
          <w:rFonts w:hint="default" w:ascii="Times New Roman" w:hAnsi="Times New Roman" w:eastAsia="仿宋_GB2312" w:cs="Times New Roman"/>
          <w:color w:val="auto"/>
          <w:kern w:val="0"/>
          <w:sz w:val="32"/>
          <w:szCs w:val="32"/>
          <w:lang w:bidi="ar"/>
        </w:rPr>
        <w:t>有序推动三亚市南田垦地融合示范区土地收储工作</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val="en-US" w:eastAsia="zh-CN" w:bidi="ar"/>
        </w:rPr>
        <w:t>进一步完善省级与市级储备地转换利用模式，</w:t>
      </w:r>
      <w:r>
        <w:rPr>
          <w:rFonts w:hint="default" w:ascii="Times New Roman" w:hAnsi="Times New Roman" w:eastAsia="仿宋_GB2312" w:cs="Times New Roman"/>
          <w:color w:val="auto"/>
          <w:kern w:val="0"/>
          <w:sz w:val="32"/>
          <w:szCs w:val="32"/>
          <w:lang w:bidi="ar"/>
        </w:rPr>
        <w:t>推进省级储备土地划转</w:t>
      </w:r>
      <w:r>
        <w:rPr>
          <w:rFonts w:hint="default" w:ascii="Times New Roman" w:hAnsi="Times New Roman" w:eastAsia="仿宋_GB2312" w:cs="Times New Roman"/>
          <w:color w:val="auto"/>
          <w:kern w:val="0"/>
          <w:sz w:val="32"/>
          <w:szCs w:val="32"/>
          <w:lang w:val="en-US" w:eastAsia="zh-CN" w:bidi="ar"/>
        </w:rPr>
        <w:t>至三亚市</w:t>
      </w:r>
      <w:r>
        <w:rPr>
          <w:rFonts w:hint="default" w:ascii="Times New Roman" w:hAnsi="Times New Roman" w:eastAsia="仿宋_GB2312" w:cs="Times New Roman"/>
          <w:color w:val="auto"/>
          <w:kern w:val="0"/>
          <w:sz w:val="32"/>
          <w:szCs w:val="32"/>
          <w:lang w:bidi="ar"/>
        </w:rPr>
        <w:t>，推动储备地基础设施建设，满足“净地”供应要求。做好储备土地招商推介，符合条件的项目纳入“自然资源超市”，稳妥有序供应</w:t>
      </w:r>
      <w:r>
        <w:rPr>
          <w:rFonts w:hint="default" w:ascii="Times New Roman" w:hAnsi="Times New Roman" w:eastAsia="仿宋_GB2312" w:cs="Times New Roman"/>
          <w:color w:val="auto"/>
          <w:kern w:val="0"/>
          <w:sz w:val="32"/>
          <w:szCs w:val="32"/>
          <w:lang w:eastAsia="zh-CN" w:bidi="ar"/>
        </w:rPr>
        <w:t>吉阳区和天涯区</w:t>
      </w:r>
      <w:r>
        <w:rPr>
          <w:rFonts w:hint="default" w:ascii="Times New Roman" w:hAnsi="Times New Roman" w:eastAsia="仿宋_GB2312" w:cs="Times New Roman"/>
          <w:color w:val="auto"/>
          <w:kern w:val="0"/>
          <w:sz w:val="32"/>
          <w:szCs w:val="32"/>
          <w:lang w:bidi="ar"/>
        </w:rPr>
        <w:t>等区域储备土地。</w:t>
      </w:r>
    </w:p>
    <w:p>
      <w:pPr>
        <w:pStyle w:val="5"/>
        <w:keepNext w:val="0"/>
        <w:keepLines w:val="0"/>
        <w:spacing w:line="560" w:lineRule="exact"/>
        <w:ind w:firstLine="200"/>
        <w:jc w:val="center"/>
        <w:rPr>
          <w:rFonts w:hint="default" w:ascii="Times New Roman" w:hAnsi="Times New Roman" w:eastAsia="楷体_GB2312" w:cs="Times New Roman"/>
          <w:b w:val="0"/>
          <w:color w:val="auto"/>
          <w:lang w:val="en-US" w:eastAsia="zh-CN"/>
        </w:rPr>
      </w:pPr>
      <w:bookmarkStart w:id="422" w:name="_Toc1356599652"/>
      <w:bookmarkEnd w:id="422"/>
      <w:bookmarkStart w:id="423" w:name="_Toc28033"/>
      <w:bookmarkEnd w:id="423"/>
      <w:bookmarkStart w:id="424" w:name="_Toc1064386733"/>
      <w:bookmarkEnd w:id="424"/>
      <w:bookmarkStart w:id="425" w:name="_Toc1331334030"/>
      <w:bookmarkEnd w:id="425"/>
      <w:bookmarkStart w:id="426" w:name="_Toc1178866582"/>
      <w:bookmarkEnd w:id="426"/>
      <w:bookmarkStart w:id="427" w:name="_Toc2115814240"/>
      <w:bookmarkEnd w:id="427"/>
      <w:bookmarkStart w:id="428" w:name="_Toc1351948337"/>
      <w:bookmarkEnd w:id="428"/>
      <w:bookmarkStart w:id="429" w:name="_Toc10356"/>
      <w:bookmarkStart w:id="430" w:name="_Toc912287074"/>
      <w:bookmarkStart w:id="431" w:name="_Toc1127495868"/>
      <w:r>
        <w:rPr>
          <w:rFonts w:hint="default" w:ascii="Times New Roman" w:hAnsi="Times New Roman" w:eastAsia="楷体_GB2312" w:cs="Times New Roman"/>
          <w:b w:val="0"/>
          <w:color w:val="auto"/>
        </w:rPr>
        <w:t>第三节</w:t>
      </w:r>
      <w:bookmarkEnd w:id="429"/>
      <w:r>
        <w:rPr>
          <w:rFonts w:hint="default" w:ascii="Times New Roman" w:hAnsi="Times New Roman" w:eastAsia="楷体_GB2312" w:cs="Times New Roman"/>
          <w:b w:val="0"/>
          <w:color w:val="auto"/>
          <w:lang w:val="en-US" w:eastAsia="zh-CN"/>
        </w:rPr>
        <w:t xml:space="preserve"> </w:t>
      </w:r>
      <w:r>
        <w:rPr>
          <w:rFonts w:hint="default" w:ascii="Times New Roman" w:hAnsi="Times New Roman" w:eastAsia="楷体_GB2312" w:cs="Times New Roman"/>
          <w:b w:val="0"/>
          <w:color w:val="auto"/>
        </w:rPr>
        <w:t xml:space="preserve"> 推进矿产资源勘查普查、供给和</w:t>
      </w:r>
      <w:r>
        <w:rPr>
          <w:rFonts w:hint="default" w:ascii="Times New Roman" w:hAnsi="Times New Roman" w:eastAsia="楷体_GB2312" w:cs="Times New Roman"/>
          <w:b w:val="0"/>
          <w:color w:val="auto"/>
          <w:lang w:val="en-US" w:eastAsia="zh-CN"/>
        </w:rPr>
        <w:t>生态治理</w:t>
      </w:r>
      <w:bookmarkEnd w:id="430"/>
      <w:bookmarkEnd w:id="431"/>
    </w:p>
    <w:p>
      <w:pPr>
        <w:spacing w:line="560" w:lineRule="exact"/>
        <w:ind w:firstLine="642" w:firstLineChars="200"/>
        <w:rPr>
          <w:rFonts w:hint="default" w:ascii="Times New Roman" w:hAnsi="Times New Roman" w:eastAsia="仿宋_GB2312" w:cs="Times New Roman"/>
          <w:i w:val="0"/>
          <w:iCs w:val="0"/>
          <w:caps w:val="0"/>
          <w:color w:val="auto"/>
          <w:spacing w:val="0"/>
          <w:kern w:val="0"/>
          <w:sz w:val="32"/>
          <w:szCs w:val="32"/>
          <w:shd w:val="clear"/>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lang w:val="en-US" w:eastAsia="zh-CN" w:bidi="ar"/>
        </w:rPr>
        <w:t>做好基础矿产资源勘察普查供给保障</w:t>
      </w:r>
      <w:r>
        <w:rPr>
          <w:rFonts w:hint="default" w:ascii="Times New Roman" w:hAnsi="Times New Roman" w:eastAsia="仿宋_GB2312" w:cs="Times New Roman"/>
          <w:b w:val="0"/>
          <w:bCs w:val="0"/>
          <w:i w:val="0"/>
          <w:iCs w:val="0"/>
          <w:caps w:val="0"/>
          <w:color w:val="auto"/>
          <w:spacing w:val="0"/>
          <w:kern w:val="0"/>
          <w:sz w:val="32"/>
          <w:szCs w:val="32"/>
          <w:shd w:val="clear"/>
          <w:lang w:val="en-US" w:eastAsia="zh-CN" w:bidi="ar"/>
        </w:rPr>
        <w:t>。</w:t>
      </w:r>
      <w:r>
        <w:rPr>
          <w:rFonts w:hint="default" w:ascii="Times New Roman" w:hAnsi="Times New Roman" w:eastAsia="仿宋_GB2312" w:cs="Times New Roman"/>
          <w:i w:val="0"/>
          <w:iCs w:val="0"/>
          <w:caps w:val="0"/>
          <w:color w:val="auto"/>
          <w:spacing w:val="0"/>
          <w:kern w:val="0"/>
          <w:sz w:val="32"/>
          <w:szCs w:val="32"/>
          <w:shd w:val="clear"/>
          <w:lang w:val="en-US" w:eastAsia="zh-CN" w:bidi="ar"/>
        </w:rPr>
        <w:t>推进崖州大出水村A段矿山和崖州“红岩队—抱古村”矿山生产，保障三亚市花岗岩建筑石料矿产供应。以采补平衡为前提投放采矿权，提升存量矿产资源供给能力。开展矿泉水、地热</w:t>
      </w:r>
      <w:r>
        <w:rPr>
          <w:rFonts w:hint="default" w:ascii="Times New Roman" w:hAnsi="Times New Roman" w:eastAsia="仿宋_GB2312" w:cs="Times New Roman"/>
          <w:i w:val="0"/>
          <w:iCs w:val="0"/>
          <w:caps w:val="0"/>
          <w:color w:val="auto"/>
          <w:spacing w:val="0"/>
          <w:kern w:val="0"/>
          <w:sz w:val="32"/>
          <w:szCs w:val="32"/>
          <w:shd w:val="clear"/>
          <w:lang w:eastAsia="zh-CN" w:bidi="ar"/>
        </w:rPr>
        <w:t>资源</w:t>
      </w:r>
      <w:r>
        <w:rPr>
          <w:rFonts w:hint="default" w:ascii="Times New Roman" w:hAnsi="Times New Roman" w:eastAsia="仿宋_GB2312" w:cs="Times New Roman"/>
          <w:i w:val="0"/>
          <w:iCs w:val="0"/>
          <w:caps w:val="0"/>
          <w:color w:val="auto"/>
          <w:spacing w:val="0"/>
          <w:kern w:val="0"/>
          <w:sz w:val="32"/>
          <w:szCs w:val="32"/>
          <w:shd w:val="clear"/>
          <w:lang w:val="en-US" w:eastAsia="zh-CN" w:bidi="ar"/>
        </w:rPr>
        <w:t>勘查普查及采矿权设置。加强矿业权管理，推进矿产资源勘查开发“两证”管理，完善“净采矿权”出让。</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306"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560" w:firstLineChars="200"/>
              <w:jc w:val="center"/>
              <w:textAlignment w:val="auto"/>
              <w:rPr>
                <w:rFonts w:hint="default" w:ascii="Times New Roman" w:hAnsi="Times New Roman" w:cs="Times New Roman"/>
                <w:b/>
                <w:bCs/>
                <w:color w:val="auto"/>
                <w:sz w:val="24"/>
                <w:szCs w:val="24"/>
              </w:rPr>
            </w:pPr>
            <w:r>
              <w:rPr>
                <w:rFonts w:hint="default" w:ascii="Times New Roman" w:hAnsi="Times New Roman" w:eastAsia="黑体" w:cs="Times New Roman"/>
                <w:color w:val="auto"/>
                <w:kern w:val="0"/>
                <w:sz w:val="28"/>
                <w:szCs w:val="28"/>
              </w:rPr>
              <w:t>专栏</w:t>
            </w:r>
            <w:r>
              <w:rPr>
                <w:rFonts w:hint="default" w:ascii="Times New Roman" w:hAnsi="Times New Roman" w:eastAsia="黑体" w:cs="Times New Roman"/>
                <w:color w:val="auto"/>
                <w:kern w:val="0"/>
                <w:sz w:val="28"/>
                <w:szCs w:val="28"/>
                <w:lang w:val="en-US" w:eastAsia="zh-CN"/>
              </w:rPr>
              <w:t>6</w:t>
            </w:r>
            <w:r>
              <w:rPr>
                <w:rFonts w:hint="default" w:ascii="Times New Roman" w:hAnsi="Times New Roman" w:eastAsia="黑体" w:cs="Times New Roman"/>
                <w:color w:val="auto"/>
                <w:kern w:val="0"/>
                <w:sz w:val="28"/>
                <w:szCs w:val="28"/>
              </w:rPr>
              <w:t xml:space="preserve">  矿产勘查开发重点项目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8306" w:type="dxa"/>
            <w:tcBorders>
              <w:top w:val="single" w:color="auto" w:sz="4" w:space="0"/>
              <w:left w:val="single" w:color="auto" w:sz="4" w:space="0"/>
              <w:bottom w:val="single" w:color="auto" w:sz="4" w:space="0"/>
              <w:right w:val="single" w:color="auto" w:sz="4" w:space="0"/>
            </w:tcBorders>
            <w:shd w:val="clear" w:color="auto" w:fill="FFFFFF"/>
            <w:noWrap/>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481" w:firstLineChars="200"/>
              <w:jc w:val="left"/>
              <w:textAlignment w:val="auto"/>
              <w:rPr>
                <w:rFonts w:hint="default" w:ascii="Times New Roman" w:hAnsi="Times New Roman" w:eastAsia="仿宋_GB2312" w:cs="Times New Roman"/>
                <w:bCs/>
                <w:color w:val="auto"/>
                <w:kern w:val="0"/>
                <w:sz w:val="24"/>
                <w:szCs w:val="24"/>
              </w:rPr>
            </w:pPr>
            <w:r>
              <w:rPr>
                <w:rFonts w:hint="default" w:ascii="Times New Roman" w:hAnsi="Times New Roman" w:eastAsia="仿宋_GB2312" w:cs="Times New Roman"/>
                <w:b/>
                <w:color w:val="auto"/>
                <w:kern w:val="0"/>
                <w:sz w:val="24"/>
                <w:szCs w:val="24"/>
              </w:rPr>
              <w:t>三亚槟榔河温泉地热水项目</w:t>
            </w:r>
            <w:r>
              <w:rPr>
                <w:rFonts w:hint="default" w:ascii="Times New Roman" w:hAnsi="Times New Roman" w:eastAsia="仿宋_GB2312" w:cs="Times New Roman"/>
                <w:b w:val="0"/>
                <w:bCs/>
                <w:color w:val="auto"/>
                <w:kern w:val="0"/>
                <w:sz w:val="24"/>
                <w:szCs w:val="24"/>
              </w:rPr>
              <w:t>。</w:t>
            </w:r>
            <w:r>
              <w:rPr>
                <w:rFonts w:hint="default" w:ascii="Times New Roman" w:hAnsi="Times New Roman" w:eastAsia="仿宋_GB2312" w:cs="Times New Roman"/>
                <w:bCs/>
                <w:color w:val="auto"/>
                <w:kern w:val="0"/>
                <w:sz w:val="24"/>
                <w:szCs w:val="24"/>
              </w:rPr>
              <w:t>围绕三亚中心城区稀缺的天然地热资源，打造集地热开采、温泉康养、文旅度假于一体的三亚槟榔河国际乡村文化旅游区核心配套项目。</w:t>
            </w:r>
          </w:p>
        </w:tc>
      </w:tr>
    </w:tbl>
    <w:p>
      <w:pPr>
        <w:spacing w:line="560" w:lineRule="exact"/>
        <w:ind w:firstLine="642"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全面加强绿色矿山建设</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坚持“边开采、边治理”生态修复原则，推动崖州大出水村A段和崖州“红岩队—抱古村”绿色矿山建设。新建矿山按照绿色矿山标准进行规划、设计、运营、管理，确保一年后达到绿色矿山标准。全面推进矿山生态修复，加快绿色矿山</w:t>
      </w:r>
      <w:r>
        <w:rPr>
          <w:rFonts w:hint="default" w:ascii="Times New Roman" w:hAnsi="Times New Roman" w:eastAsia="仿宋_GB2312" w:cs="Times New Roman"/>
          <w:color w:val="auto"/>
          <w:kern w:val="0"/>
          <w:sz w:val="32"/>
          <w:szCs w:val="32"/>
          <w:lang w:val="en-US" w:eastAsia="zh-CN" w:bidi="ar"/>
        </w:rPr>
        <w:t>建设</w:t>
      </w:r>
      <w:r>
        <w:rPr>
          <w:rFonts w:hint="default" w:ascii="Times New Roman" w:hAnsi="Times New Roman" w:eastAsia="仿宋_GB2312" w:cs="Times New Roman"/>
          <w:color w:val="auto"/>
          <w:kern w:val="0"/>
          <w:sz w:val="32"/>
          <w:szCs w:val="32"/>
          <w:lang w:eastAsia="zh-CN" w:bidi="ar"/>
        </w:rPr>
        <w:t>与</w:t>
      </w:r>
      <w:r>
        <w:rPr>
          <w:rFonts w:hint="default" w:ascii="Times New Roman" w:hAnsi="Times New Roman" w:eastAsia="仿宋_GB2312" w:cs="Times New Roman"/>
          <w:color w:val="auto"/>
          <w:kern w:val="0"/>
          <w:sz w:val="32"/>
          <w:szCs w:val="32"/>
          <w:lang w:bidi="ar"/>
        </w:rPr>
        <w:t>后续跟踪监督，进一步提高绿色矿山建设质量。探索矿山修复后生态资源向碳汇、康养等绿色资产的价值转化，形成矿山资源开发与生态保护共赢的高质量发展路径。</w:t>
      </w:r>
      <w:r>
        <w:rPr>
          <w:rFonts w:hint="default" w:ascii="Times New Roman" w:hAnsi="Times New Roman" w:eastAsia="仿宋_GB2312" w:cs="Times New Roman"/>
          <w:i w:val="0"/>
          <w:iCs w:val="0"/>
          <w:caps w:val="0"/>
          <w:color w:val="auto"/>
          <w:spacing w:val="0"/>
          <w:kern w:val="0"/>
          <w:sz w:val="32"/>
          <w:szCs w:val="32"/>
          <w:shd w:val="clear" w:fill="auto"/>
          <w:lang w:bidi="ar"/>
        </w:rPr>
        <w:t>稳妥推进矿山废弃物源头减量，积极推广矿产资源先进技术装备应用，不断提高矿产资源</w:t>
      </w:r>
      <w:r>
        <w:rPr>
          <w:rFonts w:hint="default" w:ascii="Times New Roman" w:hAnsi="Times New Roman" w:eastAsia="仿宋_GB2312" w:cs="Times New Roman"/>
          <w:i w:val="0"/>
          <w:iCs w:val="0"/>
          <w:caps w:val="0"/>
          <w:color w:val="auto"/>
          <w:spacing w:val="0"/>
          <w:kern w:val="0"/>
          <w:sz w:val="32"/>
          <w:szCs w:val="32"/>
          <w:shd w:val="clear"/>
          <w:lang w:bidi="ar"/>
        </w:rPr>
        <w:t>“</w:t>
      </w:r>
      <w:r>
        <w:rPr>
          <w:rFonts w:hint="default" w:ascii="Times New Roman" w:hAnsi="Times New Roman" w:eastAsia="仿宋_GB2312" w:cs="Times New Roman"/>
          <w:i w:val="0"/>
          <w:iCs w:val="0"/>
          <w:caps w:val="0"/>
          <w:color w:val="auto"/>
          <w:spacing w:val="0"/>
          <w:kern w:val="0"/>
          <w:sz w:val="32"/>
          <w:szCs w:val="32"/>
          <w:shd w:val="clear" w:fill="auto"/>
          <w:lang w:bidi="ar"/>
        </w:rPr>
        <w:t>三率</w:t>
      </w:r>
      <w:r>
        <w:rPr>
          <w:rFonts w:hint="default" w:ascii="Times New Roman" w:hAnsi="Times New Roman" w:eastAsia="仿宋_GB2312" w:cs="Times New Roman"/>
          <w:i w:val="0"/>
          <w:iCs w:val="0"/>
          <w:caps w:val="0"/>
          <w:color w:val="auto"/>
          <w:spacing w:val="0"/>
          <w:kern w:val="0"/>
          <w:sz w:val="32"/>
          <w:szCs w:val="32"/>
          <w:shd w:val="clear"/>
          <w:lang w:bidi="ar"/>
        </w:rPr>
        <w:t>”</w:t>
      </w:r>
      <w:r>
        <w:rPr>
          <w:rFonts w:hint="default" w:ascii="Times New Roman" w:hAnsi="Times New Roman" w:eastAsia="仿宋_GB2312" w:cs="Times New Roman"/>
          <w:i w:val="0"/>
          <w:iCs w:val="0"/>
          <w:caps w:val="0"/>
          <w:color w:val="auto"/>
          <w:spacing w:val="0"/>
          <w:kern w:val="0"/>
          <w:sz w:val="32"/>
          <w:szCs w:val="32"/>
          <w:shd w:val="clear" w:fill="auto"/>
          <w:lang w:bidi="ar"/>
        </w:rPr>
        <w:t>水平。</w:t>
      </w:r>
    </w:p>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exact"/>
        <w:ind w:left="0" w:right="0" w:firstLine="642" w:firstLineChars="200"/>
        <w:jc w:val="left"/>
        <w:rPr>
          <w:rFonts w:hint="default" w:ascii="Times New Roman" w:hAnsi="Times New Roman" w:eastAsia="仿宋_GB2312" w:cs="Times New Roman"/>
          <w:i w:val="0"/>
          <w:iCs w:val="0"/>
          <w:caps w:val="0"/>
          <w:color w:val="auto"/>
          <w:spacing w:val="0"/>
          <w:kern w:val="0"/>
          <w:sz w:val="32"/>
          <w:szCs w:val="32"/>
          <w:shd w:val="clear"/>
          <w:lang w:val="en-US" w:eastAsia="zh-CN" w:bidi="ar"/>
        </w:rPr>
      </w:pPr>
      <w:r>
        <w:rPr>
          <w:rFonts w:hint="default" w:ascii="Times New Roman" w:hAnsi="Times New Roman" w:eastAsia="仿宋_GB2312" w:cs="Times New Roman"/>
          <w:b/>
          <w:bCs/>
          <w:color w:val="auto"/>
          <w:kern w:val="0"/>
          <w:sz w:val="32"/>
          <w:szCs w:val="32"/>
          <w:lang w:bidi="ar"/>
        </w:rPr>
        <w:t>加强矿产资源保护监督</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i w:val="0"/>
          <w:iCs w:val="0"/>
          <w:caps w:val="0"/>
          <w:color w:val="auto"/>
          <w:spacing w:val="0"/>
          <w:kern w:val="0"/>
          <w:sz w:val="32"/>
          <w:szCs w:val="32"/>
          <w:shd w:val="clear"/>
          <w:lang w:eastAsia="zh-CN" w:bidi="ar"/>
        </w:rPr>
        <w:t>严格落实</w:t>
      </w:r>
      <w:r>
        <w:rPr>
          <w:rFonts w:hint="default" w:ascii="Times New Roman" w:hAnsi="Times New Roman" w:eastAsia="仿宋_GB2312" w:cs="Times New Roman"/>
          <w:i w:val="0"/>
          <w:iCs w:val="0"/>
          <w:caps w:val="0"/>
          <w:color w:val="auto"/>
          <w:spacing w:val="0"/>
          <w:kern w:val="0"/>
          <w:sz w:val="32"/>
          <w:szCs w:val="32"/>
          <w:shd w:val="clear"/>
          <w:lang w:val="en-US" w:eastAsia="zh-CN" w:bidi="ar"/>
        </w:rPr>
        <w:t>矿产资源</w:t>
      </w:r>
      <w:r>
        <w:rPr>
          <w:rFonts w:hint="default" w:ascii="Times New Roman" w:hAnsi="Times New Roman" w:eastAsia="仿宋_GB2312" w:cs="Times New Roman"/>
          <w:i w:val="0"/>
          <w:iCs w:val="0"/>
          <w:caps w:val="0"/>
          <w:color w:val="auto"/>
          <w:spacing w:val="0"/>
          <w:kern w:val="0"/>
          <w:sz w:val="32"/>
          <w:szCs w:val="32"/>
          <w:shd w:val="clear"/>
          <w:lang w:eastAsia="zh-CN" w:bidi="ar"/>
        </w:rPr>
        <w:t>保护</w:t>
      </w:r>
      <w:r>
        <w:rPr>
          <w:rFonts w:hint="default" w:ascii="Times New Roman" w:hAnsi="Times New Roman" w:eastAsia="仿宋_GB2312" w:cs="Times New Roman"/>
          <w:i w:val="0"/>
          <w:iCs w:val="0"/>
          <w:caps w:val="0"/>
          <w:color w:val="auto"/>
          <w:spacing w:val="0"/>
          <w:kern w:val="0"/>
          <w:sz w:val="32"/>
          <w:szCs w:val="32"/>
          <w:shd w:val="clear"/>
          <w:lang w:val="en-US" w:eastAsia="zh-CN" w:bidi="ar"/>
        </w:rPr>
        <w:t>监督管理</w:t>
      </w:r>
      <w:r>
        <w:rPr>
          <w:rFonts w:hint="default" w:ascii="Times New Roman" w:hAnsi="Times New Roman" w:eastAsia="仿宋_GB2312" w:cs="Times New Roman"/>
          <w:i w:val="0"/>
          <w:iCs w:val="0"/>
          <w:caps w:val="0"/>
          <w:color w:val="auto"/>
          <w:spacing w:val="0"/>
          <w:kern w:val="0"/>
          <w:sz w:val="32"/>
          <w:szCs w:val="32"/>
          <w:shd w:val="clear"/>
          <w:lang w:eastAsia="zh-CN" w:bidi="ar"/>
        </w:rPr>
        <w:t>责任</w:t>
      </w:r>
      <w:r>
        <w:rPr>
          <w:rFonts w:hint="default" w:ascii="Times New Roman" w:hAnsi="Times New Roman" w:eastAsia="仿宋_GB2312" w:cs="Times New Roman"/>
          <w:i w:val="0"/>
          <w:iCs w:val="0"/>
          <w:caps w:val="0"/>
          <w:color w:val="auto"/>
          <w:spacing w:val="0"/>
          <w:kern w:val="0"/>
          <w:sz w:val="32"/>
          <w:szCs w:val="32"/>
          <w:shd w:val="clear"/>
          <w:lang w:val="en-US" w:eastAsia="zh-CN" w:bidi="ar"/>
        </w:rPr>
        <w:t>，抓实矿业权人勘查开采信息</w:t>
      </w:r>
      <w:r>
        <w:rPr>
          <w:rFonts w:hint="default" w:ascii="Times New Roman" w:hAnsi="Times New Roman" w:eastAsia="仿宋_GB2312" w:cs="Times New Roman"/>
          <w:i w:val="0"/>
          <w:iCs w:val="0"/>
          <w:caps w:val="0"/>
          <w:color w:val="auto"/>
          <w:spacing w:val="0"/>
          <w:kern w:val="0"/>
          <w:sz w:val="32"/>
          <w:szCs w:val="32"/>
          <w:shd w:val="clear"/>
          <w:lang w:eastAsia="zh-CN" w:bidi="ar"/>
        </w:rPr>
        <w:t>公示</w:t>
      </w:r>
      <w:r>
        <w:rPr>
          <w:rFonts w:hint="default" w:ascii="Times New Roman" w:hAnsi="Times New Roman" w:eastAsia="仿宋_GB2312" w:cs="Times New Roman"/>
          <w:i w:val="0"/>
          <w:iCs w:val="0"/>
          <w:caps w:val="0"/>
          <w:color w:val="auto"/>
          <w:spacing w:val="0"/>
          <w:kern w:val="0"/>
          <w:sz w:val="32"/>
          <w:szCs w:val="32"/>
          <w:shd w:val="clear"/>
          <w:lang w:val="en-US" w:eastAsia="zh-CN" w:bidi="ar"/>
        </w:rPr>
        <w:t>管理、矿山地质环境</w:t>
      </w:r>
      <w:r>
        <w:rPr>
          <w:rFonts w:hint="default" w:ascii="Times New Roman" w:hAnsi="Times New Roman" w:eastAsia="仿宋_GB2312" w:cs="Times New Roman"/>
          <w:i w:val="0"/>
          <w:iCs w:val="0"/>
          <w:caps w:val="0"/>
          <w:color w:val="auto"/>
          <w:spacing w:val="0"/>
          <w:kern w:val="0"/>
          <w:sz w:val="32"/>
          <w:szCs w:val="32"/>
          <w:shd w:val="clear"/>
          <w:lang w:eastAsia="zh-CN" w:bidi="ar"/>
        </w:rPr>
        <w:t>常态巡查</w:t>
      </w:r>
      <w:r>
        <w:rPr>
          <w:rFonts w:hint="default" w:ascii="Times New Roman" w:hAnsi="Times New Roman" w:eastAsia="仿宋_GB2312" w:cs="Times New Roman"/>
          <w:i w:val="0"/>
          <w:iCs w:val="0"/>
          <w:caps w:val="0"/>
          <w:color w:val="auto"/>
          <w:spacing w:val="0"/>
          <w:kern w:val="0"/>
          <w:sz w:val="32"/>
          <w:szCs w:val="32"/>
          <w:shd w:val="clear"/>
          <w:lang w:val="en-US" w:eastAsia="zh-CN" w:bidi="ar"/>
        </w:rPr>
        <w:t>监测、日常巡查检查等工作。</w:t>
      </w:r>
      <w:r>
        <w:rPr>
          <w:rFonts w:hint="default" w:ascii="Times New Roman" w:hAnsi="Times New Roman" w:eastAsia="仿宋_GB2312" w:cs="Times New Roman"/>
          <w:i w:val="0"/>
          <w:iCs w:val="0"/>
          <w:caps w:val="0"/>
          <w:color w:val="auto"/>
          <w:spacing w:val="0"/>
          <w:kern w:val="0"/>
          <w:sz w:val="32"/>
          <w:szCs w:val="32"/>
          <w:lang w:bidi="ar"/>
        </w:rPr>
        <w:t>建立健全矿产资源开发利用监督管理长效机制，加强矿业权人信用管理体系建设，强化对违法违规勘查开采行为的查处力度。综合运用航天遥感、航空遥感、低空遥感等新技术手段，提升矿产资源监管的科技化、精准化水平。</w:t>
      </w:r>
      <w:r>
        <w:rPr>
          <w:rFonts w:hint="default" w:ascii="Times New Roman" w:hAnsi="Times New Roman" w:eastAsia="宋体" w:cs="Times New Roman"/>
          <w:color w:val="auto"/>
          <w:sz w:val="32"/>
          <w:szCs w:val="32"/>
        </w:rPr>
        <w:t xml:space="preserve"> </w:t>
      </w:r>
    </w:p>
    <w:p>
      <w:pPr>
        <w:pStyle w:val="5"/>
        <w:keepNext w:val="0"/>
        <w:keepLines w:val="0"/>
        <w:spacing w:line="560" w:lineRule="exact"/>
        <w:ind w:firstLine="200"/>
        <w:jc w:val="center"/>
        <w:rPr>
          <w:rFonts w:hint="default" w:ascii="Times New Roman" w:hAnsi="Times New Roman" w:eastAsia="楷体_GB2312" w:cs="Times New Roman"/>
          <w:b w:val="0"/>
          <w:color w:val="auto"/>
        </w:rPr>
      </w:pPr>
      <w:bookmarkStart w:id="432" w:name="_Toc1841712358"/>
      <w:bookmarkStart w:id="433" w:name="_Toc1019815622"/>
      <w:r>
        <w:rPr>
          <w:rFonts w:hint="default" w:ascii="Times New Roman" w:hAnsi="Times New Roman" w:eastAsia="楷体_GB2312" w:cs="Times New Roman"/>
          <w:b w:val="0"/>
          <w:color w:val="auto"/>
        </w:rPr>
        <w:t>第四节</w:t>
      </w:r>
      <w:r>
        <w:rPr>
          <w:rFonts w:hint="default" w:ascii="Times New Roman" w:hAnsi="Times New Roman" w:eastAsia="楷体_GB2312" w:cs="Times New Roman"/>
          <w:b w:val="0"/>
          <w:color w:val="auto"/>
          <w:lang w:val="en-US" w:eastAsia="zh-CN"/>
        </w:rPr>
        <w:t xml:space="preserve">  </w:t>
      </w:r>
      <w:r>
        <w:rPr>
          <w:rFonts w:hint="default" w:ascii="Times New Roman" w:hAnsi="Times New Roman" w:eastAsia="楷体_GB2312" w:cs="Times New Roman"/>
          <w:b w:val="0"/>
          <w:color w:val="auto"/>
        </w:rPr>
        <w:t>优化水资源用地布局</w:t>
      </w:r>
      <w:bookmarkEnd w:id="432"/>
      <w:bookmarkEnd w:id="433"/>
    </w:p>
    <w:p>
      <w:pPr>
        <w:spacing w:line="560" w:lineRule="exact"/>
        <w:ind w:firstLine="640" w:firstLineChars="200"/>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color w:val="auto"/>
          <w:kern w:val="0"/>
          <w:sz w:val="32"/>
          <w:szCs w:val="32"/>
          <w:lang w:bidi="ar"/>
        </w:rPr>
        <w:t>坚持“节水优先、空间均衡”理念，加强部门间沟通协调，与国土空间规划做好衔接，有效避让林、地、海等相关红线。</w:t>
      </w:r>
      <w:r>
        <w:rPr>
          <w:rFonts w:hint="default" w:ascii="Times New Roman" w:hAnsi="Times New Roman" w:eastAsia="仿宋_GB2312" w:cs="Times New Roman"/>
          <w:color w:val="auto"/>
          <w:kern w:val="0"/>
          <w:sz w:val="32"/>
          <w:szCs w:val="32"/>
          <w:lang w:eastAsia="zh-CN" w:bidi="ar"/>
        </w:rPr>
        <w:t>推动</w:t>
      </w:r>
      <w:r>
        <w:rPr>
          <w:rFonts w:hint="default" w:ascii="Times New Roman" w:hAnsi="Times New Roman" w:eastAsia="仿宋_GB2312" w:cs="Times New Roman"/>
          <w:color w:val="auto"/>
          <w:kern w:val="0"/>
          <w:sz w:val="32"/>
          <w:szCs w:val="32"/>
          <w:lang w:bidi="ar"/>
        </w:rPr>
        <w:t>城乡供水专项规划、建成区雨水和污水专项规划等有关项目落地实施。加强项目选址论证，尽量避让</w:t>
      </w:r>
      <w:r>
        <w:rPr>
          <w:rFonts w:hint="default" w:ascii="Times New Roman" w:hAnsi="Times New Roman" w:eastAsia="仿宋_GB2312" w:cs="Times New Roman"/>
          <w:color w:val="auto"/>
          <w:kern w:val="0"/>
          <w:sz w:val="32"/>
          <w:szCs w:val="32"/>
          <w:lang w:eastAsia="zh-CN" w:bidi="ar"/>
        </w:rPr>
        <w:t>或减少占用耕地和</w:t>
      </w:r>
      <w:r>
        <w:rPr>
          <w:rFonts w:hint="default" w:ascii="Times New Roman" w:hAnsi="Times New Roman" w:eastAsia="仿宋_GB2312" w:cs="Times New Roman"/>
          <w:color w:val="auto"/>
          <w:kern w:val="0"/>
          <w:sz w:val="32"/>
          <w:szCs w:val="32"/>
          <w:lang w:bidi="ar"/>
        </w:rPr>
        <w:t>永久基本农田</w:t>
      </w:r>
      <w:r>
        <w:rPr>
          <w:rFonts w:hint="default" w:ascii="Times New Roman" w:hAnsi="Times New Roman" w:eastAsia="仿宋_GB2312" w:cs="Times New Roman"/>
          <w:color w:val="auto"/>
          <w:kern w:val="0"/>
          <w:sz w:val="32"/>
          <w:szCs w:val="32"/>
          <w:lang w:eastAsia="zh-CN" w:bidi="ar"/>
        </w:rPr>
        <w:t>，避让</w:t>
      </w:r>
      <w:r>
        <w:rPr>
          <w:rFonts w:hint="default" w:ascii="Times New Roman" w:hAnsi="Times New Roman" w:eastAsia="仿宋_GB2312" w:cs="Times New Roman"/>
          <w:color w:val="auto"/>
          <w:kern w:val="0"/>
          <w:sz w:val="32"/>
          <w:szCs w:val="32"/>
          <w:lang w:bidi="ar"/>
        </w:rPr>
        <w:t>生态保护红线、历史文化保护线、一级保护林地等</w:t>
      </w:r>
      <w:r>
        <w:rPr>
          <w:rFonts w:hint="default" w:ascii="Times New Roman" w:hAnsi="Times New Roman" w:eastAsia="仿宋_GB2312" w:cs="Times New Roman"/>
          <w:color w:val="auto"/>
          <w:kern w:val="0"/>
          <w:sz w:val="32"/>
          <w:szCs w:val="32"/>
          <w:lang w:eastAsia="zh-CN" w:bidi="ar"/>
        </w:rPr>
        <w:t>各类红线，合理选址建设用地</w:t>
      </w:r>
      <w:r>
        <w:rPr>
          <w:rFonts w:hint="default" w:ascii="Times New Roman" w:hAnsi="Times New Roman" w:eastAsia="仿宋_GB2312" w:cs="Times New Roman"/>
          <w:color w:val="auto"/>
          <w:kern w:val="0"/>
          <w:sz w:val="32"/>
          <w:szCs w:val="32"/>
          <w:lang w:bidi="ar"/>
        </w:rPr>
        <w:t>。坚持“以水定城、以水定地、以水定人、以水定产”，强化水资源开发利用全过程的节约集约用地刚性约束，科学配置生活、生产、生态用水，优先保障饮用水源安全和河流湖泊基本生态流量，重点保护宁远河、三亚河、藤桥河、大茅河等河流流域水资源利用。</w:t>
      </w:r>
    </w:p>
    <w:p>
      <w:pPr>
        <w:pStyle w:val="5"/>
        <w:keepNext w:val="0"/>
        <w:keepLines w:val="0"/>
        <w:spacing w:line="560" w:lineRule="exact"/>
        <w:ind w:firstLine="200"/>
        <w:jc w:val="center"/>
        <w:rPr>
          <w:rFonts w:hint="default" w:ascii="Times New Roman" w:hAnsi="Times New Roman" w:eastAsia="楷体_GB2312" w:cs="Times New Roman"/>
          <w:b w:val="0"/>
          <w:color w:val="auto"/>
          <w:lang w:eastAsia="zh-CN"/>
        </w:rPr>
      </w:pPr>
      <w:bookmarkStart w:id="434" w:name="_Toc1742234944"/>
      <w:bookmarkStart w:id="435" w:name="_Toc2122828433"/>
      <w:r>
        <w:rPr>
          <w:rFonts w:hint="default" w:ascii="Times New Roman" w:hAnsi="Times New Roman" w:eastAsia="楷体_GB2312" w:cs="Times New Roman"/>
          <w:b w:val="0"/>
          <w:color w:val="auto"/>
        </w:rPr>
        <w:t>第</w:t>
      </w:r>
      <w:r>
        <w:rPr>
          <w:rFonts w:hint="default" w:ascii="Times New Roman" w:hAnsi="Times New Roman" w:eastAsia="楷体_GB2312" w:cs="Times New Roman"/>
          <w:b w:val="0"/>
          <w:color w:val="auto"/>
          <w:lang w:val="en-US" w:eastAsia="zh-CN"/>
        </w:rPr>
        <w:t>五</w:t>
      </w:r>
      <w:r>
        <w:rPr>
          <w:rFonts w:hint="default" w:ascii="Times New Roman" w:hAnsi="Times New Roman" w:eastAsia="楷体_GB2312" w:cs="Times New Roman"/>
          <w:b w:val="0"/>
          <w:color w:val="auto"/>
        </w:rPr>
        <w:t>节</w:t>
      </w:r>
      <w:r>
        <w:rPr>
          <w:rFonts w:hint="default" w:ascii="Times New Roman" w:hAnsi="Times New Roman" w:eastAsia="楷体_GB2312" w:cs="Times New Roman"/>
          <w:b w:val="0"/>
          <w:color w:val="auto"/>
          <w:lang w:val="en-US" w:eastAsia="zh-CN"/>
        </w:rPr>
        <w:t xml:space="preserve"> </w:t>
      </w:r>
      <w:r>
        <w:rPr>
          <w:rFonts w:hint="default" w:ascii="Times New Roman" w:hAnsi="Times New Roman" w:eastAsia="楷体_GB2312" w:cs="Times New Roman"/>
          <w:b w:val="0"/>
          <w:color w:val="auto"/>
        </w:rPr>
        <w:t xml:space="preserve"> 提升</w:t>
      </w:r>
      <w:r>
        <w:rPr>
          <w:rFonts w:hint="default" w:ascii="Times New Roman" w:hAnsi="Times New Roman" w:eastAsia="楷体_GB2312" w:cs="Times New Roman"/>
          <w:b w:val="0"/>
          <w:color w:val="auto"/>
          <w:lang w:val="en-US" w:eastAsia="zh-CN"/>
        </w:rPr>
        <w:t>防灾减灾</w:t>
      </w:r>
      <w:bookmarkEnd w:id="434"/>
      <w:r>
        <w:rPr>
          <w:rFonts w:hint="default" w:ascii="Times New Roman" w:hAnsi="Times New Roman" w:eastAsia="楷体_GB2312" w:cs="Times New Roman"/>
          <w:b w:val="0"/>
          <w:color w:val="auto"/>
          <w:lang w:eastAsia="zh-CN"/>
        </w:rPr>
        <w:t>能力</w:t>
      </w:r>
      <w:bookmarkEnd w:id="435"/>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b/>
          <w:bCs/>
          <w:color w:val="auto"/>
          <w:kern w:val="0"/>
          <w:sz w:val="32"/>
          <w:szCs w:val="32"/>
          <w:lang w:val="en-US" w:eastAsia="zh-CN" w:bidi="ar"/>
        </w:rPr>
        <w:t>统筹陆海防灾减灾</w:t>
      </w:r>
      <w:r>
        <w:rPr>
          <w:rFonts w:hint="default" w:ascii="Times New Roman" w:hAnsi="Times New Roman" w:eastAsia="仿宋_GB2312" w:cs="Times New Roman"/>
          <w:b w:val="0"/>
          <w:bCs w:val="0"/>
          <w:color w:val="auto"/>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强化</w:t>
      </w:r>
      <w:r>
        <w:rPr>
          <w:rFonts w:hint="default" w:ascii="Times New Roman" w:hAnsi="Times New Roman" w:eastAsia="仿宋_GB2312" w:cs="Times New Roman"/>
          <w:color w:val="auto"/>
          <w:kern w:val="0"/>
          <w:sz w:val="32"/>
          <w:szCs w:val="32"/>
          <w:lang w:eastAsia="zh-CN" w:bidi="ar"/>
        </w:rPr>
        <w:t>地质</w:t>
      </w:r>
      <w:r>
        <w:rPr>
          <w:rFonts w:hint="default" w:ascii="Times New Roman" w:hAnsi="Times New Roman" w:eastAsia="仿宋_GB2312" w:cs="Times New Roman"/>
          <w:color w:val="auto"/>
          <w:kern w:val="0"/>
          <w:sz w:val="32"/>
          <w:szCs w:val="32"/>
          <w:lang w:val="en-US" w:eastAsia="zh-CN" w:bidi="ar"/>
        </w:rPr>
        <w:t>突发事件</w:t>
      </w:r>
      <w:r>
        <w:rPr>
          <w:rFonts w:hint="default" w:ascii="Times New Roman" w:hAnsi="Times New Roman" w:eastAsia="仿宋_GB2312" w:cs="Times New Roman"/>
          <w:color w:val="auto"/>
          <w:kern w:val="0"/>
          <w:sz w:val="32"/>
          <w:szCs w:val="32"/>
          <w:lang w:eastAsia="zh-CN" w:bidi="ar"/>
        </w:rPr>
        <w:t>和</w:t>
      </w:r>
      <w:r>
        <w:rPr>
          <w:rFonts w:hint="default" w:ascii="Times New Roman" w:hAnsi="Times New Roman" w:eastAsia="仿宋_GB2312" w:cs="Times New Roman"/>
          <w:color w:val="auto"/>
          <w:kern w:val="0"/>
          <w:sz w:val="32"/>
          <w:szCs w:val="32"/>
          <w:lang w:val="en-US" w:eastAsia="zh-CN" w:bidi="ar"/>
        </w:rPr>
        <w:t>海洋生态灾害</w:t>
      </w:r>
      <w:r>
        <w:rPr>
          <w:rFonts w:hint="default" w:ascii="Times New Roman" w:hAnsi="Times New Roman" w:eastAsia="仿宋_GB2312" w:cs="Times New Roman"/>
          <w:color w:val="auto"/>
          <w:kern w:val="0"/>
          <w:sz w:val="32"/>
          <w:szCs w:val="32"/>
          <w:lang w:eastAsia="zh-CN" w:bidi="ar"/>
        </w:rPr>
        <w:t>的</w:t>
      </w:r>
      <w:r>
        <w:rPr>
          <w:rFonts w:hint="default" w:ascii="Times New Roman" w:hAnsi="Times New Roman" w:eastAsia="仿宋_GB2312" w:cs="Times New Roman"/>
          <w:color w:val="auto"/>
          <w:kern w:val="0"/>
          <w:sz w:val="32"/>
          <w:szCs w:val="32"/>
          <w:lang w:val="en-US" w:eastAsia="zh-CN" w:bidi="ar"/>
        </w:rPr>
        <w:t>陆海联防联控，促进地质灾害和海洋灾害监测一体化建设。在城镇建设中，应考虑海洋灾害风险区内重要承灾体防护标准，</w:t>
      </w:r>
      <w:r>
        <w:rPr>
          <w:rFonts w:hint="default" w:ascii="Times New Roman" w:hAnsi="Times New Roman" w:eastAsia="仿宋_GB2312" w:cs="Times New Roman"/>
          <w:color w:val="auto"/>
          <w:kern w:val="0"/>
          <w:sz w:val="32"/>
          <w:szCs w:val="32"/>
          <w:lang w:eastAsia="zh-CN" w:bidi="ar"/>
        </w:rPr>
        <w:t>重点关注崖州区南山岭-南宾居南新队、天涯区宝通沙场-南新农场-</w:t>
      </w:r>
      <w:r>
        <w:rPr>
          <w:rFonts w:hint="default" w:ascii="Times New Roman" w:hAnsi="Times New Roman" w:eastAsia="仿宋_GB2312" w:cs="Times New Roman"/>
          <w:b w:val="0"/>
          <w:color w:val="auto"/>
          <w:kern w:val="0"/>
          <w:sz w:val="32"/>
          <w:szCs w:val="32"/>
          <w:lang w:bidi="ar"/>
        </w:rPr>
        <w:t>赏猄-客家</w:t>
      </w:r>
      <w:r>
        <w:rPr>
          <w:rFonts w:hint="default" w:ascii="Times New Roman" w:hAnsi="Times New Roman" w:eastAsia="仿宋_GB2312" w:cs="Times New Roman"/>
          <w:color w:val="auto"/>
          <w:kern w:val="0"/>
          <w:sz w:val="32"/>
          <w:szCs w:val="32"/>
          <w:lang w:eastAsia="zh-CN" w:bidi="ar"/>
        </w:rPr>
        <w:t>、吉阳区建亚石场-抱坡村-新红村-田独村-下洋田-临春社区等高、中风险区，</w:t>
      </w:r>
      <w:r>
        <w:rPr>
          <w:rFonts w:hint="default" w:ascii="Times New Roman" w:hAnsi="Times New Roman" w:eastAsia="仿宋_GB2312" w:cs="Times New Roman"/>
          <w:color w:val="auto"/>
          <w:kern w:val="0"/>
          <w:sz w:val="32"/>
          <w:szCs w:val="32"/>
          <w:lang w:val="en-US" w:eastAsia="zh-CN" w:bidi="ar"/>
        </w:rPr>
        <w:t>落实陆海</w:t>
      </w:r>
      <w:r>
        <w:rPr>
          <w:rFonts w:hint="default" w:ascii="Times New Roman" w:hAnsi="Times New Roman" w:eastAsia="仿宋_GB2312" w:cs="Times New Roman"/>
          <w:color w:val="auto"/>
          <w:kern w:val="0"/>
          <w:sz w:val="32"/>
          <w:szCs w:val="32"/>
          <w:lang w:eastAsia="zh-CN" w:bidi="ar"/>
        </w:rPr>
        <w:t>防灾减灾</w:t>
      </w:r>
      <w:r>
        <w:rPr>
          <w:rFonts w:hint="default" w:ascii="Times New Roman" w:hAnsi="Times New Roman" w:eastAsia="仿宋_GB2312" w:cs="Times New Roman"/>
          <w:color w:val="auto"/>
          <w:kern w:val="0"/>
          <w:sz w:val="32"/>
          <w:szCs w:val="32"/>
          <w:lang w:val="en-US" w:eastAsia="zh-CN" w:bidi="ar"/>
        </w:rPr>
        <w:t>，协调土地、岸线、海域等国土空间陆海功能分区。沿海地区规划建设应引导在海洋灾害风险区内采取生态保护修复和工程防护相结合的方式减轻灾害风险。</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lang w:val="en-US" w:eastAsia="zh-CN"/>
        </w:rPr>
        <w:t>提升</w:t>
      </w:r>
      <w:r>
        <w:rPr>
          <w:rFonts w:hint="default" w:ascii="Times New Roman" w:hAnsi="Times New Roman" w:eastAsia="仿宋_GB2312" w:cs="Times New Roman"/>
          <w:b/>
          <w:bCs/>
          <w:color w:val="auto"/>
          <w:sz w:val="32"/>
          <w:szCs w:val="32"/>
        </w:rPr>
        <w:t>海洋</w:t>
      </w:r>
      <w:r>
        <w:rPr>
          <w:rFonts w:hint="default" w:ascii="Times New Roman" w:hAnsi="Times New Roman" w:eastAsia="仿宋_GB2312" w:cs="Times New Roman"/>
          <w:b/>
          <w:bCs/>
          <w:color w:val="auto"/>
          <w:sz w:val="32"/>
          <w:szCs w:val="32"/>
          <w:lang w:val="en-US" w:eastAsia="zh-CN"/>
        </w:rPr>
        <w:t>灾害监测</w:t>
      </w:r>
      <w:r>
        <w:rPr>
          <w:rFonts w:hint="default" w:ascii="Times New Roman" w:hAnsi="Times New Roman" w:eastAsia="仿宋_GB2312" w:cs="Times New Roman"/>
          <w:b/>
          <w:bCs/>
          <w:color w:val="auto"/>
          <w:sz w:val="32"/>
          <w:szCs w:val="32"/>
        </w:rPr>
        <w:t>能力</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color w:val="auto"/>
          <w:sz w:val="32"/>
          <w:szCs w:val="32"/>
        </w:rPr>
        <w:t>加强海洋气象服务能力建设，完善海洋灾害应急预案，提高海洋灾害的观测、预警和预报水平。构建“天空地海”一体化监测体系，开展近岸生态趋势性监测和重大用海项目监测监管</w:t>
      </w:r>
      <w:r>
        <w:rPr>
          <w:rFonts w:hint="default" w:ascii="Times New Roman" w:hAnsi="Times New Roman" w:eastAsia="仿宋_GB2312" w:cs="Times New Roman"/>
          <w:color w:val="auto"/>
          <w:sz w:val="32"/>
          <w:szCs w:val="32"/>
          <w:lang w:eastAsia="zh-CN"/>
        </w:rPr>
        <w:t>。加强</w:t>
      </w:r>
      <w:r>
        <w:rPr>
          <w:rFonts w:hint="default" w:ascii="Times New Roman" w:hAnsi="Times New Roman" w:eastAsia="仿宋_GB2312" w:cs="Times New Roman"/>
          <w:color w:val="auto"/>
          <w:kern w:val="0"/>
          <w:sz w:val="32"/>
          <w:szCs w:val="32"/>
          <w:lang w:val="en-US" w:eastAsia="zh-CN" w:bidi="ar"/>
        </w:rPr>
        <w:t>海堤</w:t>
      </w:r>
      <w:r>
        <w:rPr>
          <w:rFonts w:hint="default" w:ascii="Times New Roman" w:hAnsi="Times New Roman" w:eastAsia="仿宋_GB2312" w:cs="Times New Roman"/>
          <w:color w:val="auto"/>
          <w:kern w:val="0"/>
          <w:sz w:val="32"/>
          <w:szCs w:val="32"/>
          <w:lang w:eastAsia="zh-CN" w:bidi="ar"/>
        </w:rPr>
        <w:t>建设与维护</w:t>
      </w:r>
      <w:r>
        <w:rPr>
          <w:rFonts w:hint="default" w:ascii="Times New Roman" w:hAnsi="Times New Roman" w:eastAsia="仿宋_GB2312" w:cs="Times New Roman"/>
          <w:color w:val="auto"/>
          <w:kern w:val="0"/>
          <w:sz w:val="32"/>
          <w:szCs w:val="32"/>
          <w:lang w:val="en-US" w:eastAsia="zh-CN" w:bidi="ar"/>
        </w:rPr>
        <w:t>，防范海啸、风暴潮、海浪潮</w:t>
      </w:r>
      <w:r>
        <w:rPr>
          <w:rFonts w:hint="default" w:ascii="Times New Roman" w:hAnsi="Times New Roman" w:eastAsia="仿宋_GB2312" w:cs="Times New Roman"/>
          <w:color w:val="auto"/>
          <w:sz w:val="32"/>
          <w:szCs w:val="32"/>
        </w:rPr>
        <w:t>、海水倒灌、赤潮</w:t>
      </w:r>
      <w:r>
        <w:rPr>
          <w:rFonts w:hint="default" w:ascii="Times New Roman" w:hAnsi="Times New Roman" w:eastAsia="仿宋_GB2312" w:cs="Times New Roman"/>
          <w:color w:val="auto"/>
          <w:kern w:val="0"/>
          <w:sz w:val="32"/>
          <w:szCs w:val="32"/>
          <w:lang w:val="en-US" w:eastAsia="zh-CN" w:bidi="ar"/>
        </w:rPr>
        <w:t>以及海平面上升</w:t>
      </w:r>
      <w:r>
        <w:rPr>
          <w:rFonts w:hint="default" w:ascii="Times New Roman" w:hAnsi="Times New Roman" w:eastAsia="仿宋_GB2312" w:cs="Times New Roman"/>
          <w:color w:val="auto"/>
          <w:kern w:val="0"/>
          <w:sz w:val="32"/>
          <w:szCs w:val="32"/>
          <w:lang w:eastAsia="zh-CN" w:bidi="ar"/>
        </w:rPr>
        <w:t>等</w:t>
      </w:r>
      <w:r>
        <w:rPr>
          <w:rFonts w:hint="default" w:ascii="Times New Roman" w:hAnsi="Times New Roman" w:eastAsia="仿宋_GB2312" w:cs="Times New Roman"/>
          <w:color w:val="auto"/>
          <w:kern w:val="0"/>
          <w:sz w:val="32"/>
          <w:szCs w:val="32"/>
          <w:lang w:val="en-US" w:eastAsia="zh-CN" w:bidi="ar"/>
        </w:rPr>
        <w:t>风险。</w:t>
      </w:r>
      <w:r>
        <w:rPr>
          <w:rFonts w:hint="default" w:ascii="Times New Roman" w:hAnsi="Times New Roman" w:eastAsia="仿宋_GB2312" w:cs="Times New Roman"/>
          <w:color w:val="auto"/>
          <w:sz w:val="32"/>
          <w:szCs w:val="32"/>
        </w:rPr>
        <w:t>强化突发海洋灾害的智能监测预警</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加强应急演练，提高应对海洋灾害的应急处置能力。</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2"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b/>
          <w:bCs/>
          <w:color w:val="auto"/>
          <w:kern w:val="0"/>
          <w:sz w:val="32"/>
          <w:szCs w:val="32"/>
          <w:lang w:val="en-US" w:eastAsia="zh-CN" w:bidi="ar"/>
        </w:rPr>
        <w:t>提升地质灾害防灾能力</w:t>
      </w:r>
      <w:r>
        <w:rPr>
          <w:rFonts w:hint="default" w:ascii="Times New Roman" w:hAnsi="Times New Roman" w:eastAsia="仿宋_GB2312" w:cs="Times New Roman"/>
          <w:b w:val="0"/>
          <w:bCs w:val="0"/>
          <w:color w:val="auto"/>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强化地质灾害调查评价、监测预警、群测群防和综合治理</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val="en-US" w:eastAsia="zh-CN" w:bidi="ar"/>
        </w:rPr>
        <w:t>完善</w:t>
      </w:r>
      <w:r>
        <w:rPr>
          <w:rFonts w:hint="default" w:ascii="Times New Roman" w:hAnsi="Times New Roman" w:eastAsia="仿宋_GB2312" w:cs="Times New Roman"/>
          <w:color w:val="auto"/>
          <w:kern w:val="0"/>
          <w:sz w:val="32"/>
          <w:szCs w:val="32"/>
          <w:lang w:eastAsia="zh-CN" w:bidi="ar"/>
        </w:rPr>
        <w:t>“人防+技防”地质灾害监测预警体系，健全</w:t>
      </w:r>
      <w:r>
        <w:rPr>
          <w:rFonts w:hint="default" w:ascii="Times New Roman" w:hAnsi="Times New Roman" w:eastAsia="仿宋_GB2312" w:cs="Times New Roman"/>
          <w:color w:val="auto"/>
          <w:kern w:val="0"/>
          <w:sz w:val="32"/>
          <w:szCs w:val="32"/>
          <w:lang w:val="en-US" w:eastAsia="zh-CN" w:bidi="ar"/>
        </w:rPr>
        <w:t>市、区、行政村、村民小组和户五级地质灾害监测</w:t>
      </w:r>
      <w:r>
        <w:rPr>
          <w:rFonts w:hint="default" w:ascii="Times New Roman" w:hAnsi="Times New Roman" w:eastAsia="仿宋_GB2312" w:cs="Times New Roman"/>
          <w:color w:val="auto"/>
          <w:kern w:val="0"/>
          <w:sz w:val="32"/>
          <w:szCs w:val="32"/>
          <w:lang w:eastAsia="zh-CN" w:bidi="ar"/>
        </w:rPr>
        <w:t>网络</w:t>
      </w:r>
      <w:r>
        <w:rPr>
          <w:rFonts w:hint="default" w:ascii="Times New Roman" w:hAnsi="Times New Roman" w:eastAsia="仿宋_GB2312" w:cs="Times New Roman"/>
          <w:color w:val="auto"/>
          <w:kern w:val="0"/>
          <w:sz w:val="32"/>
          <w:szCs w:val="32"/>
          <w:lang w:val="en-US" w:eastAsia="zh-CN" w:bidi="ar"/>
        </w:rPr>
        <w:t>，对</w:t>
      </w:r>
      <w:r>
        <w:rPr>
          <w:rFonts w:hint="default" w:ascii="Times New Roman" w:hAnsi="Times New Roman" w:eastAsia="仿宋_GB2312" w:cs="Times New Roman"/>
          <w:color w:val="auto"/>
          <w:kern w:val="0"/>
          <w:sz w:val="32"/>
          <w:szCs w:val="32"/>
          <w:lang w:eastAsia="zh-CN" w:bidi="ar"/>
        </w:rPr>
        <w:t>各类</w:t>
      </w:r>
      <w:r>
        <w:rPr>
          <w:rFonts w:hint="default" w:ascii="Times New Roman" w:hAnsi="Times New Roman" w:eastAsia="仿宋_GB2312" w:cs="Times New Roman"/>
          <w:color w:val="auto"/>
          <w:kern w:val="0"/>
          <w:sz w:val="32"/>
          <w:szCs w:val="32"/>
          <w:lang w:val="en-US" w:eastAsia="zh-CN" w:bidi="ar"/>
        </w:rPr>
        <w:t>灾害隐患点进行群测群防。</w:t>
      </w:r>
      <w:r>
        <w:rPr>
          <w:rFonts w:hint="default" w:ascii="Times New Roman" w:hAnsi="Times New Roman" w:eastAsia="仿宋_GB2312" w:cs="Times New Roman"/>
          <w:bCs w:val="0"/>
          <w:color w:val="auto"/>
          <w:kern w:val="0"/>
          <w:sz w:val="32"/>
          <w:szCs w:val="32"/>
          <w:lang w:val="en-US" w:eastAsia="zh-CN" w:bidi="ar"/>
        </w:rPr>
        <w:t>采取削坡减载</w:t>
      </w:r>
      <w:r>
        <w:rPr>
          <w:rFonts w:hint="default" w:ascii="Times New Roman" w:hAnsi="Times New Roman" w:eastAsia="仿宋_GB2312" w:cs="Times New Roman"/>
          <w:bCs w:val="0"/>
          <w:color w:val="auto"/>
          <w:kern w:val="0"/>
          <w:sz w:val="32"/>
          <w:szCs w:val="32"/>
          <w:lang w:eastAsia="zh-CN" w:bidi="ar"/>
        </w:rPr>
        <w:t>以及</w:t>
      </w:r>
      <w:r>
        <w:rPr>
          <w:rFonts w:hint="default" w:ascii="Times New Roman" w:hAnsi="Times New Roman" w:eastAsia="仿宋_GB2312" w:cs="Times New Roman"/>
          <w:bCs w:val="0"/>
          <w:color w:val="auto"/>
          <w:kern w:val="0"/>
          <w:sz w:val="32"/>
          <w:szCs w:val="32"/>
          <w:lang w:val="en-US" w:eastAsia="zh-CN" w:bidi="ar"/>
        </w:rPr>
        <w:t>修筑护坡</w:t>
      </w:r>
      <w:r>
        <w:rPr>
          <w:rFonts w:hint="default" w:ascii="Times New Roman" w:hAnsi="Times New Roman" w:eastAsia="仿宋_GB2312" w:cs="Times New Roman"/>
          <w:bCs w:val="0"/>
          <w:color w:val="auto"/>
          <w:kern w:val="0"/>
          <w:sz w:val="32"/>
          <w:szCs w:val="32"/>
          <w:lang w:eastAsia="zh-CN" w:bidi="ar"/>
        </w:rPr>
        <w:t>、</w:t>
      </w:r>
      <w:r>
        <w:rPr>
          <w:rFonts w:hint="default" w:ascii="Times New Roman" w:hAnsi="Times New Roman" w:eastAsia="仿宋_GB2312" w:cs="Times New Roman"/>
          <w:bCs w:val="0"/>
          <w:color w:val="auto"/>
          <w:kern w:val="0"/>
          <w:sz w:val="32"/>
          <w:szCs w:val="32"/>
          <w:lang w:val="en-US" w:eastAsia="zh-CN" w:bidi="ar"/>
        </w:rPr>
        <w:t>截排水沟、挡土墙等</w:t>
      </w:r>
      <w:r>
        <w:rPr>
          <w:rFonts w:hint="default" w:ascii="Times New Roman" w:hAnsi="Times New Roman" w:eastAsia="仿宋_GB2312" w:cs="Times New Roman"/>
          <w:bCs w:val="0"/>
          <w:color w:val="auto"/>
          <w:kern w:val="0"/>
          <w:sz w:val="32"/>
          <w:szCs w:val="32"/>
          <w:lang w:eastAsia="zh-CN" w:bidi="ar"/>
        </w:rPr>
        <w:t>工程措施，</w:t>
      </w:r>
      <w:r>
        <w:rPr>
          <w:rFonts w:hint="default" w:ascii="Times New Roman" w:hAnsi="Times New Roman" w:eastAsia="仿宋_GB2312" w:cs="Times New Roman"/>
          <w:color w:val="auto"/>
          <w:kern w:val="0"/>
          <w:sz w:val="32"/>
          <w:szCs w:val="32"/>
          <w:lang w:eastAsia="zh-CN" w:bidi="ar"/>
        </w:rPr>
        <w:t>实施天涯区等崩塌区综合治理工程。</w:t>
      </w:r>
      <w:r>
        <w:rPr>
          <w:rFonts w:hint="default" w:ascii="Times New Roman" w:hAnsi="Times New Roman" w:eastAsia="仿宋_GB2312" w:cs="Times New Roman"/>
          <w:color w:val="auto"/>
          <w:kern w:val="0"/>
          <w:sz w:val="32"/>
          <w:szCs w:val="32"/>
          <w:lang w:val="en-US" w:eastAsia="zh-CN" w:bidi="ar"/>
        </w:rPr>
        <w:t>重点防控南丁岭、落笔洞北侧山体、福万岭等山体附近，以及北部山区的地质灾害高、中易发区。实施各类国土空间规划时，应当充分考虑地质灾害防治要求</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i w:val="0"/>
          <w:iCs w:val="0"/>
          <w:caps w:val="0"/>
          <w:color w:val="auto"/>
          <w:spacing w:val="0"/>
          <w:kern w:val="0"/>
          <w:sz w:val="32"/>
          <w:szCs w:val="32"/>
          <w:lang w:bidi="ar"/>
        </w:rPr>
        <w:t>严格落实建设工程与地质灾害治理工程“三同时”制度</w:t>
      </w:r>
      <w:r>
        <w:rPr>
          <w:rFonts w:hint="default" w:ascii="Times New Roman" w:hAnsi="Times New Roman" w:eastAsia="仿宋_GB2312" w:cs="Times New Roman"/>
          <w:color w:val="auto"/>
          <w:kern w:val="0"/>
          <w:sz w:val="32"/>
          <w:szCs w:val="32"/>
          <w:lang w:val="en-US" w:eastAsia="zh-CN" w:bidi="ar"/>
        </w:rPr>
        <w:t>。在城镇开发边界和村庄建设边界优化调整过程中，</w:t>
      </w:r>
      <w:r>
        <w:rPr>
          <w:rFonts w:hint="default" w:ascii="Times New Roman" w:hAnsi="Times New Roman" w:eastAsia="仿宋_GB2312" w:cs="Times New Roman"/>
          <w:color w:val="auto"/>
          <w:kern w:val="0"/>
          <w:sz w:val="32"/>
          <w:szCs w:val="32"/>
          <w:lang w:eastAsia="zh-CN" w:bidi="ar"/>
        </w:rPr>
        <w:t>重点</w:t>
      </w:r>
      <w:r>
        <w:rPr>
          <w:rFonts w:hint="default" w:ascii="Times New Roman" w:hAnsi="Times New Roman" w:eastAsia="仿宋_GB2312" w:cs="Times New Roman"/>
          <w:color w:val="auto"/>
          <w:kern w:val="0"/>
          <w:sz w:val="32"/>
          <w:szCs w:val="32"/>
          <w:lang w:val="en-US" w:eastAsia="zh-CN" w:bidi="ar"/>
        </w:rPr>
        <w:t>避让</w:t>
      </w:r>
      <w:r>
        <w:rPr>
          <w:rFonts w:hint="default" w:ascii="Times New Roman" w:hAnsi="Times New Roman" w:eastAsia="仿宋_GB2312" w:cs="Times New Roman"/>
          <w:b w:val="0"/>
          <w:color w:val="auto"/>
          <w:kern w:val="0"/>
          <w:sz w:val="32"/>
          <w:szCs w:val="32"/>
          <w:lang w:bidi="ar"/>
        </w:rPr>
        <w:t>育才生态区那受村、抱安村、马亮村以及天涯区南海社区、过岭村、抱前村、水蛟村等</w:t>
      </w:r>
      <w:r>
        <w:rPr>
          <w:rFonts w:hint="default" w:ascii="Times New Roman" w:hAnsi="Times New Roman" w:eastAsia="仿宋_GB2312" w:cs="Times New Roman"/>
          <w:color w:val="auto"/>
          <w:kern w:val="0"/>
          <w:sz w:val="32"/>
          <w:szCs w:val="32"/>
          <w:lang w:val="en-US" w:eastAsia="zh-CN" w:bidi="ar"/>
        </w:rPr>
        <w:t>地质灾害高风险区</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val="en-US" w:eastAsia="zh-CN" w:bidi="ar"/>
        </w:rPr>
        <w:t>确实无法避让的</w:t>
      </w:r>
      <w:r>
        <w:rPr>
          <w:rFonts w:hint="default" w:ascii="Times New Roman" w:hAnsi="Times New Roman" w:eastAsia="仿宋_GB2312" w:cs="Times New Roman"/>
          <w:color w:val="auto"/>
          <w:kern w:val="0"/>
          <w:sz w:val="32"/>
          <w:szCs w:val="32"/>
          <w:lang w:eastAsia="zh-CN" w:bidi="ar"/>
        </w:rPr>
        <w:t>，</w:t>
      </w:r>
      <w:r>
        <w:rPr>
          <w:rFonts w:hint="default" w:ascii="Times New Roman" w:hAnsi="Times New Roman" w:eastAsia="仿宋_GB2312" w:cs="Times New Roman"/>
          <w:color w:val="auto"/>
          <w:kern w:val="0"/>
          <w:sz w:val="32"/>
          <w:szCs w:val="32"/>
          <w:lang w:val="en-US" w:eastAsia="zh-CN" w:bidi="ar"/>
        </w:rPr>
        <w:t>应充分论证说明原因</w:t>
      </w:r>
      <w:r>
        <w:rPr>
          <w:rFonts w:hint="default" w:ascii="Times New Roman" w:hAnsi="Times New Roman" w:eastAsia="仿宋_GB2312" w:cs="Times New Roman"/>
          <w:color w:val="auto"/>
          <w:kern w:val="0"/>
          <w:sz w:val="32"/>
          <w:szCs w:val="32"/>
          <w:lang w:eastAsia="zh-CN" w:bidi="ar"/>
        </w:rPr>
        <w:t>，并</w:t>
      </w:r>
      <w:r>
        <w:rPr>
          <w:rFonts w:hint="default" w:ascii="Times New Roman" w:hAnsi="Times New Roman" w:eastAsia="仿宋_GB2312" w:cs="Times New Roman"/>
          <w:color w:val="auto"/>
          <w:kern w:val="0"/>
          <w:sz w:val="32"/>
          <w:szCs w:val="32"/>
          <w:lang w:val="en-US" w:eastAsia="zh-CN" w:bidi="ar"/>
        </w:rPr>
        <w:t>明确减缓不良影响的措施。</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i w:val="0"/>
          <w:iCs w:val="0"/>
          <w:caps w:val="0"/>
          <w:color w:val="auto"/>
          <w:spacing w:val="0"/>
          <w:kern w:val="0"/>
          <w:sz w:val="32"/>
          <w:szCs w:val="32"/>
          <w:shd w:val="clear"/>
          <w:lang w:val="en-US" w:eastAsia="zh-CN" w:bidi="ar"/>
        </w:rPr>
        <w:t>加强矿山地质灾害防治</w:t>
      </w:r>
      <w:r>
        <w:rPr>
          <w:rFonts w:hint="default" w:ascii="Times New Roman" w:hAnsi="Times New Roman" w:eastAsia="仿宋_GB2312" w:cs="Times New Roman"/>
          <w:b w:val="0"/>
          <w:bCs w:val="0"/>
          <w:i w:val="0"/>
          <w:iCs w:val="0"/>
          <w:caps w:val="0"/>
          <w:color w:val="auto"/>
          <w:spacing w:val="0"/>
          <w:kern w:val="0"/>
          <w:sz w:val="32"/>
          <w:szCs w:val="32"/>
          <w:shd w:val="clear"/>
          <w:lang w:val="en-US" w:eastAsia="zh-CN" w:bidi="ar"/>
        </w:rPr>
        <w:t>。</w:t>
      </w:r>
      <w:r>
        <w:rPr>
          <w:rFonts w:hint="default" w:ascii="Times New Roman" w:hAnsi="Times New Roman" w:eastAsia="仿宋_GB2312" w:cs="Times New Roman"/>
          <w:i w:val="0"/>
          <w:iCs w:val="0"/>
          <w:caps w:val="0"/>
          <w:color w:val="auto"/>
          <w:spacing w:val="0"/>
          <w:kern w:val="0"/>
          <w:sz w:val="32"/>
          <w:szCs w:val="32"/>
          <w:shd w:val="clear"/>
          <w:lang w:val="en-US" w:eastAsia="zh-CN" w:bidi="ar"/>
        </w:rPr>
        <w:t>按照“三管三必须”“谁主管谁负责”原则，明确地质灾害防治责任落实。</w:t>
      </w:r>
      <w:r>
        <w:rPr>
          <w:rFonts w:hint="default" w:ascii="Times New Roman" w:hAnsi="Times New Roman" w:eastAsia="仿宋_GB2312" w:cs="Times New Roman"/>
          <w:b w:val="0"/>
          <w:color w:val="auto"/>
          <w:kern w:val="0"/>
          <w:sz w:val="32"/>
          <w:szCs w:val="32"/>
          <w:lang w:bidi="ar"/>
        </w:rPr>
        <w:t>重点针对崖州区南山岭、南宾居南新队西侧等高风险区，</w:t>
      </w:r>
      <w:r>
        <w:rPr>
          <w:rFonts w:hint="default" w:ascii="Times New Roman" w:hAnsi="Times New Roman" w:eastAsia="仿宋_GB2312" w:cs="Times New Roman"/>
          <w:i w:val="0"/>
          <w:iCs w:val="0"/>
          <w:caps w:val="0"/>
          <w:color w:val="auto"/>
          <w:spacing w:val="0"/>
          <w:kern w:val="0"/>
          <w:sz w:val="32"/>
          <w:szCs w:val="32"/>
          <w:shd w:val="clear"/>
          <w:lang w:val="en-US" w:eastAsia="zh-CN" w:bidi="ar"/>
        </w:rPr>
        <w:t>开展地质灾害风险隐患排查，综合运用</w:t>
      </w:r>
      <w:r>
        <w:rPr>
          <w:rFonts w:hint="default" w:ascii="Times New Roman" w:hAnsi="Times New Roman" w:eastAsia="仿宋_GB2312" w:cs="Times New Roman"/>
          <w:i w:val="0"/>
          <w:iCs w:val="0"/>
          <w:caps w:val="0"/>
          <w:color w:val="auto"/>
          <w:spacing w:val="0"/>
          <w:kern w:val="0"/>
          <w:sz w:val="32"/>
          <w:szCs w:val="32"/>
          <w:shd w:val="clear"/>
          <w:lang w:eastAsia="zh-CN" w:bidi="ar"/>
        </w:rPr>
        <w:t>航天</w:t>
      </w:r>
      <w:r>
        <w:rPr>
          <w:rFonts w:hint="default" w:ascii="Times New Roman" w:hAnsi="Times New Roman" w:eastAsia="仿宋_GB2312" w:cs="Times New Roman"/>
          <w:i w:val="0"/>
          <w:iCs w:val="0"/>
          <w:caps w:val="0"/>
          <w:color w:val="auto"/>
          <w:spacing w:val="0"/>
          <w:kern w:val="0"/>
          <w:sz w:val="32"/>
          <w:szCs w:val="32"/>
          <w:shd w:val="clear"/>
          <w:lang w:val="en-US" w:eastAsia="zh-CN" w:bidi="ar"/>
        </w:rPr>
        <w:t>遥感、航空遥感</w:t>
      </w:r>
      <w:r>
        <w:rPr>
          <w:rFonts w:hint="default" w:ascii="Times New Roman" w:hAnsi="Times New Roman" w:eastAsia="仿宋_GB2312" w:cs="Times New Roman"/>
          <w:i w:val="0"/>
          <w:iCs w:val="0"/>
          <w:caps w:val="0"/>
          <w:color w:val="auto"/>
          <w:spacing w:val="0"/>
          <w:kern w:val="0"/>
          <w:sz w:val="32"/>
          <w:szCs w:val="32"/>
          <w:shd w:val="clear"/>
          <w:lang w:eastAsia="zh-CN" w:bidi="ar"/>
        </w:rPr>
        <w:t>、低空遥感以及地面遥感</w:t>
      </w:r>
      <w:r>
        <w:rPr>
          <w:rFonts w:hint="default" w:ascii="Times New Roman" w:hAnsi="Times New Roman" w:eastAsia="仿宋_GB2312" w:cs="Times New Roman"/>
          <w:i w:val="0"/>
          <w:iCs w:val="0"/>
          <w:caps w:val="0"/>
          <w:color w:val="auto"/>
          <w:spacing w:val="0"/>
          <w:kern w:val="0"/>
          <w:sz w:val="32"/>
          <w:szCs w:val="32"/>
          <w:shd w:val="clear"/>
          <w:lang w:val="en-US" w:eastAsia="zh-CN" w:bidi="ar"/>
        </w:rPr>
        <w:t>等新技术手段，划分地质灾害风险区和风险点，加强地质灾害易发区内项目管控。</w:t>
      </w:r>
      <w:r>
        <w:rPr>
          <w:rFonts w:hint="default" w:ascii="Times New Roman" w:hAnsi="Times New Roman" w:eastAsia="仿宋_GB2312" w:cs="Times New Roman"/>
          <w:i w:val="0"/>
          <w:iCs w:val="0"/>
          <w:caps w:val="0"/>
          <w:color w:val="auto"/>
          <w:spacing w:val="0"/>
          <w:kern w:val="0"/>
          <w:sz w:val="32"/>
          <w:szCs w:val="32"/>
          <w:shd w:val="clear" w:fill="auto"/>
          <w:lang w:bidi="ar"/>
        </w:rPr>
        <w:t>建立健全矿山地质环境动态监测制度，强化矿山开采活动引发崩塌、滑坡等次生地质灾害的防控力度。</w:t>
      </w:r>
    </w:p>
    <w:p>
      <w:pPr>
        <w:pStyle w:val="2"/>
        <w:rPr>
          <w:rFonts w:hint="default" w:ascii="Times New Roman" w:hAnsi="Times New Roman" w:eastAsia="仿宋_GB2312" w:cs="Times New Roman"/>
          <w:color w:val="auto"/>
          <w:kern w:val="0"/>
          <w:sz w:val="32"/>
          <w:szCs w:val="32"/>
          <w:lang w:val="en-US" w:eastAsia="zh-CN" w:bidi="ar"/>
        </w:rPr>
      </w:pPr>
    </w:p>
    <w:p>
      <w:pPr>
        <w:pStyle w:val="4"/>
        <w:spacing w:line="560" w:lineRule="exact"/>
        <w:rPr>
          <w:rFonts w:hint="default" w:ascii="Times New Roman" w:hAnsi="Times New Roman" w:cs="Times New Roman"/>
          <w:color w:val="auto"/>
          <w:szCs w:val="32"/>
        </w:rPr>
      </w:pPr>
      <w:bookmarkStart w:id="436" w:name="_Toc1056219362"/>
      <w:bookmarkStart w:id="437" w:name="_Toc2015984736"/>
      <w:r>
        <w:rPr>
          <w:rFonts w:hint="default" w:ascii="Times New Roman" w:hAnsi="Times New Roman" w:cs="Times New Roman"/>
          <w:color w:val="auto"/>
          <w:szCs w:val="32"/>
        </w:rPr>
        <w:t>第七章  加强海洋资源开发保护服务海洋强市</w:t>
      </w:r>
      <w:bookmarkEnd w:id="436"/>
      <w:bookmarkEnd w:id="437"/>
    </w:p>
    <w:p>
      <w:pPr>
        <w:spacing w:line="560" w:lineRule="exact"/>
        <w:ind w:firstLine="720" w:firstLineChars="200"/>
        <w:jc w:val="center"/>
        <w:rPr>
          <w:rFonts w:hint="default" w:ascii="Times New Roman" w:hAnsi="Times New Roman" w:eastAsia="楷体_GB2312" w:cs="Times New Roman"/>
          <w:color w:val="auto"/>
          <w:sz w:val="36"/>
          <w:szCs w:val="36"/>
        </w:rPr>
      </w:pPr>
      <w:bookmarkStart w:id="438" w:name="_Toc26915831"/>
      <w:bookmarkEnd w:id="438"/>
    </w:p>
    <w:p>
      <w:pPr>
        <w:pStyle w:val="5"/>
        <w:spacing w:line="560" w:lineRule="exact"/>
        <w:jc w:val="center"/>
        <w:rPr>
          <w:rFonts w:hint="default" w:ascii="Times New Roman" w:hAnsi="Times New Roman" w:eastAsia="楷体_GB2312" w:cs="Times New Roman"/>
          <w:b w:val="0"/>
          <w:bCs w:val="0"/>
          <w:color w:val="auto"/>
        </w:rPr>
      </w:pPr>
      <w:bookmarkStart w:id="439" w:name="_Toc378365418"/>
      <w:bookmarkStart w:id="440" w:name="_Toc318001836"/>
      <w:r>
        <w:rPr>
          <w:rFonts w:hint="default" w:ascii="Times New Roman" w:hAnsi="Times New Roman" w:eastAsia="楷体_GB2312" w:cs="Times New Roman"/>
          <w:b w:val="0"/>
          <w:bCs w:val="0"/>
          <w:color w:val="auto"/>
        </w:rPr>
        <w:t>第一节  推进海域合理布局与资源有序利用</w:t>
      </w:r>
      <w:bookmarkEnd w:id="439"/>
      <w:bookmarkEnd w:id="440"/>
    </w:p>
    <w:p>
      <w:pPr>
        <w:wordWrap w:val="0"/>
        <w:spacing w:line="560" w:lineRule="exact"/>
        <w:ind w:firstLine="642" w:firstLineChars="200"/>
        <w:rPr>
          <w:rFonts w:hint="default" w:ascii="Times New Roman" w:hAnsi="Times New Roman" w:eastAsia="仿宋_GB2312" w:cs="Times New Roman"/>
          <w:b/>
          <w:bCs/>
          <w:color w:val="auto"/>
          <w:sz w:val="32"/>
          <w:szCs w:val="32"/>
        </w:rPr>
      </w:pPr>
      <w:bookmarkStart w:id="441" w:name="_Toc199234891"/>
      <w:bookmarkStart w:id="442" w:name="_Toc209519052"/>
      <w:bookmarkStart w:id="443" w:name="_Toc19313"/>
      <w:bookmarkStart w:id="444" w:name="_Toc25645"/>
      <w:bookmarkStart w:id="445" w:name="_Toc27558"/>
      <w:bookmarkStart w:id="446" w:name="_Toc14353"/>
      <w:bookmarkStart w:id="447" w:name="_Toc7381"/>
      <w:bookmarkStart w:id="448" w:name="_Toc1487"/>
      <w:bookmarkStart w:id="449" w:name="_Toc21711"/>
      <w:bookmarkStart w:id="450" w:name="_Toc57283402"/>
      <w:bookmarkStart w:id="451" w:name="_Toc30373"/>
      <w:bookmarkStart w:id="452" w:name="_Toc18344"/>
      <w:bookmarkStart w:id="453" w:name="_Toc2798"/>
      <w:bookmarkStart w:id="454" w:name="_Toc26453"/>
      <w:bookmarkStart w:id="455" w:name="_Toc4151"/>
      <w:bookmarkStart w:id="456" w:name="_Toc30525"/>
      <w:bookmarkStart w:id="457" w:name="_Toc17010"/>
      <w:bookmarkStart w:id="458" w:name="_Toc27049"/>
      <w:bookmarkStart w:id="459" w:name="_Toc16055"/>
      <w:bookmarkStart w:id="460" w:name="_Toc14901"/>
      <w:bookmarkStart w:id="461" w:name="_Toc5151"/>
      <w:r>
        <w:rPr>
          <w:rFonts w:hint="default" w:ascii="Times New Roman" w:hAnsi="Times New Roman" w:eastAsia="仿宋_GB2312" w:cs="Times New Roman"/>
          <w:b/>
          <w:bCs/>
          <w:color w:val="auto"/>
          <w:sz w:val="32"/>
          <w:szCs w:val="32"/>
        </w:rPr>
        <w:t>统筹海域空间布局优化</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color w:val="auto"/>
          <w:sz w:val="32"/>
          <w:szCs w:val="32"/>
        </w:rPr>
        <w:t>推进滨海空间优化提升，形成“两带、四片、九区”总体布局结构，以沿三亚海岸带作为陆海空间耦合的重要发展轴带，根据市辖4个行政区对应海域片区规划设定差异化海洋旅游功能，形成海棠旅体康养片区、吉阳生态休闲片区、天涯都市活力片区、崖州科教文化片区的海洋旅游发展格局，同时在重点海域规划9个特色旅游景区（综合开发区）进行陆海管控。立足海棠湾、亚龙湾、榆林湾、三亚湾、红塘湾、崖州湾六大湾区资源禀赋与产业基础，实施差异化发展策略，推动现代海洋产业集聚与功能互补，构建特色鲜明、协同联动的发展格局。</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推动海洋资源规范化利用</w:t>
      </w:r>
      <w:r>
        <w:rPr>
          <w:rFonts w:hint="default" w:ascii="Times New Roman" w:hAnsi="Times New Roman" w:eastAsia="仿宋_GB2312" w:cs="Times New Roman"/>
          <w:color w:val="auto"/>
          <w:sz w:val="32"/>
          <w:szCs w:val="32"/>
        </w:rPr>
        <w:t>。落实最严格的围填海管控制度，实施岸线海域空间分类分段精细化管控，探索与土地利用衔接的存量围填海管理机制。</w:t>
      </w:r>
      <w:r>
        <w:rPr>
          <w:rFonts w:hint="default" w:ascii="Times New Roman" w:hAnsi="Times New Roman" w:eastAsia="仿宋_GB2312" w:cs="Times New Roman"/>
          <w:color w:val="auto"/>
          <w:kern w:val="2"/>
          <w:sz w:val="32"/>
          <w:szCs w:val="32"/>
          <w:lang w:val="en-US" w:eastAsia="zh-CN" w:bidi="ar"/>
        </w:rPr>
        <w:t>统筹海域海岛、岸线、土地资源和产业布局规划，</w:t>
      </w:r>
      <w:r>
        <w:rPr>
          <w:rFonts w:hint="default" w:ascii="Times New Roman" w:hAnsi="Times New Roman" w:eastAsia="仿宋_GB2312" w:cs="Times New Roman"/>
          <w:color w:val="auto"/>
          <w:kern w:val="2"/>
          <w:sz w:val="32"/>
          <w:szCs w:val="32"/>
          <w:lang w:eastAsia="zh-CN" w:bidi="ar"/>
        </w:rPr>
        <w:t>推动</w:t>
      </w:r>
      <w:r>
        <w:rPr>
          <w:rFonts w:hint="default" w:ascii="Times New Roman" w:hAnsi="Times New Roman" w:eastAsia="仿宋_GB2312" w:cs="Times New Roman"/>
          <w:color w:val="auto"/>
          <w:sz w:val="32"/>
          <w:szCs w:val="32"/>
        </w:rPr>
        <w:t>海域海岛资源要素保障政策与海洋产业发展政策匹配融合展，统筹安排行业用海，保障项目用海需求。合理保障铺设海底油气管道、通信光缆、电缆等管线廊道。</w:t>
      </w:r>
      <w:r>
        <w:rPr>
          <w:rFonts w:hint="default" w:ascii="Times New Roman" w:hAnsi="Times New Roman" w:eastAsia="仿宋_GB2312" w:cs="Times New Roman"/>
          <w:color w:val="auto"/>
          <w:kern w:val="2"/>
          <w:sz w:val="32"/>
          <w:szCs w:val="32"/>
          <w:lang w:val="en-US" w:eastAsia="zh-CN" w:bidi="ar"/>
        </w:rPr>
        <w:t>拓展海域使用权抵押贷款范围，探索开展海岛使用权抵押贷款业务。</w:t>
      </w:r>
      <w:r>
        <w:rPr>
          <w:rFonts w:hint="default" w:ascii="Times New Roman" w:hAnsi="Times New Roman" w:eastAsia="仿宋_GB2312" w:cs="Times New Roman"/>
          <w:color w:val="auto"/>
          <w:sz w:val="32"/>
          <w:szCs w:val="32"/>
        </w:rPr>
        <w:t>优化养殖用海管理标准，推行养殖用海统一由政府出资先行开展海域使用论证和环境影响评价，实现</w:t>
      </w:r>
      <w:r>
        <w:rPr>
          <w:rFonts w:hint="default" w:ascii="Times New Roman" w:hAnsi="Times New Roman" w:eastAsia="仿宋_GB2312" w:cs="Times New Roman"/>
          <w:color w:val="auto"/>
          <w:sz w:val="32"/>
          <w:szCs w:val="32"/>
          <w:lang w:val="en-US" w:eastAsia="zh-CN"/>
        </w:rPr>
        <w:t>“净海”出让全覆盖，</w:t>
      </w:r>
      <w:r>
        <w:rPr>
          <w:rFonts w:hint="default" w:ascii="Times New Roman" w:hAnsi="Times New Roman" w:eastAsia="仿宋_GB2312" w:cs="Times New Roman"/>
          <w:color w:val="auto"/>
          <w:sz w:val="32"/>
          <w:szCs w:val="32"/>
        </w:rPr>
        <w:t>扩大“</w:t>
      </w:r>
      <w:r>
        <w:rPr>
          <w:rFonts w:hint="default" w:ascii="Times New Roman" w:hAnsi="Times New Roman" w:eastAsia="仿宋_GB2312" w:cs="Times New Roman"/>
          <w:color w:val="auto"/>
          <w:sz w:val="32"/>
          <w:szCs w:val="32"/>
          <w:lang w:val="en-US" w:eastAsia="zh-CN"/>
        </w:rPr>
        <w:t>标准</w:t>
      </w:r>
      <w:r>
        <w:rPr>
          <w:rFonts w:hint="default" w:ascii="Times New Roman" w:hAnsi="Times New Roman" w:eastAsia="仿宋_GB2312" w:cs="Times New Roman"/>
          <w:color w:val="auto"/>
          <w:sz w:val="32"/>
          <w:szCs w:val="32"/>
        </w:rPr>
        <w:t>海”出让范围。探索设施渔业用海模式，适应多样化用海需求。以蜈支洲岛、西瑁洲岛为示范标杆，打造精品化海岛旅游旗舰产品，围绕蜈支洲岛海洋牧场，探索拓展“生态保护修复+休闲渔业”海洋生态产品价值转化路径；重点培育东锣岛、椰子洲岛等新兴资源，形成梯次开发序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2" w:firstLineChars="200"/>
        <w:jc w:val="both"/>
        <w:textAlignment w:val="auto"/>
        <w:rPr>
          <w:rFonts w:hint="default" w:ascii="Times New Roman" w:hAnsi="Times New Roman" w:cs="Times New Roman"/>
          <w:color w:val="auto"/>
        </w:rPr>
      </w:pPr>
      <w:r>
        <w:rPr>
          <w:rFonts w:hint="default" w:ascii="Times New Roman" w:hAnsi="Times New Roman" w:eastAsia="仿宋_GB2312" w:cs="Times New Roman"/>
          <w:b/>
          <w:bCs/>
          <w:color w:val="auto"/>
          <w:sz w:val="32"/>
          <w:szCs w:val="32"/>
        </w:rPr>
        <w:t>推动无居民海岛开发保护</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color w:val="auto"/>
          <w:sz w:val="32"/>
          <w:szCs w:val="32"/>
        </w:rPr>
        <w:t>统筹无居民海岛保护与利用，探索海岛市场化开发</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b w:val="0"/>
          <w:bCs w:val="0"/>
          <w:color w:val="auto"/>
          <w:kern w:val="2"/>
          <w:sz w:val="32"/>
          <w:szCs w:val="32"/>
          <w:lang w:val="en-US" w:eastAsia="zh-CN" w:bidi="ar"/>
        </w:rPr>
        <w:t>可重点发展海岛旅游、生态保育、科研观测等业态，</w:t>
      </w:r>
      <w:r>
        <w:rPr>
          <w:rFonts w:hint="default" w:ascii="Times New Roman" w:hAnsi="Times New Roman" w:eastAsia="仿宋_GB2312" w:cs="Times New Roman"/>
          <w:color w:val="auto"/>
          <w:sz w:val="32"/>
          <w:szCs w:val="32"/>
        </w:rPr>
        <w:t>拓展</w:t>
      </w:r>
      <w:r>
        <w:rPr>
          <w:rFonts w:hint="default" w:ascii="Times New Roman" w:hAnsi="Times New Roman" w:eastAsia="仿宋_GB2312" w:cs="Times New Roman"/>
          <w:b w:val="0"/>
          <w:bCs w:val="0"/>
          <w:color w:val="auto"/>
          <w:kern w:val="2"/>
          <w:sz w:val="32"/>
          <w:szCs w:val="32"/>
          <w:lang w:val="en-US" w:eastAsia="zh-CN" w:bidi="ar"/>
        </w:rPr>
        <w:t>海洋经济</w:t>
      </w:r>
      <w:r>
        <w:rPr>
          <w:rFonts w:hint="default" w:ascii="Times New Roman" w:hAnsi="Times New Roman" w:eastAsia="仿宋_GB2312" w:cs="Times New Roman"/>
          <w:b w:val="0"/>
          <w:bCs w:val="0"/>
          <w:color w:val="auto"/>
          <w:kern w:val="2"/>
          <w:sz w:val="32"/>
          <w:szCs w:val="32"/>
          <w:lang w:eastAsia="zh-CN" w:bidi="ar"/>
        </w:rPr>
        <w:t>、</w:t>
      </w:r>
      <w:r>
        <w:rPr>
          <w:rFonts w:hint="default" w:ascii="Times New Roman" w:hAnsi="Times New Roman" w:eastAsia="仿宋_GB2312" w:cs="Times New Roman"/>
          <w:color w:val="auto"/>
          <w:sz w:val="32"/>
          <w:szCs w:val="32"/>
        </w:rPr>
        <w:t>海洋文旅发展空间。</w:t>
      </w:r>
      <w:r>
        <w:rPr>
          <w:rFonts w:hint="default" w:ascii="Times New Roman" w:hAnsi="Times New Roman" w:eastAsia="仿宋_GB2312" w:cs="Times New Roman"/>
          <w:color w:val="auto"/>
          <w:sz w:val="32"/>
          <w:szCs w:val="32"/>
          <w:lang w:val="en-US" w:eastAsia="zh-CN"/>
        </w:rPr>
        <w:t>按照“两空间内部一红线”分区要求，对</w:t>
      </w:r>
      <w:r>
        <w:rPr>
          <w:rFonts w:hint="default" w:ascii="Times New Roman" w:hAnsi="Times New Roman" w:eastAsia="仿宋_GB2312" w:cs="Times New Roman"/>
          <w:color w:val="auto"/>
          <w:sz w:val="32"/>
          <w:szCs w:val="32"/>
        </w:rPr>
        <w:t>无居民海岛实行分类管控与保护，推动东锣岛等岛屿生态修复与产业导入。</w:t>
      </w:r>
      <w:r>
        <w:rPr>
          <w:rFonts w:hint="default" w:ascii="Times New Roman" w:hAnsi="Times New Roman" w:eastAsia="仿宋_GB2312" w:cs="Times New Roman"/>
          <w:color w:val="auto"/>
          <w:sz w:val="32"/>
          <w:szCs w:val="32"/>
          <w:lang w:val="en-US" w:eastAsia="zh-CN"/>
        </w:rPr>
        <w:t>完善无居民海岛使用权产权体系，</w:t>
      </w:r>
      <w:r>
        <w:rPr>
          <w:rFonts w:hint="default" w:ascii="Times New Roman" w:hAnsi="Times New Roman" w:eastAsia="仿宋_GB2312" w:cs="Times New Roman"/>
          <w:color w:val="auto"/>
          <w:sz w:val="32"/>
          <w:szCs w:val="32"/>
        </w:rPr>
        <w:t>落实无居民海岛使用权招拍挂出让制度，探索海岛使用权出租、抵押交易</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加快推进历史遗留用岛问题处置。</w:t>
      </w:r>
      <w:r>
        <w:rPr>
          <w:rFonts w:hint="default" w:ascii="Times New Roman" w:hAnsi="Times New Roman" w:eastAsia="仿宋_GB2312" w:cs="Times New Roman"/>
          <w:color w:val="auto"/>
          <w:sz w:val="32"/>
          <w:szCs w:val="32"/>
        </w:rPr>
        <w:t>配合开展无居民海岛岸线勘测，推进无居民海岛保护利用和岸线资源精细化管理。</w:t>
      </w:r>
    </w:p>
    <w:p>
      <w:pPr>
        <w:pStyle w:val="5"/>
        <w:spacing w:line="560" w:lineRule="exact"/>
        <w:ind w:firstLine="640" w:firstLineChars="200"/>
        <w:jc w:val="center"/>
        <w:rPr>
          <w:rFonts w:hint="default" w:ascii="Times New Roman" w:hAnsi="Times New Roman" w:eastAsia="楷体_GB2312" w:cs="Times New Roman"/>
          <w:b w:val="0"/>
          <w:bCs w:val="0"/>
          <w:color w:val="auto"/>
        </w:rPr>
      </w:pPr>
      <w:bookmarkStart w:id="462" w:name="_Toc1274931403"/>
      <w:bookmarkStart w:id="463" w:name="_Toc1889286749"/>
      <w:r>
        <w:rPr>
          <w:rFonts w:hint="default" w:ascii="Times New Roman" w:hAnsi="Times New Roman" w:eastAsia="楷体_GB2312" w:cs="Times New Roman"/>
          <w:b w:val="0"/>
          <w:bCs w:val="0"/>
          <w:color w:val="auto"/>
        </w:rPr>
        <w:t>第二节  提高海洋资源服务保障和监管能力</w:t>
      </w:r>
      <w:bookmarkEnd w:id="441"/>
      <w:bookmarkEnd w:id="442"/>
      <w:bookmarkEnd w:id="462"/>
      <w:bookmarkEnd w:id="463"/>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kern w:val="0"/>
          <w:sz w:val="32"/>
          <w:szCs w:val="32"/>
          <w:lang w:bidi="ar"/>
        </w:rPr>
        <w:t>引导近远海海洋产业协调发展</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引导优化邻岸陆域空间布局及重点行业用海布局，</w:t>
      </w:r>
      <w:r>
        <w:rPr>
          <w:rFonts w:hint="default" w:ascii="Times New Roman" w:hAnsi="Times New Roman" w:eastAsia="仿宋_GB2312" w:cs="Times New Roman"/>
          <w:color w:val="auto"/>
          <w:kern w:val="0"/>
          <w:sz w:val="32"/>
          <w:szCs w:val="32"/>
          <w:lang w:val="en-US" w:eastAsia="zh-CN" w:bidi="ar"/>
        </w:rPr>
        <w:t>构建从近岸到深远海的全空间海洋发展格局。</w:t>
      </w:r>
      <w:r>
        <w:rPr>
          <w:rFonts w:hint="default" w:ascii="Times New Roman" w:hAnsi="Times New Roman" w:eastAsia="仿宋_GB2312" w:cs="Times New Roman"/>
          <w:color w:val="auto"/>
          <w:kern w:val="0"/>
          <w:sz w:val="32"/>
          <w:szCs w:val="32"/>
          <w:lang w:bidi="ar"/>
        </w:rPr>
        <w:t>科学确定陆海一体化利用空间，节约集约利用海岸带及近岸海域空间，推动港、产、城、岛空间深度融合。稳定拓展游憩用海，统筹配置科研教学和海上交通用海。保障渔民生产生活和现代渔业发展的用海需求，保持海水养殖面积总规模基本稳定。推进蜈支洲、东西瑁洲、东锣西鼓海洋牧场建设，重点建设以休闲功能为主，兼具水产资源养护、增殖等功能的海洋牧场示范区。稳妥推进深远海能源资源开发利用，有序拓展智能化海洋牧场、海洋新能源等重点行业开发利用空间。</w:t>
      </w:r>
    </w:p>
    <w:p>
      <w:pPr>
        <w:pStyle w:val="2"/>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rPr>
        <w:t>强化南海深海科技发展服务保障</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color w:val="auto"/>
          <w:sz w:val="32"/>
          <w:szCs w:val="32"/>
        </w:rPr>
        <w:t>配合</w:t>
      </w:r>
      <w:r>
        <w:rPr>
          <w:rFonts w:hint="default" w:ascii="Times New Roman" w:hAnsi="Times New Roman" w:eastAsia="仿宋_GB2312" w:cs="Times New Roman"/>
          <w:color w:val="auto"/>
          <w:sz w:val="32"/>
          <w:szCs w:val="32"/>
          <w:lang w:eastAsia="zh-CN"/>
        </w:rPr>
        <w:t>崖州湾科技城高新区</w:t>
      </w:r>
      <w:r>
        <w:rPr>
          <w:rFonts w:hint="default" w:ascii="Times New Roman" w:hAnsi="Times New Roman" w:eastAsia="仿宋_GB2312" w:cs="Times New Roman"/>
          <w:color w:val="auto"/>
          <w:sz w:val="32"/>
          <w:szCs w:val="32"/>
        </w:rPr>
        <w:t>管理局，做好深海研究院用地用海要素服务保障，打造深海装备技术试验验证基地。加强研发试验共性技术支撑平台、科考公共码头及运维保障平台建设</w:t>
      </w:r>
      <w:r>
        <w:rPr>
          <w:rFonts w:hint="default" w:ascii="Times New Roman" w:hAnsi="Times New Roman" w:eastAsia="仿宋_GB2312" w:cs="Times New Roman"/>
          <w:color w:val="auto"/>
          <w:sz w:val="32"/>
          <w:szCs w:val="32"/>
          <w:lang w:val="en"/>
        </w:rPr>
        <w:t>，</w:t>
      </w:r>
      <w:r>
        <w:rPr>
          <w:rFonts w:hint="default" w:ascii="Times New Roman" w:hAnsi="Times New Roman" w:eastAsia="仿宋_GB2312" w:cs="Times New Roman"/>
          <w:color w:val="auto"/>
          <w:sz w:val="32"/>
          <w:szCs w:val="32"/>
        </w:rPr>
        <w:t>推动南山港建设成为国际公共科考试验母港</w:t>
      </w:r>
      <w:r>
        <w:rPr>
          <w:rFonts w:hint="default" w:ascii="Times New Roman" w:hAnsi="Times New Roman" w:eastAsia="仿宋_GB2312" w:cs="Times New Roman"/>
          <w:color w:val="auto"/>
          <w:sz w:val="32"/>
          <w:szCs w:val="32"/>
          <w:lang w:val="en"/>
        </w:rPr>
        <w:t>，</w:t>
      </w:r>
      <w:r>
        <w:rPr>
          <w:rFonts w:hint="default" w:ascii="Times New Roman" w:hAnsi="Times New Roman" w:eastAsia="仿宋_GB2312" w:cs="Times New Roman"/>
          <w:color w:val="auto"/>
          <w:sz w:val="32"/>
          <w:szCs w:val="32"/>
        </w:rPr>
        <w:t>支持服务海洋科技创新和产业发展。</w:t>
      </w:r>
      <w:r>
        <w:rPr>
          <w:rFonts w:hint="default" w:ascii="Times New Roman" w:hAnsi="Times New Roman" w:eastAsia="仿宋_GB2312" w:cs="Times New Roman"/>
          <w:color w:val="auto"/>
          <w:sz w:val="32"/>
          <w:szCs w:val="32"/>
          <w:lang w:val="en-US" w:eastAsia="zh-CN"/>
        </w:rPr>
        <w:t>推动</w:t>
      </w:r>
      <w:r>
        <w:rPr>
          <w:rFonts w:hint="default" w:ascii="Times New Roman" w:hAnsi="Times New Roman" w:eastAsia="仿宋_GB2312" w:cs="Times New Roman"/>
          <w:color w:val="auto"/>
          <w:sz w:val="32"/>
          <w:szCs w:val="32"/>
        </w:rPr>
        <w:t>国家深海能源与空间利用技术创新中心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kern w:val="2"/>
          <w:sz w:val="32"/>
          <w:szCs w:val="32"/>
        </w:rPr>
        <w:t>汉江实验室三亚基地</w:t>
      </w:r>
      <w:r>
        <w:rPr>
          <w:rFonts w:hint="default" w:ascii="Times New Roman" w:hAnsi="Times New Roman" w:eastAsia="仿宋_GB2312" w:cs="Times New Roman"/>
          <w:color w:val="auto"/>
          <w:kern w:val="2"/>
          <w:sz w:val="32"/>
          <w:szCs w:val="32"/>
          <w:lang w:val="en-US" w:eastAsia="zh-CN"/>
        </w:rPr>
        <w:t>等</w:t>
      </w:r>
      <w:r>
        <w:rPr>
          <w:rFonts w:hint="default" w:ascii="Times New Roman" w:hAnsi="Times New Roman" w:eastAsia="仿宋_GB2312" w:cs="Times New Roman"/>
          <w:color w:val="auto"/>
          <w:sz w:val="32"/>
          <w:szCs w:val="32"/>
        </w:rPr>
        <w:t>深海科技创新重点工程</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提升深海科技基础设施服务保障能力。</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提升海域海岛监管能力</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color w:val="auto"/>
          <w:sz w:val="32"/>
          <w:szCs w:val="32"/>
        </w:rPr>
        <w:t>做好领海基点保护范围选划工作，明确保护边界，防止基点受损，守住国家海洋主权的“起点”。完善海域海岛全生命周期监管体系，整合审批、执法巡查、生态监测数据，“一网统管”全市海域海岛保护与利用情况。利用无人机智慧巡航、高分辨率卫星遥感、高清摄像头等科技手段，智能化处置用海用岛岸线动态变化预警信息。建立跨部门、跨领域协同配合工作机制，不断提高海洋监管和行政执法水平。</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Pr>
          <w:rFonts w:hint="default" w:ascii="Times New Roman" w:hAnsi="Times New Roman" w:eastAsia="仿宋_GB2312" w:cs="Times New Roman"/>
          <w:color w:val="auto"/>
          <w:sz w:val="32"/>
          <w:szCs w:val="32"/>
          <w:lang w:val="en-US" w:eastAsia="zh-CN"/>
        </w:rPr>
        <w:t>探索实施</w:t>
      </w:r>
      <w:r>
        <w:rPr>
          <w:rFonts w:hint="default" w:ascii="Times New Roman" w:hAnsi="Times New Roman" w:eastAsia="仿宋_GB2312" w:cs="Times New Roman"/>
          <w:color w:val="auto"/>
          <w:sz w:val="32"/>
          <w:szCs w:val="32"/>
        </w:rPr>
        <w:t>闲置用海收回机制，</w:t>
      </w:r>
      <w:r>
        <w:rPr>
          <w:rFonts w:hint="default" w:ascii="Times New Roman" w:hAnsi="Times New Roman" w:eastAsia="仿宋_GB2312" w:cs="Times New Roman"/>
          <w:i w:val="0"/>
          <w:iCs w:val="0"/>
          <w:caps w:val="0"/>
          <w:color w:val="auto"/>
          <w:spacing w:val="0"/>
          <w:sz w:val="32"/>
          <w:szCs w:val="32"/>
        </w:rPr>
        <w:t>强化用海活动事中事后监管，对养殖用海超范围经营等违规行为加大查处整改力度，确保用海活动严格按照批准范围和方式开展</w:t>
      </w:r>
      <w:r>
        <w:rPr>
          <w:rFonts w:hint="default" w:ascii="Times New Roman" w:hAnsi="Times New Roman" w:eastAsia="仿宋_GB2312" w:cs="Times New Roman"/>
          <w:color w:val="auto"/>
          <w:sz w:val="32"/>
          <w:szCs w:val="32"/>
        </w:rPr>
        <w:t>。</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871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黑体" w:cs="Times New Roman"/>
                <w:bCs/>
                <w:color w:val="auto"/>
                <w:kern w:val="0"/>
                <w:sz w:val="28"/>
                <w:szCs w:val="28"/>
                <w:highlight w:val="none"/>
                <w:vertAlign w:val="baseline"/>
                <w:lang w:val="en-US" w:eastAsia="zh-CN" w:bidi="ar"/>
              </w:rPr>
              <w:t>专栏7  海洋资源开发保护重点工程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8715"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1" w:firstLineChars="200"/>
              <w:textAlignment w:val="auto"/>
              <w:rPr>
                <w:rFonts w:hint="default" w:ascii="Times New Roman" w:hAnsi="Times New Roman" w:eastAsia="仿宋_GB2312" w:cs="Times New Roman"/>
                <w:b w:val="0"/>
                <w:bCs w:val="0"/>
                <w:color w:val="auto"/>
                <w:kern w:val="0"/>
                <w:sz w:val="24"/>
                <w:szCs w:val="24"/>
                <w:lang w:bidi="ar"/>
              </w:rPr>
            </w:pPr>
            <w:r>
              <w:rPr>
                <w:rFonts w:hint="default" w:ascii="Times New Roman" w:hAnsi="Times New Roman" w:eastAsia="仿宋_GB2312" w:cs="Times New Roman"/>
                <w:b/>
                <w:bCs/>
                <w:color w:val="auto"/>
                <w:kern w:val="0"/>
                <w:sz w:val="24"/>
                <w:szCs w:val="24"/>
                <w:lang w:val="en-US" w:eastAsia="zh-CN" w:bidi="ar"/>
              </w:rPr>
              <w:t>1.</w:t>
            </w:r>
            <w:r>
              <w:rPr>
                <w:rFonts w:hint="default" w:ascii="Times New Roman" w:hAnsi="Times New Roman" w:eastAsia="仿宋_GB2312" w:cs="Times New Roman"/>
                <w:b/>
                <w:bCs/>
                <w:color w:val="auto"/>
                <w:kern w:val="0"/>
                <w:sz w:val="24"/>
                <w:szCs w:val="24"/>
                <w:lang w:bidi="ar"/>
              </w:rPr>
              <w:t>邮轮游艇旅游重点工程</w:t>
            </w:r>
            <w:r>
              <w:rPr>
                <w:rFonts w:hint="default" w:ascii="Times New Roman" w:hAnsi="Times New Roman" w:eastAsia="仿宋_GB2312" w:cs="Times New Roman"/>
                <w:b w:val="0"/>
                <w:bCs w:val="0"/>
                <w:color w:val="auto"/>
                <w:kern w:val="0"/>
                <w:sz w:val="24"/>
                <w:szCs w:val="24"/>
                <w:lang w:eastAsia="zh-CN" w:bidi="ar"/>
              </w:rPr>
              <w:t>。</w:t>
            </w:r>
            <w:r>
              <w:rPr>
                <w:rFonts w:hint="default" w:ascii="Times New Roman" w:hAnsi="Times New Roman" w:eastAsia="仿宋_GB2312" w:cs="Times New Roman"/>
                <w:b w:val="0"/>
                <w:bCs w:val="0"/>
                <w:color w:val="auto"/>
                <w:kern w:val="0"/>
                <w:sz w:val="24"/>
                <w:szCs w:val="24"/>
                <w:lang w:bidi="ar"/>
              </w:rPr>
              <w:t>加快国际邮轮港一期建设，积极谋划推动邮轮港二期及其配套项目建设，将海南三亚国际邮轮港建成面向东南亚、南亚的重要国际邮轮枢纽。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1" w:firstLineChars="200"/>
              <w:textAlignment w:val="auto"/>
              <w:rPr>
                <w:rFonts w:hint="default" w:ascii="Times New Roman" w:hAnsi="Times New Roman" w:eastAsia="仿宋_GB2312" w:cs="Times New Roman"/>
                <w:b w:val="0"/>
                <w:bCs w:val="0"/>
                <w:color w:val="auto"/>
                <w:kern w:val="0"/>
                <w:sz w:val="24"/>
                <w:szCs w:val="24"/>
                <w:lang w:val="en-US" w:eastAsia="zh-CN" w:bidi="ar"/>
              </w:rPr>
            </w:pPr>
            <w:r>
              <w:rPr>
                <w:rFonts w:hint="eastAsia" w:eastAsia="仿宋_GB2312" w:cs="Times New Roman"/>
                <w:b/>
                <w:bCs/>
                <w:color w:val="auto"/>
                <w:kern w:val="0"/>
                <w:sz w:val="24"/>
                <w:szCs w:val="24"/>
                <w:lang w:val="en-US" w:eastAsia="zh-CN" w:bidi="ar"/>
              </w:rPr>
              <w:t>2</w:t>
            </w:r>
            <w:r>
              <w:rPr>
                <w:rFonts w:hint="default" w:ascii="Times New Roman" w:hAnsi="Times New Roman" w:eastAsia="仿宋_GB2312" w:cs="Times New Roman"/>
                <w:b/>
                <w:bCs/>
                <w:color w:val="auto"/>
                <w:kern w:val="0"/>
                <w:sz w:val="24"/>
                <w:szCs w:val="24"/>
                <w:lang w:val="en-US" w:eastAsia="zh-CN" w:bidi="ar"/>
              </w:rPr>
              <w:t>.</w:t>
            </w:r>
            <w:r>
              <w:rPr>
                <w:rFonts w:hint="default" w:ascii="Times New Roman" w:hAnsi="Times New Roman" w:eastAsia="仿宋_GB2312" w:cs="Times New Roman"/>
                <w:b/>
                <w:bCs/>
                <w:color w:val="auto"/>
                <w:kern w:val="0"/>
                <w:sz w:val="24"/>
                <w:szCs w:val="24"/>
                <w:lang w:bidi="ar"/>
              </w:rPr>
              <w:t>深海科技创新重点工程</w:t>
            </w:r>
            <w:r>
              <w:rPr>
                <w:rFonts w:hint="default" w:ascii="Times New Roman" w:hAnsi="Times New Roman" w:eastAsia="仿宋_GB2312" w:cs="Times New Roman"/>
                <w:b w:val="0"/>
                <w:bCs w:val="0"/>
                <w:color w:val="auto"/>
                <w:kern w:val="0"/>
                <w:sz w:val="24"/>
                <w:szCs w:val="24"/>
                <w:lang w:eastAsia="zh-CN" w:bidi="ar"/>
              </w:rPr>
              <w:t>。</w:t>
            </w:r>
            <w:r>
              <w:rPr>
                <w:rFonts w:hint="default" w:ascii="Times New Roman" w:hAnsi="Times New Roman" w:eastAsia="仿宋_GB2312" w:cs="Times New Roman"/>
                <w:b w:val="0"/>
                <w:bCs w:val="0"/>
                <w:color w:val="auto"/>
                <w:kern w:val="0"/>
                <w:sz w:val="24"/>
                <w:szCs w:val="24"/>
                <w:lang w:bidi="ar"/>
              </w:rPr>
              <w:t>建设汉江实验室三亚基地</w:t>
            </w:r>
            <w:r>
              <w:rPr>
                <w:rFonts w:hint="default" w:ascii="Times New Roman" w:hAnsi="Times New Roman" w:eastAsia="仿宋_GB2312" w:cs="Times New Roman"/>
                <w:b w:val="0"/>
                <w:bCs w:val="0"/>
                <w:color w:val="auto"/>
                <w:kern w:val="0"/>
                <w:sz w:val="24"/>
                <w:szCs w:val="24"/>
                <w:lang w:eastAsia="zh-CN" w:bidi="ar"/>
              </w:rPr>
              <w:t>、</w:t>
            </w:r>
            <w:r>
              <w:rPr>
                <w:rFonts w:hint="default" w:ascii="Times New Roman" w:hAnsi="Times New Roman" w:eastAsia="仿宋_GB2312" w:cs="Times New Roman"/>
                <w:b w:val="0"/>
                <w:bCs w:val="0"/>
                <w:color w:val="auto"/>
                <w:kern w:val="0"/>
                <w:sz w:val="24"/>
                <w:szCs w:val="24"/>
                <w:lang w:bidi="ar"/>
              </w:rPr>
              <w:t>国家深海能源与空间利用技术创新中心</w:t>
            </w:r>
            <w:r>
              <w:rPr>
                <w:rFonts w:hint="default" w:ascii="Times New Roman" w:hAnsi="Times New Roman" w:eastAsia="仿宋_GB2312" w:cs="Times New Roman"/>
                <w:b w:val="0"/>
                <w:bCs w:val="0"/>
                <w:color w:val="auto"/>
                <w:kern w:val="0"/>
                <w:sz w:val="24"/>
                <w:szCs w:val="24"/>
                <w:lang w:eastAsia="zh-CN" w:bidi="ar"/>
              </w:rPr>
              <w:t>、</w:t>
            </w:r>
            <w:r>
              <w:rPr>
                <w:rFonts w:hint="default" w:ascii="Times New Roman" w:hAnsi="Times New Roman" w:eastAsia="仿宋_GB2312" w:cs="Times New Roman"/>
                <w:b w:val="0"/>
                <w:bCs w:val="0"/>
                <w:color w:val="auto"/>
                <w:kern w:val="0"/>
                <w:sz w:val="24"/>
                <w:szCs w:val="24"/>
                <w:lang w:bidi="ar"/>
              </w:rPr>
              <w:t>南山港国际深远海公共科考母港</w:t>
            </w:r>
            <w:r>
              <w:rPr>
                <w:rFonts w:hint="default" w:ascii="Times New Roman" w:hAnsi="Times New Roman" w:eastAsia="仿宋_GB2312" w:cs="Times New Roman"/>
                <w:b w:val="0"/>
                <w:bCs w:val="0"/>
                <w:color w:val="auto"/>
                <w:kern w:val="0"/>
                <w:sz w:val="24"/>
                <w:szCs w:val="24"/>
                <w:lang w:val="en-US" w:eastAsia="zh-CN" w:bidi="ar"/>
              </w:rPr>
              <w:t>等，</w:t>
            </w:r>
            <w:r>
              <w:rPr>
                <w:rFonts w:hint="default" w:ascii="Times New Roman" w:hAnsi="Times New Roman" w:eastAsia="仿宋_GB2312" w:cs="Times New Roman"/>
                <w:b w:val="0"/>
                <w:bCs w:val="0"/>
                <w:color w:val="auto"/>
                <w:kern w:val="0"/>
                <w:sz w:val="24"/>
                <w:szCs w:val="24"/>
                <w:lang w:bidi="ar"/>
              </w:rPr>
              <w:t>推进深海领域公共平台建设</w:t>
            </w:r>
            <w:r>
              <w:rPr>
                <w:rFonts w:hint="default" w:ascii="Times New Roman" w:hAnsi="Times New Roman" w:eastAsia="仿宋_GB2312" w:cs="Times New Roman"/>
                <w:b w:val="0"/>
                <w:bCs w:val="0"/>
                <w:color w:val="auto"/>
                <w:kern w:val="0"/>
                <w:sz w:val="24"/>
                <w:szCs w:val="24"/>
                <w:lang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1" w:firstLineChars="200"/>
              <w:textAlignment w:val="auto"/>
              <w:rPr>
                <w:rFonts w:hint="default" w:ascii="Times New Roman" w:hAnsi="Times New Roman" w:eastAsia="仿宋_GB2312" w:cs="Times New Roman"/>
                <w:b w:val="0"/>
                <w:bCs w:val="0"/>
                <w:color w:val="auto"/>
                <w:kern w:val="0"/>
                <w:sz w:val="24"/>
                <w:szCs w:val="24"/>
                <w:lang w:eastAsia="zh-CN" w:bidi="ar"/>
              </w:rPr>
            </w:pPr>
            <w:r>
              <w:rPr>
                <w:rFonts w:hint="eastAsia" w:eastAsia="仿宋_GB2312" w:cs="Times New Roman"/>
                <w:b/>
                <w:bCs/>
                <w:color w:val="auto"/>
                <w:kern w:val="0"/>
                <w:sz w:val="24"/>
                <w:szCs w:val="24"/>
                <w:lang w:val="en-US" w:eastAsia="zh-CN" w:bidi="ar"/>
              </w:rPr>
              <w:t>3</w:t>
            </w:r>
            <w:r>
              <w:rPr>
                <w:rFonts w:hint="default" w:ascii="Times New Roman" w:hAnsi="Times New Roman" w:eastAsia="仿宋_GB2312" w:cs="Times New Roman"/>
                <w:b/>
                <w:bCs/>
                <w:color w:val="auto"/>
                <w:kern w:val="0"/>
                <w:sz w:val="24"/>
                <w:szCs w:val="24"/>
                <w:lang w:val="en-US" w:eastAsia="zh-CN" w:bidi="ar"/>
              </w:rPr>
              <w:t>.</w:t>
            </w:r>
            <w:r>
              <w:rPr>
                <w:rFonts w:hint="default" w:ascii="Times New Roman" w:hAnsi="Times New Roman" w:eastAsia="仿宋_GB2312" w:cs="Times New Roman"/>
                <w:b/>
                <w:bCs/>
                <w:color w:val="auto"/>
                <w:kern w:val="0"/>
                <w:sz w:val="24"/>
                <w:szCs w:val="24"/>
                <w:lang w:bidi="ar"/>
              </w:rPr>
              <w:t>海洋渔业转型升级重点工程</w:t>
            </w:r>
            <w:r>
              <w:rPr>
                <w:rFonts w:hint="default" w:ascii="Times New Roman" w:hAnsi="Times New Roman" w:eastAsia="仿宋_GB2312" w:cs="Times New Roman"/>
                <w:b w:val="0"/>
                <w:bCs w:val="0"/>
                <w:color w:val="auto"/>
                <w:kern w:val="0"/>
                <w:sz w:val="24"/>
                <w:szCs w:val="24"/>
                <w:lang w:eastAsia="zh-CN" w:bidi="ar"/>
              </w:rPr>
              <w:t>。</w:t>
            </w:r>
            <w:r>
              <w:rPr>
                <w:rFonts w:hint="default" w:ascii="Times New Roman" w:hAnsi="Times New Roman" w:eastAsia="仿宋_GB2312" w:cs="Times New Roman"/>
                <w:b w:val="0"/>
                <w:bCs w:val="0"/>
                <w:color w:val="auto"/>
                <w:kern w:val="0"/>
                <w:sz w:val="24"/>
                <w:szCs w:val="24"/>
                <w:lang w:val="en-US" w:eastAsia="zh-CN" w:bidi="ar"/>
              </w:rPr>
              <w:t>推动</w:t>
            </w:r>
            <w:r>
              <w:rPr>
                <w:rFonts w:hint="default" w:ascii="Times New Roman" w:hAnsi="Times New Roman" w:eastAsia="仿宋_GB2312" w:cs="Times New Roman"/>
                <w:b w:val="0"/>
                <w:bCs w:val="0"/>
                <w:color w:val="auto"/>
                <w:kern w:val="0"/>
                <w:sz w:val="24"/>
                <w:szCs w:val="24"/>
                <w:lang w:bidi="ar"/>
              </w:rPr>
              <w:t>海洋牧场提质工程</w:t>
            </w:r>
            <w:r>
              <w:rPr>
                <w:rFonts w:hint="default" w:ascii="Times New Roman" w:hAnsi="Times New Roman" w:eastAsia="仿宋_GB2312" w:cs="Times New Roman"/>
                <w:b w:val="0"/>
                <w:bCs w:val="0"/>
                <w:color w:val="auto"/>
                <w:kern w:val="0"/>
                <w:sz w:val="24"/>
                <w:szCs w:val="24"/>
                <w:lang w:eastAsia="zh-CN" w:bidi="ar"/>
              </w:rPr>
              <w:t>、</w:t>
            </w:r>
            <w:r>
              <w:rPr>
                <w:rFonts w:hint="default" w:ascii="Times New Roman" w:hAnsi="Times New Roman" w:eastAsia="仿宋_GB2312" w:cs="Times New Roman"/>
                <w:b w:val="0"/>
                <w:bCs w:val="0"/>
                <w:color w:val="auto"/>
                <w:kern w:val="0"/>
                <w:sz w:val="24"/>
                <w:szCs w:val="24"/>
                <w:lang w:bidi="ar"/>
              </w:rPr>
              <w:t>深远海养殖拓展工程</w:t>
            </w:r>
            <w:r>
              <w:rPr>
                <w:rFonts w:hint="default" w:ascii="Times New Roman" w:hAnsi="Times New Roman" w:eastAsia="仿宋_GB2312" w:cs="Times New Roman"/>
                <w:b w:val="0"/>
                <w:bCs w:val="0"/>
                <w:color w:val="auto"/>
                <w:kern w:val="0"/>
                <w:sz w:val="24"/>
                <w:szCs w:val="24"/>
                <w:lang w:eastAsia="zh-CN" w:bidi="ar"/>
              </w:rPr>
              <w:t>，</w:t>
            </w:r>
            <w:r>
              <w:rPr>
                <w:rFonts w:hint="default" w:ascii="Times New Roman" w:hAnsi="Times New Roman" w:eastAsia="仿宋_GB2312" w:cs="Times New Roman"/>
                <w:b w:val="0"/>
                <w:bCs w:val="0"/>
                <w:color w:val="auto"/>
                <w:kern w:val="0"/>
                <w:sz w:val="24"/>
                <w:szCs w:val="24"/>
                <w:lang w:bidi="ar"/>
              </w:rPr>
              <w:t>打造产学研融合的现代化海洋牧场教学与科研平台</w:t>
            </w:r>
            <w:r>
              <w:rPr>
                <w:rFonts w:hint="default" w:ascii="Times New Roman" w:hAnsi="Times New Roman" w:eastAsia="仿宋_GB2312" w:cs="Times New Roman"/>
                <w:b w:val="0"/>
                <w:bCs w:val="0"/>
                <w:color w:val="auto"/>
                <w:kern w:val="0"/>
                <w:sz w:val="24"/>
                <w:szCs w:val="24"/>
                <w:lang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1" w:firstLineChars="200"/>
              <w:textAlignment w:val="auto"/>
              <w:rPr>
                <w:rFonts w:hint="default" w:ascii="Times New Roman" w:hAnsi="Times New Roman" w:eastAsia="仿宋_GB2312" w:cs="Times New Roman"/>
                <w:b w:val="0"/>
                <w:bCs w:val="0"/>
                <w:color w:val="auto"/>
                <w:kern w:val="0"/>
                <w:sz w:val="24"/>
                <w:szCs w:val="24"/>
                <w:lang w:eastAsia="zh-CN" w:bidi="ar"/>
              </w:rPr>
            </w:pPr>
            <w:r>
              <w:rPr>
                <w:rFonts w:hint="eastAsia" w:eastAsia="仿宋_GB2312" w:cs="Times New Roman"/>
                <w:b/>
                <w:bCs/>
                <w:color w:val="auto"/>
                <w:kern w:val="0"/>
                <w:sz w:val="24"/>
                <w:szCs w:val="24"/>
                <w:lang w:val="en-US" w:eastAsia="zh-CN" w:bidi="ar"/>
              </w:rPr>
              <w:t>4</w:t>
            </w:r>
            <w:r>
              <w:rPr>
                <w:rFonts w:hint="default" w:ascii="Times New Roman" w:hAnsi="Times New Roman" w:eastAsia="仿宋_GB2312" w:cs="Times New Roman"/>
                <w:b/>
                <w:bCs/>
                <w:color w:val="auto"/>
                <w:kern w:val="0"/>
                <w:sz w:val="24"/>
                <w:szCs w:val="24"/>
                <w:lang w:val="en-US" w:eastAsia="zh-CN" w:bidi="ar"/>
              </w:rPr>
              <w:t>.</w:t>
            </w:r>
            <w:r>
              <w:rPr>
                <w:rFonts w:hint="default" w:ascii="Times New Roman" w:hAnsi="Times New Roman" w:eastAsia="仿宋_GB2312" w:cs="Times New Roman"/>
                <w:b/>
                <w:bCs/>
                <w:color w:val="auto"/>
                <w:kern w:val="0"/>
                <w:sz w:val="24"/>
                <w:szCs w:val="24"/>
                <w:lang w:bidi="ar"/>
              </w:rPr>
              <w:t>海洋生态文明建设重点工程</w:t>
            </w:r>
            <w:r>
              <w:rPr>
                <w:rFonts w:hint="default" w:ascii="Times New Roman" w:hAnsi="Times New Roman" w:eastAsia="仿宋_GB2312" w:cs="Times New Roman"/>
                <w:b w:val="0"/>
                <w:bCs w:val="0"/>
                <w:color w:val="auto"/>
                <w:kern w:val="0"/>
                <w:sz w:val="24"/>
                <w:szCs w:val="24"/>
                <w:lang w:eastAsia="zh-CN" w:bidi="ar"/>
              </w:rPr>
              <w:t>。</w:t>
            </w:r>
            <w:r>
              <w:rPr>
                <w:rFonts w:hint="default" w:ascii="Times New Roman" w:hAnsi="Times New Roman" w:eastAsia="仿宋_GB2312" w:cs="Times New Roman"/>
                <w:b w:val="0"/>
                <w:bCs w:val="0"/>
                <w:color w:val="auto"/>
                <w:kern w:val="0"/>
                <w:sz w:val="24"/>
                <w:szCs w:val="24"/>
                <w:lang w:bidi="ar"/>
              </w:rPr>
              <w:t>实施生态修复与蓝碳工程</w:t>
            </w:r>
            <w:r>
              <w:rPr>
                <w:rFonts w:hint="default" w:ascii="Times New Roman" w:hAnsi="Times New Roman" w:eastAsia="仿宋_GB2312" w:cs="Times New Roman"/>
                <w:b w:val="0"/>
                <w:bCs w:val="0"/>
                <w:color w:val="auto"/>
                <w:kern w:val="0"/>
                <w:sz w:val="24"/>
                <w:szCs w:val="24"/>
                <w:lang w:eastAsia="zh-CN" w:bidi="ar"/>
              </w:rPr>
              <w:t>，</w:t>
            </w:r>
            <w:r>
              <w:rPr>
                <w:rFonts w:hint="default" w:ascii="Times New Roman" w:hAnsi="Times New Roman" w:eastAsia="仿宋_GB2312" w:cs="Times New Roman"/>
                <w:b w:val="0"/>
                <w:bCs w:val="0"/>
                <w:color w:val="auto"/>
                <w:kern w:val="0"/>
                <w:sz w:val="24"/>
                <w:szCs w:val="24"/>
                <w:lang w:bidi="ar"/>
              </w:rPr>
              <w:t>推进三亚市美丽城市建设项目</w:t>
            </w:r>
            <w:r>
              <w:rPr>
                <w:rFonts w:hint="default" w:ascii="Times New Roman" w:hAnsi="Times New Roman" w:eastAsia="仿宋_GB2312" w:cs="Times New Roman"/>
                <w:b w:val="0"/>
                <w:bCs w:val="0"/>
                <w:color w:val="auto"/>
                <w:kern w:val="0"/>
                <w:sz w:val="24"/>
                <w:szCs w:val="24"/>
                <w:lang w:eastAsia="zh-CN" w:bidi="ar"/>
              </w:rPr>
              <w:t>；</w:t>
            </w:r>
            <w:r>
              <w:rPr>
                <w:rFonts w:hint="default" w:ascii="Times New Roman" w:hAnsi="Times New Roman" w:eastAsia="仿宋_GB2312" w:cs="Times New Roman"/>
                <w:b w:val="0"/>
                <w:bCs w:val="0"/>
                <w:color w:val="auto"/>
                <w:kern w:val="0"/>
                <w:sz w:val="24"/>
                <w:szCs w:val="24"/>
                <w:lang w:bidi="ar"/>
              </w:rPr>
              <w:t>建设南中国海区域海啸预警中心（海南）</w:t>
            </w:r>
            <w:r>
              <w:rPr>
                <w:rFonts w:hint="default" w:ascii="Times New Roman" w:hAnsi="Times New Roman" w:eastAsia="仿宋_GB2312" w:cs="Times New Roman"/>
                <w:b w:val="0"/>
                <w:bCs w:val="0"/>
                <w:color w:val="auto"/>
                <w:kern w:val="0"/>
                <w:sz w:val="24"/>
                <w:szCs w:val="24"/>
                <w:lang w:eastAsia="zh-CN" w:bidi="ar"/>
              </w:rPr>
              <w:t>，</w:t>
            </w:r>
            <w:r>
              <w:rPr>
                <w:rFonts w:hint="default" w:ascii="Times New Roman" w:hAnsi="Times New Roman" w:eastAsia="仿宋_GB2312" w:cs="Times New Roman"/>
                <w:b w:val="0"/>
                <w:bCs w:val="0"/>
                <w:color w:val="auto"/>
                <w:kern w:val="0"/>
                <w:sz w:val="24"/>
                <w:szCs w:val="24"/>
                <w:lang w:bidi="ar"/>
              </w:rPr>
              <w:t>提升海洋环境监测与预警能力</w:t>
            </w:r>
            <w:r>
              <w:rPr>
                <w:rFonts w:hint="default" w:ascii="Times New Roman" w:hAnsi="Times New Roman" w:eastAsia="仿宋_GB2312" w:cs="Times New Roman"/>
                <w:b w:val="0"/>
                <w:bCs w:val="0"/>
                <w:color w:val="auto"/>
                <w:kern w:val="0"/>
                <w:sz w:val="24"/>
                <w:szCs w:val="24"/>
                <w:lang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1" w:firstLineChars="200"/>
              <w:textAlignment w:val="auto"/>
              <w:rPr>
                <w:rFonts w:hint="default" w:ascii="Times New Roman" w:hAnsi="Times New Roman" w:eastAsia="仿宋_GB2312" w:cs="Times New Roman"/>
                <w:b w:val="0"/>
                <w:bCs w:val="0"/>
                <w:color w:val="auto"/>
                <w:kern w:val="0"/>
                <w:sz w:val="24"/>
                <w:szCs w:val="24"/>
                <w:lang w:eastAsia="zh-CN" w:bidi="ar"/>
              </w:rPr>
            </w:pPr>
            <w:r>
              <w:rPr>
                <w:rFonts w:hint="eastAsia" w:eastAsia="仿宋_GB2312" w:cs="Times New Roman"/>
                <w:b/>
                <w:bCs/>
                <w:color w:val="auto"/>
                <w:kern w:val="0"/>
                <w:sz w:val="24"/>
                <w:szCs w:val="24"/>
                <w:lang w:val="en-US" w:eastAsia="zh-CN" w:bidi="ar"/>
              </w:rPr>
              <w:t>5</w:t>
            </w:r>
            <w:r>
              <w:rPr>
                <w:rFonts w:hint="default" w:ascii="Times New Roman" w:hAnsi="Times New Roman" w:eastAsia="仿宋_GB2312" w:cs="Times New Roman"/>
                <w:b/>
                <w:bCs/>
                <w:color w:val="auto"/>
                <w:kern w:val="0"/>
                <w:sz w:val="24"/>
                <w:szCs w:val="24"/>
                <w:lang w:val="en-US" w:eastAsia="zh-CN" w:bidi="ar"/>
              </w:rPr>
              <w:t>.</w:t>
            </w:r>
            <w:r>
              <w:rPr>
                <w:rFonts w:hint="default" w:ascii="Times New Roman" w:hAnsi="Times New Roman" w:eastAsia="仿宋_GB2312" w:cs="Times New Roman"/>
                <w:b/>
                <w:bCs/>
                <w:color w:val="auto"/>
                <w:kern w:val="0"/>
                <w:sz w:val="24"/>
                <w:szCs w:val="24"/>
                <w:lang w:bidi="ar"/>
              </w:rPr>
              <w:t>海洋文化融合重点工程</w:t>
            </w:r>
            <w:r>
              <w:rPr>
                <w:rFonts w:hint="default" w:ascii="Times New Roman" w:hAnsi="Times New Roman" w:eastAsia="仿宋_GB2312" w:cs="Times New Roman"/>
                <w:b w:val="0"/>
                <w:bCs w:val="0"/>
                <w:color w:val="auto"/>
                <w:kern w:val="0"/>
                <w:sz w:val="24"/>
                <w:szCs w:val="24"/>
                <w:lang w:eastAsia="zh-CN" w:bidi="ar"/>
              </w:rPr>
              <w:t>。</w:t>
            </w:r>
            <w:r>
              <w:rPr>
                <w:rFonts w:hint="default" w:ascii="Times New Roman" w:hAnsi="Times New Roman" w:eastAsia="仿宋_GB2312" w:cs="Times New Roman"/>
                <w:b w:val="0"/>
                <w:bCs w:val="0"/>
                <w:color w:val="auto"/>
                <w:kern w:val="0"/>
                <w:sz w:val="24"/>
                <w:szCs w:val="24"/>
                <w:lang w:bidi="ar"/>
              </w:rPr>
              <w:t>推进海上丝绸之路大疍港遗址文化保护展示街区项目，建设集鉴真东渡文化、黄道婆文化、大疍港港口文化以及崖州区历史文化和海洋文化为主题的海上丝绸之路文化保护和展示街区</w:t>
            </w:r>
            <w:r>
              <w:rPr>
                <w:rFonts w:hint="default" w:ascii="Times New Roman" w:hAnsi="Times New Roman" w:eastAsia="仿宋_GB2312" w:cs="Times New Roman"/>
                <w:b w:val="0"/>
                <w:bCs w:val="0"/>
                <w:color w:val="auto"/>
                <w:kern w:val="0"/>
                <w:sz w:val="24"/>
                <w:szCs w:val="24"/>
                <w:lang w:eastAsia="zh-CN" w:bidi="ar"/>
              </w:rPr>
              <w:t>；</w:t>
            </w:r>
            <w:r>
              <w:rPr>
                <w:rFonts w:hint="default" w:ascii="Times New Roman" w:hAnsi="Times New Roman" w:eastAsia="仿宋_GB2312" w:cs="Times New Roman"/>
                <w:b w:val="0"/>
                <w:bCs w:val="0"/>
                <w:color w:val="auto"/>
                <w:kern w:val="0"/>
                <w:sz w:val="24"/>
                <w:szCs w:val="24"/>
                <w:lang w:bidi="ar"/>
              </w:rPr>
              <w:t>建设中国海南国际文物艺术品交易中心、海南国际文化交流中心、国际文物艺术品保税仓，打造国际高端文化交流平台。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1" w:firstLineChars="200"/>
              <w:textAlignment w:val="auto"/>
              <w:rPr>
                <w:rFonts w:hint="default" w:ascii="Times New Roman" w:hAnsi="Times New Roman" w:eastAsia="仿宋_GB2312" w:cs="Times New Roman"/>
                <w:color w:val="auto"/>
                <w:kern w:val="0"/>
                <w:sz w:val="32"/>
                <w:szCs w:val="32"/>
                <w:lang w:bidi="ar"/>
              </w:rPr>
            </w:pPr>
            <w:r>
              <w:rPr>
                <w:rFonts w:hint="eastAsia" w:eastAsia="仿宋_GB2312" w:cs="Times New Roman"/>
                <w:b/>
                <w:bCs/>
                <w:color w:val="auto"/>
                <w:kern w:val="0"/>
                <w:sz w:val="24"/>
                <w:szCs w:val="24"/>
                <w:lang w:val="en-US" w:eastAsia="zh-CN" w:bidi="ar"/>
              </w:rPr>
              <w:t>6</w:t>
            </w:r>
            <w:r>
              <w:rPr>
                <w:rFonts w:hint="default" w:ascii="Times New Roman" w:hAnsi="Times New Roman" w:eastAsia="仿宋_GB2312" w:cs="Times New Roman"/>
                <w:b/>
                <w:bCs/>
                <w:color w:val="auto"/>
                <w:kern w:val="0"/>
                <w:sz w:val="24"/>
                <w:szCs w:val="24"/>
                <w:lang w:val="en-US" w:eastAsia="zh-CN" w:bidi="ar"/>
              </w:rPr>
              <w:t>.码头配套建设重点工程</w:t>
            </w:r>
            <w:r>
              <w:rPr>
                <w:rFonts w:hint="default" w:ascii="Times New Roman" w:hAnsi="Times New Roman" w:eastAsia="仿宋_GB2312" w:cs="Times New Roman"/>
                <w:b w:val="0"/>
                <w:bCs w:val="0"/>
                <w:color w:val="auto"/>
                <w:kern w:val="0"/>
                <w:sz w:val="24"/>
                <w:szCs w:val="24"/>
                <w:lang w:val="en-US" w:eastAsia="zh-CN" w:bidi="ar"/>
              </w:rPr>
              <w:t>。</w:t>
            </w:r>
            <w:r>
              <w:rPr>
                <w:rFonts w:hint="default" w:ascii="Times New Roman" w:hAnsi="Times New Roman" w:eastAsia="仿宋_GB2312" w:cs="Times New Roman"/>
                <w:b w:val="0"/>
                <w:bCs w:val="0"/>
                <w:color w:val="auto"/>
                <w:kern w:val="0"/>
                <w:sz w:val="24"/>
                <w:szCs w:val="24"/>
                <w:lang w:bidi="ar"/>
              </w:rPr>
              <w:t>推进深远海养殖配套码头及陆域保障设施规划建设，配套完善岸基养殖工船停靠、饲料储运、冷链物流等设施，在崖州湾至红塘湾一带建设渔业养殖码头及其配套设施</w:t>
            </w:r>
            <w:r>
              <w:rPr>
                <w:rFonts w:hint="default" w:ascii="Times New Roman" w:hAnsi="Times New Roman" w:eastAsia="仿宋_GB2312" w:cs="Times New Roman"/>
                <w:b w:val="0"/>
                <w:bCs w:val="0"/>
                <w:color w:val="auto"/>
                <w:kern w:val="0"/>
                <w:sz w:val="24"/>
                <w:szCs w:val="24"/>
                <w:lang w:val="en-US" w:eastAsia="zh-CN" w:bidi="ar"/>
              </w:rPr>
              <w:t>，</w:t>
            </w:r>
            <w:r>
              <w:rPr>
                <w:rFonts w:hint="default" w:ascii="Times New Roman" w:hAnsi="Times New Roman" w:eastAsia="仿宋_GB2312" w:cs="Times New Roman"/>
                <w:b w:val="0"/>
                <w:bCs w:val="0"/>
                <w:color w:val="auto"/>
                <w:kern w:val="0"/>
                <w:sz w:val="24"/>
                <w:szCs w:val="24"/>
                <w:lang w:bidi="ar"/>
              </w:rPr>
              <w:t>实施三亚市角头湾渔港建设、崖州湾养殖海域防护配套等项目。</w:t>
            </w:r>
          </w:p>
        </w:tc>
      </w:tr>
    </w:tbl>
    <w:p>
      <w:pPr>
        <w:spacing w:line="560" w:lineRule="exact"/>
        <w:ind w:firstLine="640" w:firstLineChars="200"/>
        <w:rPr>
          <w:rFonts w:hint="default" w:ascii="Times New Roman" w:hAnsi="Times New Roman" w:eastAsia="仿宋_GB2312" w:cs="Times New Roman"/>
          <w:color w:val="auto"/>
          <w:sz w:val="32"/>
          <w:szCs w:val="32"/>
        </w:rPr>
      </w:pPr>
    </w:p>
    <w:p>
      <w:pPr>
        <w:pStyle w:val="4"/>
        <w:spacing w:after="156" w:afterLines="50" w:line="560" w:lineRule="exact"/>
        <w:rPr>
          <w:rFonts w:hint="default" w:ascii="Times New Roman" w:hAnsi="Times New Roman" w:cs="Times New Roman"/>
          <w:color w:val="auto"/>
          <w:szCs w:val="32"/>
        </w:rPr>
      </w:pPr>
      <w:bookmarkStart w:id="464" w:name="_Toc2029104051"/>
      <w:bookmarkStart w:id="465" w:name="_Toc815232742"/>
      <w:r>
        <w:rPr>
          <w:rFonts w:hint="default" w:ascii="Times New Roman" w:hAnsi="Times New Roman" w:cs="Times New Roman"/>
          <w:color w:val="auto"/>
          <w:szCs w:val="32"/>
        </w:rPr>
        <w:t>第八章  推进国土空间生态保护修复提质增效</w:t>
      </w:r>
      <w:bookmarkEnd w:id="464"/>
      <w:bookmarkEnd w:id="465"/>
    </w:p>
    <w:p>
      <w:pPr>
        <w:spacing w:line="560" w:lineRule="exact"/>
        <w:ind w:firstLine="640" w:firstLineChars="200"/>
        <w:rPr>
          <w:rFonts w:hint="default" w:ascii="Times New Roman" w:hAnsi="Times New Roman" w:eastAsia="仿宋_GB2312" w:cs="Times New Roman"/>
          <w:color w:val="auto"/>
          <w:sz w:val="32"/>
          <w:szCs w:val="32"/>
        </w:rPr>
      </w:pPr>
    </w:p>
    <w:p>
      <w:pPr>
        <w:pStyle w:val="5"/>
        <w:spacing w:line="560" w:lineRule="exact"/>
        <w:jc w:val="center"/>
        <w:rPr>
          <w:rFonts w:hint="default" w:ascii="Times New Roman" w:hAnsi="Times New Roman" w:eastAsia="楷体_GB2312" w:cs="Times New Roman"/>
          <w:b w:val="0"/>
          <w:bCs w:val="0"/>
          <w:color w:val="auto"/>
        </w:rPr>
      </w:pPr>
      <w:bookmarkStart w:id="466" w:name="_Toc76997659"/>
      <w:bookmarkStart w:id="467" w:name="_Toc1667729540"/>
      <w:r>
        <w:rPr>
          <w:rFonts w:hint="default" w:ascii="Times New Roman" w:hAnsi="Times New Roman" w:eastAsia="楷体_GB2312" w:cs="Times New Roman"/>
          <w:b w:val="0"/>
          <w:bCs w:val="0"/>
          <w:color w:val="auto"/>
        </w:rPr>
        <w:t>第一节  做好生态保护修复及系统治理</w:t>
      </w:r>
      <w:bookmarkEnd w:id="466"/>
      <w:bookmarkEnd w:id="467"/>
    </w:p>
    <w:p>
      <w:pPr>
        <w:spacing w:line="560" w:lineRule="exact"/>
        <w:ind w:firstLine="642"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推进山水林田湖草沙海一体化保护修复</w:t>
      </w:r>
      <w:r>
        <w:rPr>
          <w:rFonts w:hint="default" w:ascii="Times New Roman" w:hAnsi="Times New Roman" w:eastAsia="仿宋_GB2312" w:cs="Times New Roman"/>
          <w:color w:val="auto"/>
          <w:sz w:val="32"/>
          <w:szCs w:val="32"/>
        </w:rPr>
        <w:t>。以北部热带自然保护地为核心，以海岸带和近岸海域为支撑，以重要河流为廊道，构建“一心、一带、三廊、多点”国土空间生态保护修复总体格局。统筹推进北部山区丘陵生态功能提升区、生态农业修复发展区、城市生态修复和品质提升区、海岸带及海洋生态系统修复区及河流廊道生态治理区生态修复，加强近岸海域、海岸带、潮间带与陆地生态系统良好接续，协同推进降碳、减污、扩绿、增长，探索建立“从山顶到海洋”系统性生态保护修复路径。坚持“保护保育、自然恢复、辅助再生、生态重建”相结合，加强红树林、珊瑚礁、海草床等滨海生态系统保护修复，守护山海生态本底，提升生态系统多样性、稳定性、持续性。推动生态修复项目精细管理，健全长效管护机制，提高生态治理资金使用效益，确保安全可靠、节约集约。</w:t>
      </w:r>
    </w:p>
    <w:p>
      <w:pPr>
        <w:spacing w:line="560" w:lineRule="exact"/>
        <w:ind w:firstLine="642"/>
        <w:rPr>
          <w:rFonts w:hint="default" w:ascii="Times New Roman" w:hAnsi="Times New Roman" w:eastAsia="仿宋_GB2312" w:cs="Times New Roman"/>
          <w:color w:val="auto"/>
          <w:sz w:val="32"/>
          <w:szCs w:val="32"/>
        </w:rPr>
      </w:pPr>
      <w:bookmarkStart w:id="468" w:name="_Toc18505"/>
      <w:r>
        <w:rPr>
          <w:rFonts w:hint="default" w:ascii="Times New Roman" w:hAnsi="Times New Roman" w:eastAsia="仿宋_GB2312" w:cs="Times New Roman"/>
          <w:b/>
          <w:bCs/>
          <w:color w:val="auto"/>
          <w:sz w:val="32"/>
          <w:szCs w:val="32"/>
        </w:rPr>
        <w:t>建立健全生态保护修复治理机制</w:t>
      </w:r>
      <w:bookmarkEnd w:id="468"/>
      <w:r>
        <w:rPr>
          <w:rFonts w:hint="default" w:ascii="Times New Roman" w:hAnsi="Times New Roman" w:eastAsia="仿宋_GB2312" w:cs="Times New Roman"/>
          <w:b w:val="0"/>
          <w:bCs w:val="0"/>
          <w:color w:val="auto"/>
          <w:sz w:val="32"/>
          <w:szCs w:val="32"/>
        </w:rPr>
        <w:t>。做好“山、河、海”生态修复与海绵城市建设的结合，构建“源头消减、过程控制、末端修复”系统治理及管控体系。</w:t>
      </w:r>
      <w:r>
        <w:rPr>
          <w:rFonts w:hint="default" w:ascii="Times New Roman" w:hAnsi="Times New Roman" w:eastAsia="仿宋_GB2312" w:cs="Times New Roman"/>
          <w:color w:val="auto"/>
          <w:sz w:val="32"/>
          <w:szCs w:val="32"/>
        </w:rPr>
        <w:t>创新自然资源开发保护政策、财政扶持政策以及金融支持政策，积极引入社会资本，建立健全山水林田湖草沙海系统修复和综合治理机制，构建政府为主导、企业为主体、社会组织和公众共同参与的生态保护修复路径，</w:t>
      </w:r>
      <w:r>
        <w:rPr>
          <w:rFonts w:hint="default" w:ascii="Times New Roman" w:hAnsi="Times New Roman" w:eastAsia="仿宋_GB2312" w:cs="Times New Roman"/>
          <w:b w:val="0"/>
          <w:color w:val="auto"/>
          <w:sz w:val="32"/>
          <w:szCs w:val="32"/>
        </w:rPr>
        <w:t>深化赤田水库流域跨区域生态保护补偿机制建设</w:t>
      </w:r>
      <w:r>
        <w:rPr>
          <w:rFonts w:hint="default" w:ascii="Times New Roman" w:hAnsi="Times New Roman" w:eastAsia="仿宋_GB2312" w:cs="Times New Roman"/>
          <w:color w:val="auto"/>
          <w:sz w:val="32"/>
          <w:szCs w:val="32"/>
        </w:rPr>
        <w:t>。建立山水林田湖草沙海一体化保护和系统治理考核评价体系，开展动态监测监管和后期生态修复成效跟踪评估。系统总结南部山水工程</w:t>
      </w:r>
      <w:r>
        <w:rPr>
          <w:rFonts w:hint="default" w:ascii="Times New Roman" w:hAnsi="Times New Roman" w:eastAsia="仿宋_GB2312" w:cs="Times New Roman"/>
          <w:color w:val="auto"/>
          <w:sz w:val="32"/>
          <w:szCs w:val="32"/>
          <w:lang w:eastAsia="zh-CN"/>
        </w:rPr>
        <w:t>生态修复治理经验，健全长效管护机制</w:t>
      </w:r>
      <w:r>
        <w:rPr>
          <w:rFonts w:hint="default" w:ascii="Times New Roman" w:hAnsi="Times New Roman" w:eastAsia="仿宋_GB2312" w:cs="Times New Roman"/>
          <w:color w:val="auto"/>
          <w:sz w:val="32"/>
          <w:szCs w:val="32"/>
        </w:rPr>
        <w:t>，打造</w:t>
      </w:r>
      <w:r>
        <w:rPr>
          <w:rFonts w:hint="default" w:ascii="Times New Roman" w:hAnsi="Times New Roman" w:eastAsia="仿宋_GB2312" w:cs="Times New Roman"/>
          <w:color w:val="auto"/>
          <w:sz w:val="32"/>
          <w:szCs w:val="32"/>
          <w:lang w:eastAsia="zh-CN"/>
        </w:rPr>
        <w:t>全省生态标杆项目</w:t>
      </w:r>
      <w:r>
        <w:rPr>
          <w:rFonts w:hint="default" w:ascii="Times New Roman" w:hAnsi="Times New Roman" w:eastAsia="仿宋_GB2312" w:cs="Times New Roman"/>
          <w:color w:val="auto"/>
          <w:sz w:val="32"/>
          <w:szCs w:val="32"/>
        </w:rPr>
        <w:t>。</w:t>
      </w:r>
    </w:p>
    <w:p>
      <w:pPr>
        <w:pStyle w:val="5"/>
        <w:spacing w:line="560" w:lineRule="exact"/>
        <w:jc w:val="center"/>
        <w:rPr>
          <w:rFonts w:hint="default" w:ascii="Times New Roman" w:hAnsi="Times New Roman" w:eastAsia="楷体_GB2312" w:cs="Times New Roman"/>
          <w:b w:val="0"/>
          <w:bCs w:val="0"/>
          <w:color w:val="auto"/>
        </w:rPr>
      </w:pPr>
      <w:bookmarkStart w:id="469" w:name="_Toc603976031"/>
      <w:bookmarkStart w:id="470" w:name="_Toc691705815"/>
      <w:r>
        <w:rPr>
          <w:rFonts w:hint="default" w:ascii="Times New Roman" w:hAnsi="Times New Roman" w:eastAsia="楷体_GB2312" w:cs="Times New Roman"/>
          <w:b w:val="0"/>
          <w:bCs w:val="0"/>
          <w:color w:val="auto"/>
        </w:rPr>
        <w:t>第二节  持续推进海洋生态保护修复</w:t>
      </w:r>
      <w:bookmarkEnd w:id="469"/>
      <w:bookmarkEnd w:id="470"/>
    </w:p>
    <w:p>
      <w:pPr>
        <w:spacing w:line="560" w:lineRule="exact"/>
        <w:ind w:firstLine="642" w:firstLineChars="200"/>
        <w:rPr>
          <w:rFonts w:hint="default" w:ascii="Times New Roman" w:hAnsi="Times New Roman" w:eastAsia="仿宋_GB2312" w:cs="Times New Roman"/>
          <w:b/>
          <w:bCs/>
          <w:color w:val="auto"/>
          <w:sz w:val="32"/>
          <w:szCs w:val="32"/>
          <w:lang w:val="en"/>
        </w:rPr>
      </w:pPr>
      <w:r>
        <w:rPr>
          <w:rFonts w:hint="default" w:ascii="Times New Roman" w:hAnsi="Times New Roman" w:eastAsia="仿宋_GB2312" w:cs="Times New Roman"/>
          <w:b/>
          <w:bCs/>
          <w:color w:val="auto"/>
          <w:sz w:val="32"/>
          <w:szCs w:val="32"/>
        </w:rPr>
        <w:t>加强海岸线生态保护修复</w:t>
      </w:r>
      <w:r>
        <w:rPr>
          <w:rFonts w:hint="default" w:ascii="Times New Roman" w:hAnsi="Times New Roman" w:eastAsia="仿宋_GB2312" w:cs="Times New Roman"/>
          <w:color w:val="auto"/>
          <w:sz w:val="32"/>
          <w:szCs w:val="32"/>
        </w:rPr>
        <w:t>。推进各类海岸线、海湾、潟湖、河口区域生态保护修复，促进生态空间回归与海岸带生态系统稳定。针对陆海空间的整体性与联动性，对陆海缓冲带、岸线进行生态保护修复，对海防林进行整体保育，营造滨海植被景观群落。落实海岸线分类保护制度、自然岸线保有率管控政策和海洋生态红线管理要求，</w:t>
      </w:r>
      <w:r>
        <w:rPr>
          <w:rFonts w:hint="default" w:ascii="Times New Roman" w:hAnsi="Times New Roman" w:eastAsia="仿宋_GB2312" w:cs="Times New Roman"/>
          <w:color w:val="auto"/>
          <w:sz w:val="32"/>
          <w:szCs w:val="32"/>
          <w:lang w:val="en-US" w:eastAsia="zh-CN"/>
        </w:rPr>
        <w:t>保持自然岸线保有量不降低，</w:t>
      </w:r>
      <w:r>
        <w:rPr>
          <w:rFonts w:hint="default" w:ascii="Times New Roman" w:hAnsi="Times New Roman" w:eastAsia="仿宋_GB2312" w:cs="Times New Roman"/>
          <w:color w:val="auto"/>
          <w:sz w:val="32"/>
          <w:szCs w:val="32"/>
        </w:rPr>
        <w:t>以岸线功能为基础，加强生态空间管控，选划以保护区、红树林、珊瑚礁等为主的海洋生态红线区，区分严格保护、限制开发和优化利用三种类型，分类分段实施精细化管控。建立海岸线数据库，实施清单式动态管理，并纳入“自然资源超市”。</w:t>
      </w:r>
    </w:p>
    <w:p>
      <w:pPr>
        <w:spacing w:line="560" w:lineRule="exact"/>
        <w:ind w:firstLine="642" w:firstLineChars="200"/>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
        </w:rPr>
        <w:t>做好海洋生态保护修复</w:t>
      </w:r>
      <w:r>
        <w:rPr>
          <w:rFonts w:hint="default" w:ascii="Times New Roman" w:hAnsi="Times New Roman" w:eastAsia="仿宋_GB2312" w:cs="Times New Roman"/>
          <w:b w:val="0"/>
          <w:bCs w:val="0"/>
          <w:color w:val="auto"/>
          <w:sz w:val="32"/>
          <w:szCs w:val="32"/>
          <w:lang w:val="en"/>
        </w:rPr>
        <w:t>。</w:t>
      </w:r>
      <w:r>
        <w:rPr>
          <w:rFonts w:hint="default" w:ascii="Times New Roman" w:hAnsi="Times New Roman" w:eastAsia="仿宋_GB2312" w:cs="Times New Roman"/>
          <w:color w:val="auto"/>
          <w:sz w:val="32"/>
          <w:szCs w:val="32"/>
        </w:rPr>
        <w:t>积极推进“蓝色海湾·美丽岸滩·和美海岛”建设，聚焦珊瑚礁、海草床等典型海洋生态系统，在重点海域、重点海洋生态功能区等谋划推进一批海洋生态保护修复工程项目，形成重点项目库。以重大工程项目实施为抓手，明确整体布局，制定重点区域差异化行动方案，对海洋生态系统精准施策、系统治理，逐步恢复海洋生物多样性，提升海洋生态系统服务功能和稳定性。加强用岛用海项目生态修复事前论证和事中事后监管，强化海洋生态保护修复的全链条动态管控。</w:t>
      </w:r>
    </w:p>
    <w:p>
      <w:pPr>
        <w:spacing w:line="560" w:lineRule="exact"/>
        <w:ind w:firstLine="642"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lang w:val="en"/>
        </w:rPr>
        <w:t>探索建立海洋生态保护修复多元化投融资机制</w:t>
      </w:r>
      <w:r>
        <w:rPr>
          <w:rFonts w:hint="default" w:ascii="Times New Roman" w:hAnsi="Times New Roman" w:eastAsia="仿宋_GB2312" w:cs="Times New Roman"/>
          <w:b w:val="0"/>
          <w:bCs w:val="0"/>
          <w:color w:val="auto"/>
          <w:sz w:val="32"/>
          <w:szCs w:val="32"/>
          <w:lang w:val="en"/>
        </w:rPr>
        <w:t>。</w:t>
      </w:r>
      <w:r>
        <w:rPr>
          <w:rFonts w:hint="default" w:ascii="Times New Roman" w:hAnsi="Times New Roman" w:eastAsia="仿宋_GB2312" w:cs="Times New Roman"/>
          <w:color w:val="auto"/>
          <w:sz w:val="32"/>
          <w:szCs w:val="32"/>
        </w:rPr>
        <w:t>建立多元化投融资机制，鼓励社会资本通过PPP、特许经营、入股分红等方式参与海洋生态保护修复。探索“生态修复替代经济赔偿”等多元化生态环境损害赔偿模式，探索蓝碳资源核算与交易机制，推动蓝碳项目交易，谋划负碳技术示范性项目。结合海洋生态牧场建设，推进海洋牧场碳汇能力核算，探索生态渔业固碳机制和增汇模式。以蜈支洲岛海域海洋牧场为重点，建设蓝碳样板工程。推动“生态修复＋海洋牧场＋产业导入”ROD模式，为海洋生态保护修复提供科技支撑，拓展海洋生态产品价值实现路径，促进经济、社会和生态整体效益的提升。</w:t>
      </w:r>
    </w:p>
    <w:p>
      <w:pPr>
        <w:pStyle w:val="5"/>
        <w:spacing w:line="560" w:lineRule="exact"/>
        <w:jc w:val="center"/>
        <w:rPr>
          <w:rFonts w:hint="default" w:ascii="Times New Roman" w:hAnsi="Times New Roman" w:eastAsia="仿宋_GB2312" w:cs="Times New Roman"/>
          <w:b/>
          <w:bCs/>
          <w:color w:val="auto"/>
          <w:kern w:val="0"/>
          <w:lang w:bidi="ar"/>
        </w:rPr>
      </w:pPr>
      <w:bookmarkStart w:id="471" w:name="_Toc1393610952"/>
      <w:bookmarkStart w:id="472" w:name="_Toc112090707"/>
      <w:r>
        <w:rPr>
          <w:rFonts w:hint="default" w:ascii="Times New Roman" w:hAnsi="Times New Roman" w:eastAsia="楷体_GB2312" w:cs="Times New Roman"/>
          <w:b w:val="0"/>
          <w:bCs w:val="0"/>
          <w:color w:val="auto"/>
        </w:rPr>
        <w:t>第三节  加强陆域生态保护修复</w:t>
      </w:r>
      <w:bookmarkEnd w:id="471"/>
      <w:bookmarkEnd w:id="472"/>
    </w:p>
    <w:p>
      <w:pPr>
        <w:spacing w:line="560" w:lineRule="exact"/>
        <w:ind w:firstLine="642" w:firstLineChars="200"/>
        <w:jc w:val="center"/>
        <w:rPr>
          <w:rFonts w:hint="default" w:ascii="Times New Roman" w:hAnsi="Times New Roman" w:eastAsia="仿宋_GB2312" w:cs="Times New Roman"/>
          <w:b/>
          <w:bCs/>
          <w:color w:val="auto"/>
          <w:kern w:val="0"/>
          <w:sz w:val="32"/>
          <w:szCs w:val="32"/>
          <w:lang w:bidi="ar"/>
        </w:rPr>
      </w:pPr>
      <w:bookmarkStart w:id="473" w:name="_Toc203573438"/>
      <w:r>
        <w:rPr>
          <w:rFonts w:hint="default" w:ascii="Times New Roman" w:hAnsi="Times New Roman" w:eastAsia="仿宋_GB2312" w:cs="Times New Roman"/>
          <w:b/>
          <w:bCs/>
          <w:color w:val="auto"/>
          <w:kern w:val="0"/>
          <w:sz w:val="32"/>
          <w:szCs w:val="32"/>
          <w:lang w:bidi="ar"/>
        </w:rPr>
        <w:t xml:space="preserve"> </w:t>
      </w:r>
      <w:bookmarkEnd w:id="473"/>
      <w:r>
        <w:rPr>
          <w:rFonts w:hint="default" w:ascii="Times New Roman" w:hAnsi="Times New Roman" w:eastAsia="仿宋_GB2312" w:cs="Times New Roman"/>
          <w:b/>
          <w:bCs/>
          <w:color w:val="auto"/>
          <w:kern w:val="0"/>
          <w:sz w:val="32"/>
          <w:szCs w:val="32"/>
          <w:lang w:bidi="ar"/>
        </w:rPr>
        <w:t>构建湿地保护体系</w:t>
      </w:r>
      <w:r>
        <w:rPr>
          <w:rFonts w:hint="default" w:ascii="Times New Roman" w:hAnsi="Times New Roman" w:eastAsia="仿宋_GB2312" w:cs="Times New Roman"/>
          <w:b w:val="0"/>
          <w:bCs w:val="0"/>
          <w:color w:val="auto"/>
          <w:kern w:val="0"/>
          <w:sz w:val="32"/>
          <w:szCs w:val="32"/>
          <w:lang w:bidi="ar"/>
        </w:rPr>
        <w:t>。积极构建以湿地公园为基本格局的湿地保护体系，确保全市湿地总量不减、提质增效。重点在吉阳区北部区域、三亚东河、三亚河国家湿地公园开展湿地保护修复，恢复重建湿地环境。加强崖州区、吉阳区、海棠区已清退水产养殖岸线退塘还林还湿，对崖州区宁远河口、海棠湾铁炉港等重点退化区开展生境重建。推进乡村小微湿地建设。</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Times New Roman" w:hAnsi="Times New Roman" w:eastAsia="仿宋_GB2312" w:cs="Times New Roman"/>
                <w:b/>
                <w:color w:val="auto"/>
                <w:sz w:val="24"/>
                <w:szCs w:val="24"/>
              </w:rPr>
            </w:pPr>
            <w:r>
              <w:rPr>
                <w:rFonts w:hint="default" w:ascii="Times New Roman" w:hAnsi="Times New Roman" w:eastAsia="黑体" w:cs="Times New Roman"/>
                <w:bCs/>
                <w:color w:val="auto"/>
                <w:sz w:val="28"/>
                <w:szCs w:val="28"/>
              </w:rPr>
              <w:t>专栏</w:t>
            </w:r>
            <w:r>
              <w:rPr>
                <w:rFonts w:hint="default" w:ascii="Times New Roman" w:hAnsi="Times New Roman" w:eastAsia="黑体" w:cs="Times New Roman"/>
                <w:bCs/>
                <w:color w:val="auto"/>
                <w:sz w:val="28"/>
                <w:szCs w:val="28"/>
                <w:lang w:val="en-US" w:eastAsia="zh-CN"/>
              </w:rPr>
              <w:t>8</w:t>
            </w:r>
            <w:r>
              <w:rPr>
                <w:rFonts w:hint="default" w:ascii="Times New Roman" w:hAnsi="Times New Roman" w:eastAsia="黑体" w:cs="Times New Roman"/>
                <w:bCs/>
                <w:color w:val="auto"/>
                <w:sz w:val="28"/>
                <w:szCs w:val="28"/>
              </w:rPr>
              <w:t xml:space="preserve">  生态保护修复重点工程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pPr>
              <w:pStyle w:val="2"/>
              <w:keepNext w:val="0"/>
              <w:keepLines w:val="0"/>
              <w:widowControl w:val="0"/>
              <w:suppressLineNumbers w:val="0"/>
              <w:spacing w:before="0" w:beforeAutospacing="0" w:after="0" w:afterAutospacing="0" w:line="440" w:lineRule="exact"/>
              <w:ind w:left="0" w:right="0"/>
              <w:rPr>
                <w:rFonts w:hint="default" w:ascii="Times New Roman" w:hAnsi="Times New Roman" w:eastAsia="仿宋_GB2312" w:cs="Times New Roman"/>
                <w:color w:val="auto"/>
                <w:sz w:val="24"/>
                <w:szCs w:val="24"/>
              </w:rPr>
            </w:pPr>
            <w:r>
              <w:rPr>
                <w:rFonts w:hint="eastAsia" w:eastAsia="仿宋_GB2312" w:cs="Times New Roman"/>
                <w:b/>
                <w:bCs/>
                <w:color w:val="auto"/>
                <w:sz w:val="24"/>
                <w:szCs w:val="24"/>
                <w:lang w:val="en-US" w:eastAsia="zh-CN"/>
              </w:rPr>
              <w:t>1.</w:t>
            </w:r>
            <w:r>
              <w:rPr>
                <w:rFonts w:hint="default" w:ascii="Times New Roman" w:hAnsi="Times New Roman" w:eastAsia="仿宋_GB2312" w:cs="Times New Roman"/>
                <w:b/>
                <w:bCs/>
                <w:color w:val="auto"/>
                <w:sz w:val="24"/>
                <w:szCs w:val="24"/>
              </w:rPr>
              <w:t>森林生态保护修复重点工程</w:t>
            </w:r>
            <w:r>
              <w:rPr>
                <w:rFonts w:hint="default" w:ascii="Times New Roman" w:hAnsi="Times New Roman" w:eastAsia="仿宋_GB2312" w:cs="Times New Roman"/>
                <w:b w:val="0"/>
                <w:bCs w:val="0"/>
                <w:color w:val="auto"/>
                <w:sz w:val="24"/>
                <w:szCs w:val="24"/>
              </w:rPr>
              <w:t>。</w:t>
            </w:r>
            <w:r>
              <w:rPr>
                <w:rFonts w:hint="default" w:ascii="Times New Roman" w:hAnsi="Times New Roman" w:eastAsia="仿宋_GB2312" w:cs="Times New Roman"/>
                <w:color w:val="auto"/>
                <w:sz w:val="24"/>
                <w:szCs w:val="24"/>
              </w:rPr>
              <w:t>南山岭森林修复与水土保持项目；半岭水库水源地生态保护修复项目</w:t>
            </w:r>
            <w:r>
              <w:rPr>
                <w:rFonts w:hint="default" w:ascii="Times New Roman" w:hAnsi="Times New Roman" w:eastAsia="仿宋_GB2312" w:cs="Times New Roman"/>
                <w:color w:val="auto"/>
                <w:sz w:val="24"/>
                <w:szCs w:val="24"/>
                <w:lang w:val="en-US" w:eastAsia="zh-CN"/>
              </w:rPr>
              <w:t>；</w:t>
            </w:r>
            <w:r>
              <w:rPr>
                <w:rFonts w:hint="default" w:ascii="Times New Roman" w:hAnsi="Times New Roman" w:eastAsia="仿宋_GB2312" w:cs="Times New Roman"/>
                <w:color w:val="auto"/>
                <w:sz w:val="24"/>
                <w:szCs w:val="24"/>
              </w:rPr>
              <w:t>天涯区生态修复与生物多样性提升项目。</w:t>
            </w:r>
          </w:p>
          <w:p>
            <w:pPr>
              <w:pStyle w:val="2"/>
              <w:keepNext w:val="0"/>
              <w:keepLines w:val="0"/>
              <w:widowControl w:val="0"/>
              <w:suppressLineNumbers w:val="0"/>
              <w:spacing w:before="0" w:beforeAutospacing="0" w:after="0" w:afterAutospacing="0" w:line="440" w:lineRule="exact"/>
              <w:ind w:left="0" w:right="0"/>
              <w:rPr>
                <w:rFonts w:hint="default" w:ascii="Times New Roman" w:hAnsi="Times New Roman" w:eastAsia="仿宋_GB2312" w:cs="Times New Roman"/>
                <w:color w:val="auto"/>
                <w:sz w:val="24"/>
                <w:szCs w:val="24"/>
              </w:rPr>
            </w:pPr>
            <w:r>
              <w:rPr>
                <w:rFonts w:hint="eastAsia" w:eastAsia="仿宋_GB2312" w:cs="Times New Roman"/>
                <w:b/>
                <w:bCs/>
                <w:color w:val="auto"/>
                <w:sz w:val="24"/>
                <w:szCs w:val="24"/>
                <w:lang w:val="en-US" w:eastAsia="zh-CN"/>
              </w:rPr>
              <w:t>2.</w:t>
            </w:r>
            <w:r>
              <w:rPr>
                <w:rFonts w:hint="default" w:ascii="Times New Roman" w:hAnsi="Times New Roman" w:eastAsia="仿宋_GB2312" w:cs="Times New Roman"/>
                <w:b/>
                <w:bCs/>
                <w:color w:val="auto"/>
                <w:sz w:val="24"/>
                <w:szCs w:val="24"/>
              </w:rPr>
              <w:t>海洋生态保护修复重点项目</w:t>
            </w:r>
            <w:r>
              <w:rPr>
                <w:rFonts w:hint="default" w:ascii="Times New Roman" w:hAnsi="Times New Roman" w:eastAsia="仿宋_GB2312" w:cs="Times New Roman"/>
                <w:b w:val="0"/>
                <w:bCs w:val="0"/>
                <w:color w:val="auto"/>
                <w:sz w:val="24"/>
                <w:szCs w:val="24"/>
              </w:rPr>
              <w:t>。</w:t>
            </w:r>
            <w:r>
              <w:rPr>
                <w:rFonts w:hint="default" w:ascii="Times New Roman" w:hAnsi="Times New Roman" w:eastAsia="仿宋_GB2312" w:cs="Times New Roman"/>
                <w:color w:val="auto"/>
                <w:sz w:val="24"/>
                <w:szCs w:val="24"/>
              </w:rPr>
              <w:t>三亚湾近岸珊瑚礁生态系统修复项目；中心渔港海岸带生态修复项目；红塘湾海岸</w:t>
            </w:r>
            <w:r>
              <w:rPr>
                <w:rFonts w:hint="default" w:ascii="Times New Roman" w:hAnsi="Times New Roman" w:eastAsia="仿宋_GB2312" w:cs="Times New Roman"/>
                <w:color w:val="auto"/>
                <w:sz w:val="24"/>
                <w:szCs w:val="24"/>
                <w:lang w:val="en-US" w:eastAsia="zh-CN"/>
              </w:rPr>
              <w:t>带</w:t>
            </w:r>
            <w:r>
              <w:rPr>
                <w:rFonts w:hint="default" w:ascii="Times New Roman" w:hAnsi="Times New Roman" w:eastAsia="仿宋_GB2312" w:cs="Times New Roman"/>
                <w:color w:val="auto"/>
                <w:sz w:val="24"/>
                <w:szCs w:val="24"/>
              </w:rPr>
              <w:t>生态修复项目；</w:t>
            </w:r>
            <w:r>
              <w:rPr>
                <w:rFonts w:hint="default" w:ascii="Times New Roman" w:hAnsi="Times New Roman" w:eastAsia="仿宋_GB2312" w:cs="Times New Roman"/>
                <w:color w:val="auto"/>
                <w:sz w:val="24"/>
                <w:szCs w:val="24"/>
                <w:lang w:val="en-US" w:eastAsia="zh-CN"/>
              </w:rPr>
              <w:t>海南省三亚市海洋生态保护修复工程项目</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val="en-US" w:eastAsia="zh-CN"/>
              </w:rPr>
              <w:t>中央资金支持的2023年海洋生态保护修复工程）</w:t>
            </w:r>
            <w:r>
              <w:rPr>
                <w:rFonts w:hint="default" w:ascii="Times New Roman" w:hAnsi="Times New Roman" w:eastAsia="仿宋_GB2312" w:cs="Times New Roman"/>
                <w:color w:val="auto"/>
                <w:sz w:val="24"/>
                <w:szCs w:val="24"/>
              </w:rPr>
              <w:t>；崖州湾海岸带生态修复项目；</w:t>
            </w:r>
            <w:r>
              <w:rPr>
                <w:rFonts w:hint="default" w:ascii="Times New Roman" w:hAnsi="Times New Roman" w:eastAsia="仿宋_GB2312" w:cs="Times New Roman"/>
                <w:strike w:val="0"/>
                <w:dstrike w:val="0"/>
                <w:color w:val="auto"/>
                <w:sz w:val="24"/>
                <w:szCs w:val="24"/>
                <w:lang w:val="en-US" w:eastAsia="zh-CN"/>
              </w:rPr>
              <w:t>三亚亚龙湾西段沙滩综合生态修复工程</w:t>
            </w:r>
            <w:r>
              <w:rPr>
                <w:rFonts w:hint="default" w:ascii="Times New Roman" w:hAnsi="Times New Roman" w:eastAsia="仿宋_GB2312" w:cs="Times New Roman"/>
                <w:color w:val="auto"/>
                <w:sz w:val="24"/>
                <w:szCs w:val="24"/>
              </w:rPr>
              <w:t>。</w:t>
            </w:r>
          </w:p>
          <w:p>
            <w:pPr>
              <w:pStyle w:val="2"/>
              <w:keepNext w:val="0"/>
              <w:keepLines w:val="0"/>
              <w:widowControl w:val="0"/>
              <w:suppressLineNumbers w:val="0"/>
              <w:spacing w:before="0" w:beforeAutospacing="0" w:after="0" w:afterAutospacing="0" w:line="440" w:lineRule="exact"/>
              <w:ind w:left="0" w:right="0"/>
              <w:rPr>
                <w:rFonts w:hint="default" w:ascii="Times New Roman" w:hAnsi="Times New Roman" w:eastAsia="仿宋_GB2312" w:cs="Times New Roman"/>
                <w:color w:val="auto"/>
                <w:sz w:val="24"/>
                <w:szCs w:val="24"/>
              </w:rPr>
            </w:pPr>
            <w:r>
              <w:rPr>
                <w:rFonts w:hint="eastAsia" w:eastAsia="仿宋_GB2312" w:cs="Times New Roman"/>
                <w:b/>
                <w:bCs/>
                <w:color w:val="auto"/>
                <w:sz w:val="24"/>
                <w:szCs w:val="24"/>
                <w:lang w:val="en-US" w:eastAsia="zh-CN"/>
              </w:rPr>
              <w:t>3.</w:t>
            </w:r>
            <w:r>
              <w:rPr>
                <w:rFonts w:hint="default" w:ascii="Times New Roman" w:hAnsi="Times New Roman" w:eastAsia="仿宋_GB2312" w:cs="Times New Roman"/>
                <w:b/>
                <w:bCs/>
                <w:color w:val="auto"/>
                <w:sz w:val="24"/>
                <w:szCs w:val="24"/>
              </w:rPr>
              <w:t>流域综合治理重点工程</w:t>
            </w:r>
            <w:r>
              <w:rPr>
                <w:rFonts w:hint="default" w:ascii="Times New Roman" w:hAnsi="Times New Roman" w:eastAsia="仿宋_GB2312" w:cs="Times New Roman"/>
                <w:b w:val="0"/>
                <w:bCs w:val="0"/>
                <w:color w:val="auto"/>
                <w:sz w:val="24"/>
                <w:szCs w:val="24"/>
              </w:rPr>
              <w:t>。</w:t>
            </w:r>
            <w:r>
              <w:rPr>
                <w:rFonts w:hint="default" w:ascii="Times New Roman" w:hAnsi="Times New Roman" w:eastAsia="仿宋_GB2312" w:cs="Times New Roman"/>
                <w:color w:val="auto"/>
                <w:sz w:val="24"/>
                <w:szCs w:val="24"/>
              </w:rPr>
              <w:t>宁远河流域生态综合治理项目；龙江河水系连通与水生态功能提升项目；育才生态区水环境水生态综合治理项目。</w:t>
            </w:r>
          </w:p>
          <w:p>
            <w:pPr>
              <w:pStyle w:val="2"/>
              <w:keepNext w:val="0"/>
              <w:keepLines w:val="0"/>
              <w:widowControl w:val="0"/>
              <w:suppressLineNumbers w:val="0"/>
              <w:spacing w:before="0" w:beforeAutospacing="0" w:after="0" w:afterAutospacing="0" w:line="440" w:lineRule="exact"/>
              <w:ind w:left="0" w:right="0"/>
              <w:rPr>
                <w:rFonts w:hint="default" w:ascii="Times New Roman" w:hAnsi="Times New Roman" w:eastAsia="仿宋_GB2312" w:cs="Times New Roman"/>
                <w:color w:val="auto"/>
                <w:sz w:val="24"/>
                <w:szCs w:val="24"/>
              </w:rPr>
            </w:pPr>
            <w:r>
              <w:rPr>
                <w:rFonts w:hint="eastAsia" w:eastAsia="仿宋_GB2312" w:cs="Times New Roman"/>
                <w:b/>
                <w:bCs/>
                <w:color w:val="auto"/>
                <w:sz w:val="24"/>
                <w:szCs w:val="24"/>
                <w:lang w:val="en-US" w:eastAsia="zh-CN"/>
              </w:rPr>
              <w:t>4.</w:t>
            </w:r>
            <w:r>
              <w:rPr>
                <w:rFonts w:hint="default" w:ascii="Times New Roman" w:hAnsi="Times New Roman" w:eastAsia="仿宋_GB2312" w:cs="Times New Roman"/>
                <w:b/>
                <w:bCs/>
                <w:color w:val="auto"/>
                <w:sz w:val="24"/>
                <w:szCs w:val="24"/>
              </w:rPr>
              <w:t>湿地生态保护修复重点工程</w:t>
            </w:r>
            <w:r>
              <w:rPr>
                <w:rFonts w:hint="default" w:ascii="Times New Roman" w:hAnsi="Times New Roman" w:eastAsia="仿宋_GB2312" w:cs="Times New Roman"/>
                <w:b w:val="0"/>
                <w:bCs w:val="0"/>
                <w:color w:val="auto"/>
                <w:sz w:val="24"/>
                <w:szCs w:val="24"/>
              </w:rPr>
              <w:t>。</w:t>
            </w:r>
            <w:r>
              <w:rPr>
                <w:rFonts w:hint="default" w:ascii="Times New Roman" w:hAnsi="Times New Roman" w:eastAsia="仿宋_GB2312" w:cs="Times New Roman"/>
                <w:color w:val="auto"/>
                <w:sz w:val="24"/>
                <w:szCs w:val="24"/>
              </w:rPr>
              <w:t>藤桥河河口湿地保护修复项目；铁炉港红树林湿地保护修复项目。</w:t>
            </w:r>
          </w:p>
          <w:p>
            <w:pPr>
              <w:pStyle w:val="2"/>
              <w:keepNext w:val="0"/>
              <w:keepLines w:val="0"/>
              <w:widowControl w:val="0"/>
              <w:suppressLineNumbers w:val="0"/>
              <w:spacing w:before="0" w:beforeAutospacing="0" w:after="0" w:afterAutospacing="0" w:line="440" w:lineRule="exact"/>
              <w:ind w:left="0" w:right="0"/>
              <w:rPr>
                <w:rFonts w:hint="default" w:ascii="Times New Roman" w:hAnsi="Times New Roman" w:eastAsia="仿宋_GB2312" w:cs="Times New Roman"/>
                <w:color w:val="auto"/>
                <w:sz w:val="24"/>
                <w:szCs w:val="24"/>
              </w:rPr>
            </w:pPr>
            <w:r>
              <w:rPr>
                <w:rFonts w:hint="eastAsia" w:eastAsia="仿宋_GB2312" w:cs="Times New Roman"/>
                <w:b/>
                <w:bCs/>
                <w:color w:val="auto"/>
                <w:sz w:val="24"/>
                <w:szCs w:val="24"/>
                <w:lang w:val="en-US" w:eastAsia="zh-CN"/>
              </w:rPr>
              <w:t>5.</w:t>
            </w:r>
            <w:r>
              <w:rPr>
                <w:rFonts w:hint="default" w:ascii="Times New Roman" w:hAnsi="Times New Roman" w:eastAsia="仿宋_GB2312" w:cs="Times New Roman"/>
                <w:b/>
                <w:bCs/>
                <w:color w:val="auto"/>
                <w:sz w:val="24"/>
                <w:szCs w:val="24"/>
              </w:rPr>
              <w:t>农田生态修复重点工程。</w:t>
            </w:r>
            <w:r>
              <w:rPr>
                <w:rFonts w:hint="default" w:ascii="Times New Roman" w:hAnsi="Times New Roman" w:eastAsia="仿宋_GB2312" w:cs="Times New Roman"/>
                <w:color w:val="auto"/>
                <w:sz w:val="24"/>
                <w:szCs w:val="24"/>
              </w:rPr>
              <w:t>天涯区橡胶林近自然化改造和农田生态系统功能提升项目；南繁基地核心区农田生态系统格局优化与质量提升项目；崖州区农田生态治理与水土保持项目；三亚河流域农田生态系统格局优化与质量提升项目；吉阳区农田生态功能提升项目；藤桥河流域农田生态系统格局优化与质量提升项目。</w:t>
            </w:r>
          </w:p>
          <w:p>
            <w:pPr>
              <w:pStyle w:val="2"/>
              <w:keepNext w:val="0"/>
              <w:keepLines w:val="0"/>
              <w:widowControl w:val="0"/>
              <w:suppressLineNumbers w:val="0"/>
              <w:spacing w:before="0" w:beforeAutospacing="0" w:after="0" w:afterAutospacing="0" w:line="440" w:lineRule="exact"/>
              <w:ind w:left="0" w:right="0"/>
              <w:rPr>
                <w:rFonts w:hint="default" w:ascii="Times New Roman" w:hAnsi="Times New Roman" w:eastAsia="仿宋_GB2312" w:cs="Times New Roman"/>
                <w:color w:val="auto"/>
                <w:sz w:val="24"/>
                <w:szCs w:val="24"/>
              </w:rPr>
            </w:pPr>
            <w:r>
              <w:rPr>
                <w:rFonts w:hint="eastAsia" w:eastAsia="仿宋_GB2312" w:cs="Times New Roman"/>
                <w:b/>
                <w:bCs/>
                <w:color w:val="auto"/>
                <w:sz w:val="24"/>
                <w:szCs w:val="24"/>
                <w:lang w:val="en-US" w:eastAsia="zh-CN"/>
              </w:rPr>
              <w:t>6.</w:t>
            </w:r>
            <w:r>
              <w:rPr>
                <w:rFonts w:hint="default" w:ascii="Times New Roman" w:hAnsi="Times New Roman" w:eastAsia="仿宋_GB2312" w:cs="Times New Roman"/>
                <w:b/>
                <w:bCs/>
                <w:color w:val="auto"/>
                <w:sz w:val="24"/>
                <w:szCs w:val="24"/>
              </w:rPr>
              <w:t>生物多样性保护重点工程</w:t>
            </w:r>
            <w:r>
              <w:rPr>
                <w:rFonts w:hint="default" w:ascii="Times New Roman" w:hAnsi="Times New Roman" w:eastAsia="仿宋_GB2312" w:cs="Times New Roman"/>
                <w:b w:val="0"/>
                <w:bCs w:val="0"/>
                <w:color w:val="auto"/>
                <w:sz w:val="24"/>
                <w:szCs w:val="24"/>
              </w:rPr>
              <w:t>。</w:t>
            </w:r>
            <w:r>
              <w:rPr>
                <w:rFonts w:hint="default" w:ascii="Times New Roman" w:hAnsi="Times New Roman" w:eastAsia="仿宋_GB2312" w:cs="Times New Roman"/>
                <w:color w:val="auto"/>
                <w:sz w:val="24"/>
                <w:szCs w:val="24"/>
              </w:rPr>
              <w:t>有害生物防治项目；海棠河外来植物防治与红树林湿地恢复项目；藤桥河生物栖息地修复项目。</w:t>
            </w:r>
          </w:p>
          <w:p>
            <w:pPr>
              <w:pStyle w:val="2"/>
              <w:keepNext w:val="0"/>
              <w:keepLines w:val="0"/>
              <w:widowControl w:val="0"/>
              <w:suppressLineNumbers w:val="0"/>
              <w:spacing w:before="0" w:beforeAutospacing="0" w:after="0" w:afterAutospacing="0" w:line="440" w:lineRule="exact"/>
              <w:ind w:left="0" w:right="0"/>
              <w:rPr>
                <w:rFonts w:hint="default" w:ascii="Times New Roman" w:hAnsi="Times New Roman" w:eastAsia="仿宋_GB2312" w:cs="Times New Roman"/>
                <w:color w:val="auto"/>
                <w:sz w:val="24"/>
                <w:szCs w:val="24"/>
              </w:rPr>
            </w:pPr>
            <w:r>
              <w:rPr>
                <w:rFonts w:hint="eastAsia" w:eastAsia="仿宋_GB2312" w:cs="Times New Roman"/>
                <w:b/>
                <w:bCs/>
                <w:color w:val="auto"/>
                <w:sz w:val="24"/>
                <w:szCs w:val="24"/>
                <w:lang w:val="en-US" w:eastAsia="zh-CN"/>
              </w:rPr>
              <w:t>7.</w:t>
            </w:r>
            <w:r>
              <w:rPr>
                <w:rFonts w:hint="default" w:ascii="Times New Roman" w:hAnsi="Times New Roman" w:eastAsia="仿宋_GB2312" w:cs="Times New Roman"/>
                <w:b/>
                <w:bCs/>
                <w:color w:val="auto"/>
                <w:sz w:val="24"/>
                <w:szCs w:val="24"/>
              </w:rPr>
              <w:t>生态廊道建设重点工程</w:t>
            </w:r>
            <w:r>
              <w:rPr>
                <w:rFonts w:hint="default" w:ascii="Times New Roman" w:hAnsi="Times New Roman" w:eastAsia="仿宋_GB2312" w:cs="Times New Roman"/>
                <w:b w:val="0"/>
                <w:bCs w:val="0"/>
                <w:color w:val="auto"/>
                <w:sz w:val="24"/>
                <w:szCs w:val="24"/>
              </w:rPr>
              <w:t>。</w:t>
            </w:r>
            <w:r>
              <w:rPr>
                <w:rFonts w:hint="default" w:ascii="Times New Roman" w:hAnsi="Times New Roman" w:eastAsia="仿宋_GB2312" w:cs="Times New Roman"/>
                <w:color w:val="auto"/>
                <w:sz w:val="24"/>
                <w:szCs w:val="24"/>
              </w:rPr>
              <w:t>藤桥河生态缓冲带和生态廊道建设</w:t>
            </w:r>
            <w:r>
              <w:rPr>
                <w:rFonts w:hint="default" w:ascii="Times New Roman" w:hAnsi="Times New Roman" w:eastAsia="仿宋_GB2312" w:cs="Times New Roman"/>
                <w:color w:val="auto"/>
                <w:sz w:val="24"/>
                <w:szCs w:val="24"/>
                <w:lang w:val="en-US" w:eastAsia="zh-CN"/>
              </w:rPr>
              <w:t>项目</w:t>
            </w:r>
            <w:r>
              <w:rPr>
                <w:rFonts w:hint="default" w:ascii="Times New Roman" w:hAnsi="Times New Roman" w:eastAsia="仿宋_GB2312" w:cs="Times New Roman"/>
                <w:color w:val="auto"/>
                <w:sz w:val="24"/>
                <w:szCs w:val="24"/>
              </w:rPr>
              <w:t>。</w:t>
            </w:r>
          </w:p>
        </w:tc>
      </w:t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tbl>
    <w:p>
      <w:pPr>
        <w:spacing w:line="560" w:lineRule="exact"/>
        <w:jc w:val="center"/>
        <w:rPr>
          <w:rFonts w:hint="default" w:ascii="Times New Roman" w:hAnsi="Times New Roman" w:eastAsia="黑体" w:cs="Times New Roman"/>
          <w:color w:val="auto"/>
          <w:kern w:val="0"/>
          <w:sz w:val="32"/>
          <w:szCs w:val="32"/>
          <w:lang w:bidi="ar"/>
        </w:rPr>
      </w:pPr>
      <w:bookmarkStart w:id="474" w:name="_Toc221017041"/>
      <w:bookmarkStart w:id="475" w:name="_Toc405128354"/>
      <w:bookmarkStart w:id="476" w:name="_Toc306871895"/>
      <w:bookmarkStart w:id="477" w:name="_Toc993910459"/>
      <w:bookmarkStart w:id="478" w:name="_Toc1322381802"/>
    </w:p>
    <w:p>
      <w:pPr>
        <w:spacing w:line="560" w:lineRule="exact"/>
        <w:jc w:val="center"/>
        <w:outlineLvl w:val="0"/>
        <w:rPr>
          <w:rFonts w:hint="default" w:ascii="Times New Roman" w:hAnsi="Times New Roman" w:eastAsia="仿宋_GB2312" w:cs="Times New Roman"/>
          <w:color w:val="auto"/>
          <w:kern w:val="0"/>
          <w:sz w:val="32"/>
          <w:szCs w:val="32"/>
          <w:lang w:bidi="ar"/>
        </w:rPr>
      </w:pPr>
      <w:bookmarkStart w:id="479" w:name="_Toc1964985614"/>
      <w:bookmarkStart w:id="480" w:name="_Toc320482462"/>
      <w:r>
        <w:rPr>
          <w:rFonts w:hint="default" w:ascii="Times New Roman" w:hAnsi="Times New Roman" w:eastAsia="黑体" w:cs="Times New Roman"/>
          <w:color w:val="auto"/>
          <w:kern w:val="0"/>
          <w:sz w:val="32"/>
          <w:szCs w:val="32"/>
          <w:lang w:bidi="ar"/>
        </w:rPr>
        <w:t>第九章  推进自然资源治理体系和治理能力现代化</w:t>
      </w:r>
      <w:bookmarkEnd w:id="479"/>
      <w:bookmarkEnd w:id="480"/>
    </w:p>
    <w:p>
      <w:pPr>
        <w:widowControl/>
        <w:spacing w:line="560" w:lineRule="exact"/>
        <w:ind w:firstLine="640" w:firstLineChars="200"/>
        <w:rPr>
          <w:rFonts w:hint="default" w:ascii="Times New Roman" w:hAnsi="Times New Roman" w:eastAsia="仿宋_GB2312" w:cs="Times New Roman"/>
          <w:color w:val="auto"/>
          <w:kern w:val="0"/>
          <w:sz w:val="32"/>
          <w:szCs w:val="32"/>
          <w:lang w:bidi="ar"/>
        </w:rPr>
      </w:pPr>
    </w:p>
    <w:p>
      <w:pPr>
        <w:spacing w:line="560" w:lineRule="exact"/>
        <w:jc w:val="center"/>
        <w:outlineLvl w:val="1"/>
        <w:rPr>
          <w:rFonts w:hint="default" w:ascii="Times New Roman" w:hAnsi="Times New Roman" w:eastAsia="楷体" w:cs="Times New Roman"/>
          <w:bCs/>
          <w:color w:val="auto"/>
          <w:sz w:val="32"/>
          <w:szCs w:val="32"/>
        </w:rPr>
      </w:pPr>
      <w:bookmarkStart w:id="481" w:name="heading_0"/>
      <w:bookmarkStart w:id="482" w:name="_Toc38853628"/>
      <w:bookmarkStart w:id="483" w:name="_Toc629850330"/>
      <w:r>
        <w:rPr>
          <w:rFonts w:hint="default" w:ascii="Times New Roman" w:hAnsi="Times New Roman" w:eastAsia="楷体" w:cs="Times New Roman"/>
          <w:bCs/>
          <w:color w:val="auto"/>
          <w:sz w:val="32"/>
          <w:szCs w:val="32"/>
        </w:rPr>
        <w:t xml:space="preserve">第一节 </w:t>
      </w:r>
      <w:bookmarkEnd w:id="481"/>
      <w:r>
        <w:rPr>
          <w:rFonts w:hint="default" w:ascii="Times New Roman" w:hAnsi="Times New Roman" w:eastAsia="楷体" w:cs="Times New Roman"/>
          <w:bCs/>
          <w:color w:val="auto"/>
          <w:sz w:val="32"/>
          <w:szCs w:val="32"/>
        </w:rPr>
        <w:t xml:space="preserve"> 深化自然资源领域改革</w:t>
      </w:r>
      <w:bookmarkEnd w:id="482"/>
      <w:bookmarkEnd w:id="483"/>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深化落实审批制度改革</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聚焦审批提质增效，推进“多审合一、多证合一、多验合一、多测合一”改革，整合用地、用海、用林、用矿审批流程，精简申报材料、压缩审批时限，推行陆海一体化审批模式。依托</w:t>
      </w:r>
      <w:r>
        <w:rPr>
          <w:rFonts w:hint="default" w:ascii="Times New Roman" w:hAnsi="Times New Roman" w:eastAsia="仿宋_GB2312" w:cs="Times New Roman"/>
          <w:color w:val="auto"/>
          <w:kern w:val="0"/>
          <w:sz w:val="32"/>
          <w:szCs w:val="32"/>
          <w:lang w:val="en-US" w:eastAsia="zh-CN" w:bidi="ar"/>
        </w:rPr>
        <w:t>海南</w:t>
      </w:r>
      <w:r>
        <w:rPr>
          <w:rFonts w:hint="default" w:ascii="Times New Roman" w:hAnsi="Times New Roman" w:eastAsia="仿宋_GB2312" w:cs="Times New Roman"/>
          <w:color w:val="auto"/>
          <w:kern w:val="0"/>
          <w:sz w:val="32"/>
          <w:szCs w:val="32"/>
          <w:lang w:bidi="ar"/>
        </w:rPr>
        <w:t>省</w:t>
      </w:r>
      <w:r>
        <w:rPr>
          <w:rFonts w:hint="default" w:ascii="Times New Roman" w:hAnsi="Times New Roman" w:eastAsia="仿宋_GB2312" w:cs="Times New Roman"/>
          <w:color w:val="auto"/>
          <w:kern w:val="0"/>
          <w:sz w:val="32"/>
          <w:szCs w:val="32"/>
          <w:lang w:val="en-US" w:eastAsia="zh-CN" w:bidi="ar"/>
        </w:rPr>
        <w:t>国土空间智慧治理体系平台</w:t>
      </w:r>
      <w:r>
        <w:rPr>
          <w:rFonts w:hint="default" w:ascii="Times New Roman" w:hAnsi="Times New Roman" w:eastAsia="仿宋_GB2312" w:cs="Times New Roman"/>
          <w:color w:val="auto"/>
          <w:kern w:val="0"/>
          <w:sz w:val="32"/>
          <w:szCs w:val="32"/>
          <w:lang w:bidi="ar"/>
        </w:rPr>
        <w:t>，实现规划编制、审批、调整、实施、监管全流程线上闭环管理与智能预警。优化农房报建流程，推行“零跑动”审批，做好农村和垦区建房全程网办、“不见面”审批。深化不动产登记制度改革，全面落地“互联网+登记”，推广“交房即交证”服务，拓展便民应用场景，持续压缩办理时长。支持符合条件的灾后重建项目按规定先行办理用地、用林、用海手续。衔接海域使用审批与不动产登记，实行“交海即交证”改革创新。</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kern w:val="0"/>
          <w:sz w:val="32"/>
          <w:szCs w:val="32"/>
          <w:highlight w:val="none"/>
          <w:lang w:bidi="ar"/>
        </w:rPr>
        <w:t>稳妥推进农村土地制度改革</w:t>
      </w:r>
      <w:r>
        <w:rPr>
          <w:rFonts w:hint="default" w:ascii="Times New Roman" w:hAnsi="Times New Roman" w:eastAsia="仿宋_GB2312" w:cs="Times New Roman"/>
          <w:b w:val="0"/>
          <w:bCs w:val="0"/>
          <w:color w:val="auto"/>
          <w:kern w:val="0"/>
          <w:sz w:val="32"/>
          <w:szCs w:val="32"/>
          <w:highlight w:val="none"/>
          <w:lang w:bidi="ar"/>
        </w:rPr>
        <w:t>。有序推进农村集体经营性建设用地入市改革，支持入市土地优先用于发展集体经济和乡村产业，严禁用于商品住宅。</w:t>
      </w:r>
      <w:r>
        <w:rPr>
          <w:rFonts w:hint="default" w:ascii="Times New Roman" w:hAnsi="Times New Roman" w:eastAsia="仿宋_GB2312" w:cs="Times New Roman"/>
          <w:color w:val="auto"/>
          <w:kern w:val="0"/>
          <w:sz w:val="32"/>
          <w:szCs w:val="32"/>
          <w:highlight w:val="none"/>
          <w:lang w:bidi="ar"/>
        </w:rPr>
        <w:t>完善入市土地增值收益分配与权益保障机制。</w:t>
      </w:r>
      <w:r>
        <w:rPr>
          <w:rFonts w:hint="default" w:ascii="Times New Roman" w:hAnsi="Times New Roman" w:eastAsia="仿宋_GB2312" w:cs="Times New Roman"/>
          <w:b w:val="0"/>
          <w:bCs w:val="0"/>
          <w:color w:val="auto"/>
          <w:kern w:val="0"/>
          <w:sz w:val="32"/>
          <w:szCs w:val="32"/>
          <w:highlight w:val="none"/>
          <w:lang w:bidi="ar"/>
        </w:rPr>
        <w:t>加强入市土地用途监管，提高集体经营性建设用地节约集约用地水平。</w:t>
      </w:r>
      <w:r>
        <w:rPr>
          <w:rFonts w:hint="default" w:ascii="Times New Roman" w:hAnsi="Times New Roman" w:eastAsia="仿宋_GB2312" w:cs="Times New Roman"/>
          <w:i w:val="0"/>
          <w:iCs w:val="0"/>
          <w:caps w:val="0"/>
          <w:color w:val="auto"/>
          <w:spacing w:val="0"/>
          <w:kern w:val="0"/>
          <w:sz w:val="32"/>
          <w:szCs w:val="32"/>
          <w:highlight w:val="none"/>
          <w:shd w:val="clear" w:fill="auto"/>
          <w:lang w:bidi="ar"/>
        </w:rPr>
        <w:t>完善留用地制度，有序推进留用地开发利用，积极探索通过“土地+经营性物业”双重保障模式</w:t>
      </w:r>
      <w:r>
        <w:rPr>
          <w:rFonts w:hint="default" w:ascii="Times New Roman" w:hAnsi="Times New Roman" w:eastAsia="仿宋_GB2312" w:cs="Times New Roman"/>
          <w:i w:val="0"/>
          <w:iCs w:val="0"/>
          <w:caps w:val="0"/>
          <w:color w:val="auto"/>
          <w:spacing w:val="0"/>
          <w:kern w:val="0"/>
          <w:sz w:val="32"/>
          <w:szCs w:val="32"/>
          <w:highlight w:val="none"/>
          <w:shd w:val="clear" w:fill="auto"/>
          <w:lang w:eastAsia="zh-CN" w:bidi="ar"/>
        </w:rPr>
        <w:t>，</w:t>
      </w:r>
      <w:r>
        <w:rPr>
          <w:rFonts w:hint="default" w:ascii="Times New Roman" w:hAnsi="Times New Roman" w:eastAsia="仿宋_GB2312" w:cs="Times New Roman"/>
          <w:i w:val="0"/>
          <w:iCs w:val="0"/>
          <w:caps w:val="0"/>
          <w:color w:val="auto"/>
          <w:spacing w:val="0"/>
          <w:kern w:val="0"/>
          <w:sz w:val="32"/>
          <w:szCs w:val="32"/>
          <w:highlight w:val="none"/>
          <w:shd w:val="clear" w:fill="auto"/>
          <w:lang w:bidi="ar"/>
        </w:rPr>
        <w:t>切实保障农民集体留用地权益。</w:t>
      </w:r>
      <w:r>
        <w:rPr>
          <w:rFonts w:hint="default" w:ascii="Times New Roman" w:hAnsi="Times New Roman" w:eastAsia="仿宋_GB2312" w:cs="Times New Roman"/>
          <w:color w:val="auto"/>
          <w:kern w:val="0"/>
          <w:sz w:val="32"/>
          <w:szCs w:val="32"/>
          <w:highlight w:val="none"/>
          <w:lang w:bidi="ar"/>
        </w:rPr>
        <w:t>做好农村土地承包合同管理与不动产登记的衔接工作，稳妥化解农村不动产登记历史遗留问题。同步推进垦区土地制度改革，推动城乡、垦地要素流动与融合发展。</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探索产业用地市场化配置改革</w:t>
      </w:r>
      <w:r>
        <w:rPr>
          <w:rFonts w:hint="default" w:ascii="Times New Roman" w:hAnsi="Times New Roman" w:eastAsia="仿宋_GB2312" w:cs="Times New Roman"/>
          <w:color w:val="auto"/>
          <w:kern w:val="0"/>
          <w:sz w:val="32"/>
          <w:szCs w:val="32"/>
          <w:lang w:bidi="ar"/>
        </w:rPr>
        <w:t>。严格落实国家、省级产业用地政策，完善产业用地供给、实施、监管、退出全链条管控机制。创新现有产业用地供应模式，充分用好“只征不转</w:t>
      </w:r>
      <w:r>
        <w:rPr>
          <w:rFonts w:hint="default" w:ascii="Times New Roman" w:hAnsi="Times New Roman" w:eastAsia="仿宋_GB2312" w:cs="Times New Roman"/>
          <w:color w:val="auto"/>
          <w:kern w:val="0"/>
          <w:sz w:val="32"/>
          <w:szCs w:val="32"/>
          <w:lang w:val="en" w:bidi="ar"/>
        </w:rPr>
        <w:t>”“</w:t>
      </w:r>
      <w:r>
        <w:rPr>
          <w:rFonts w:hint="default" w:ascii="Times New Roman" w:hAnsi="Times New Roman" w:eastAsia="仿宋_GB2312" w:cs="Times New Roman"/>
          <w:color w:val="auto"/>
          <w:kern w:val="0"/>
          <w:sz w:val="32"/>
          <w:szCs w:val="32"/>
          <w:lang w:bidi="ar"/>
        </w:rPr>
        <w:t>不征不转”、标准地出让、弹性年期、产业链供地、混合用地等利好政策，优先保障</w:t>
      </w:r>
      <w:r>
        <w:rPr>
          <w:rFonts w:hint="default" w:ascii="Times New Roman" w:hAnsi="Times New Roman" w:eastAsia="仿宋_GB2312" w:cs="Times New Roman"/>
          <w:color w:val="auto"/>
          <w:kern w:val="0"/>
          <w:sz w:val="32"/>
          <w:szCs w:val="32"/>
          <w:lang w:val="en" w:eastAsia="zh-CN" w:bidi="ar"/>
        </w:rPr>
        <w:t>崖州湾科技城高新区</w:t>
      </w:r>
      <w:r>
        <w:rPr>
          <w:rFonts w:hint="default" w:ascii="Times New Roman" w:hAnsi="Times New Roman" w:eastAsia="仿宋_GB2312" w:cs="Times New Roman"/>
          <w:color w:val="auto"/>
          <w:kern w:val="0"/>
          <w:sz w:val="32"/>
          <w:szCs w:val="32"/>
          <w:lang w:bidi="ar"/>
        </w:rPr>
        <w:t>、中央商务区、</w:t>
      </w:r>
      <w:r>
        <w:rPr>
          <w:rFonts w:hint="default" w:ascii="Times New Roman" w:hAnsi="Times New Roman" w:eastAsia="仿宋_GB2312" w:cs="Times New Roman"/>
          <w:color w:val="auto"/>
          <w:kern w:val="0"/>
          <w:sz w:val="32"/>
          <w:szCs w:val="32"/>
          <w:lang w:eastAsia="zh-CN" w:bidi="ar"/>
        </w:rPr>
        <w:t>三亚海棠湾国家海岸休闲园区</w:t>
      </w:r>
      <w:r>
        <w:rPr>
          <w:rFonts w:hint="default" w:ascii="Times New Roman" w:hAnsi="Times New Roman" w:eastAsia="仿宋_GB2312" w:cs="Times New Roman"/>
          <w:color w:val="auto"/>
          <w:kern w:val="0"/>
          <w:sz w:val="32"/>
          <w:szCs w:val="32"/>
          <w:lang w:bidi="ar"/>
        </w:rPr>
        <w:t>等重点园区产业项目用地需求。针对</w:t>
      </w:r>
      <w:r>
        <w:rPr>
          <w:rFonts w:hint="default" w:ascii="Times New Roman" w:hAnsi="Times New Roman" w:eastAsia="仿宋_GB2312" w:cs="Times New Roman"/>
          <w:color w:val="auto"/>
          <w:kern w:val="0"/>
          <w:sz w:val="32"/>
          <w:szCs w:val="32"/>
          <w:lang w:val="en-US" w:eastAsia="zh-CN" w:bidi="ar"/>
        </w:rPr>
        <w:t>具有</w:t>
      </w:r>
      <w:r>
        <w:rPr>
          <w:rFonts w:hint="default" w:ascii="Times New Roman" w:hAnsi="Times New Roman" w:eastAsia="仿宋_GB2312" w:cs="Times New Roman"/>
          <w:color w:val="auto"/>
          <w:kern w:val="0"/>
          <w:sz w:val="32"/>
          <w:szCs w:val="32"/>
          <w:lang w:bidi="ar"/>
        </w:rPr>
        <w:t>重大</w:t>
      </w:r>
      <w:r>
        <w:rPr>
          <w:rFonts w:hint="default" w:ascii="Times New Roman" w:hAnsi="Times New Roman" w:eastAsia="仿宋_GB2312" w:cs="Times New Roman"/>
          <w:color w:val="auto"/>
          <w:kern w:val="0"/>
          <w:sz w:val="32"/>
          <w:szCs w:val="32"/>
          <w:lang w:val="en-US" w:eastAsia="zh-CN" w:bidi="ar"/>
        </w:rPr>
        <w:t>产业</w:t>
      </w:r>
      <w:r>
        <w:rPr>
          <w:rFonts w:hint="default" w:ascii="Times New Roman" w:hAnsi="Times New Roman" w:eastAsia="仿宋_GB2312" w:cs="Times New Roman"/>
          <w:color w:val="auto"/>
          <w:kern w:val="0"/>
          <w:sz w:val="32"/>
          <w:szCs w:val="32"/>
          <w:lang w:bidi="ar"/>
        </w:rPr>
        <w:t>带动</w:t>
      </w:r>
      <w:r>
        <w:rPr>
          <w:rFonts w:hint="default" w:ascii="Times New Roman" w:hAnsi="Times New Roman" w:eastAsia="仿宋_GB2312" w:cs="Times New Roman"/>
          <w:color w:val="auto"/>
          <w:kern w:val="0"/>
          <w:sz w:val="32"/>
          <w:szCs w:val="32"/>
          <w:lang w:val="en-US" w:eastAsia="zh-CN" w:bidi="ar"/>
        </w:rPr>
        <w:t>作用的</w:t>
      </w:r>
      <w:r>
        <w:rPr>
          <w:rFonts w:hint="default" w:ascii="Times New Roman" w:hAnsi="Times New Roman" w:eastAsia="仿宋_GB2312" w:cs="Times New Roman"/>
          <w:color w:val="auto"/>
          <w:kern w:val="0"/>
          <w:sz w:val="32"/>
          <w:szCs w:val="32"/>
          <w:lang w:bidi="ar"/>
        </w:rPr>
        <w:t>项目，探索采用带项目及准入条件的协议出让方式供地，形成产业集群与规模效应，降低企业用地成本。探索建立城乡统一建设用地市场，完善</w:t>
      </w:r>
      <w:r>
        <w:rPr>
          <w:rFonts w:hint="default" w:ascii="Times New Roman" w:hAnsi="Times New Roman" w:eastAsia="仿宋_GB2312" w:cs="Times New Roman"/>
          <w:color w:val="auto"/>
          <w:kern w:val="0"/>
          <w:sz w:val="32"/>
          <w:szCs w:val="32"/>
          <w:lang w:val="en-US" w:eastAsia="zh-CN" w:bidi="ar"/>
        </w:rPr>
        <w:t>公示地价体系；</w:t>
      </w:r>
      <w:r>
        <w:rPr>
          <w:rFonts w:hint="default" w:ascii="Times New Roman" w:hAnsi="Times New Roman" w:eastAsia="仿宋_GB2312" w:cs="Times New Roman"/>
          <w:color w:val="auto"/>
          <w:kern w:val="0"/>
          <w:sz w:val="32"/>
          <w:szCs w:val="32"/>
          <w:lang w:bidi="ar"/>
        </w:rPr>
        <w:t>推动集体经营性建设用地与国有建设用地同责监管，健全土地二级市场交易规则，盘活存量土地资源，提升土地配置利用效率。</w:t>
      </w:r>
    </w:p>
    <w:p>
      <w:pPr>
        <w:keepNext w:val="0"/>
        <w:keepLines w:val="0"/>
        <w:pageBreakBefore w:val="0"/>
        <w:kinsoku/>
        <w:wordWrap/>
        <w:overflowPunct/>
        <w:topLinePunct w:val="0"/>
        <w:autoSpaceDE/>
        <w:autoSpaceDN/>
        <w:bidi w:val="0"/>
        <w:adjustRightInd/>
        <w:snapToGrid/>
        <w:spacing w:line="560" w:lineRule="exact"/>
        <w:jc w:val="center"/>
        <w:textAlignment w:val="auto"/>
        <w:outlineLvl w:val="1"/>
        <w:rPr>
          <w:rFonts w:hint="default" w:ascii="Times New Roman" w:hAnsi="Times New Roman" w:eastAsia="楷体" w:cs="Times New Roman"/>
          <w:bCs/>
          <w:color w:val="auto"/>
          <w:sz w:val="32"/>
          <w:szCs w:val="32"/>
        </w:rPr>
      </w:pPr>
      <w:bookmarkStart w:id="484" w:name="_Toc54312839"/>
      <w:bookmarkStart w:id="485" w:name="_Toc485525220"/>
      <w:r>
        <w:rPr>
          <w:rFonts w:hint="default" w:ascii="Times New Roman" w:hAnsi="Times New Roman" w:eastAsia="楷体" w:cs="Times New Roman"/>
          <w:bCs/>
          <w:color w:val="auto"/>
          <w:sz w:val="32"/>
          <w:szCs w:val="32"/>
        </w:rPr>
        <w:t>第二节  健全自然资源法治与监管体系</w:t>
      </w:r>
      <w:bookmarkEnd w:id="484"/>
      <w:bookmarkEnd w:id="485"/>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加强规范性文件制定与管理</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围绕自然资源治理、国土空间规划、生态环境保护等重点领域，通过制度集成创新推动出台三亚市自然岸线指标交易相关管理办法，有序修订《三亚市地下空间开发利用管理暂行办法》《三亚市村庄规划建设管理办法》等政策，推动行政管理科学化、法治化、制度化。建立规范性文件动态定期清理机制，根据上位法变化、改革要求和经济社会发展需要，及时对文件开展全面清理或专项清理。严格落实规范行政规范性文件制定与备案流程，强化合法性审查。</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强化依法行政能力建设</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落实权责清单制度，梳理完善自然资源领域行政许可、行政处罚、行政强制、行政检查等权责事项，明确履职依据、履责方式、追责情形，规范行政权力运行。常态化开展执法人员法治培训，增强依法行政、规范执法能力。健全行政应诉、行政复议工作机制，坚持行政机关负责人出庭应诉，高效化解行政争议。深入推进自然资源领域公益诉讼工作，强化司法监督，守护自然资源与生态环境公共利益。加强法治宣传教育，深入推进“</w:t>
      </w:r>
      <w:r>
        <w:rPr>
          <w:rFonts w:hint="default" w:ascii="Times New Roman" w:hAnsi="Times New Roman" w:eastAsia="仿宋_GB2312" w:cs="Times New Roman"/>
          <w:color w:val="auto"/>
          <w:kern w:val="0"/>
          <w:sz w:val="32"/>
          <w:szCs w:val="32"/>
          <w:lang w:val="en-US" w:eastAsia="zh-CN" w:bidi="ar"/>
        </w:rPr>
        <w:t>九</w:t>
      </w:r>
      <w:r>
        <w:rPr>
          <w:rFonts w:hint="default" w:ascii="Times New Roman" w:hAnsi="Times New Roman" w:eastAsia="仿宋_GB2312" w:cs="Times New Roman"/>
          <w:color w:val="auto"/>
          <w:kern w:val="0"/>
          <w:sz w:val="32"/>
          <w:szCs w:val="32"/>
          <w:lang w:bidi="ar"/>
        </w:rPr>
        <w:t>五普法”，依托主题日节点开展宣传活动，普及自然资源法律法规，提升全社会法治意识。</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完善常态化执法监管机制</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坚持“源头严防、过程严管、后果严惩”原则，构建卫星遥感、无人机巡查、地面排查、海洋监测、群众举报联动的立体化执法监管网络。推广“耕智查”“耕智巡”智慧巡查手段，</w:t>
      </w:r>
      <w:r>
        <w:rPr>
          <w:rFonts w:hint="default" w:ascii="Times New Roman" w:hAnsi="Times New Roman" w:eastAsia="仿宋_GB2312" w:cs="Times New Roman"/>
          <w:i w:val="0"/>
          <w:iCs w:val="0"/>
          <w:caps w:val="0"/>
          <w:color w:val="auto"/>
          <w:spacing w:val="0"/>
          <w:kern w:val="0"/>
          <w:sz w:val="32"/>
          <w:szCs w:val="32"/>
          <w:shd w:val="clear" w:fill="auto"/>
          <w:lang w:bidi="ar"/>
        </w:rPr>
        <w:t>加强耕地利用监测，防范“非农化”“非粮化”及撂荒风险，保障新增耕地的长期稳定利用</w:t>
      </w:r>
      <w:r>
        <w:rPr>
          <w:rFonts w:hint="default" w:ascii="Times New Roman" w:hAnsi="Times New Roman" w:eastAsia="仿宋_GB2312" w:cs="Times New Roman"/>
          <w:color w:val="auto"/>
          <w:kern w:val="0"/>
          <w:sz w:val="32"/>
          <w:szCs w:val="32"/>
          <w:lang w:bidi="ar"/>
        </w:rPr>
        <w:t>。常态化开展卫片执法、季度监测、年度核查工作，重点打击违法用地、非法用海、侵占南繁用地、破坏红树林、无证采矿、违法建设、违规围填海等行为。严格落实行政执法“三项制度”，强化跨部门协同联动，巩固违建整治、农村乱占耕地建房管控、围填海治理、环保督察整改成果，全面规范自然资源利用秩序，提升自然资源督察执法质量与效率。</w:t>
      </w:r>
    </w:p>
    <w:p>
      <w:pPr>
        <w:keepNext w:val="0"/>
        <w:keepLines w:val="0"/>
        <w:pageBreakBefore w:val="0"/>
        <w:kinsoku/>
        <w:wordWrap/>
        <w:overflowPunct/>
        <w:topLinePunct w:val="0"/>
        <w:autoSpaceDE/>
        <w:autoSpaceDN/>
        <w:bidi w:val="0"/>
        <w:adjustRightInd/>
        <w:snapToGrid/>
        <w:spacing w:line="560" w:lineRule="exact"/>
        <w:jc w:val="center"/>
        <w:textAlignment w:val="auto"/>
        <w:outlineLvl w:val="1"/>
        <w:rPr>
          <w:rFonts w:hint="default" w:ascii="Times New Roman" w:hAnsi="Times New Roman" w:eastAsia="楷体" w:cs="Times New Roman"/>
          <w:bCs/>
          <w:color w:val="auto"/>
          <w:sz w:val="32"/>
          <w:szCs w:val="32"/>
        </w:rPr>
      </w:pPr>
      <w:bookmarkStart w:id="486" w:name="_Toc670310778"/>
      <w:bookmarkStart w:id="487" w:name="_Toc807121557"/>
      <w:r>
        <w:rPr>
          <w:rFonts w:hint="default" w:ascii="Times New Roman" w:hAnsi="Times New Roman" w:eastAsia="楷体" w:cs="Times New Roman"/>
          <w:bCs/>
          <w:color w:val="auto"/>
          <w:sz w:val="32"/>
          <w:szCs w:val="32"/>
        </w:rPr>
        <w:t>第三节  推进数字化治理与科技创新应用</w:t>
      </w:r>
      <w:bookmarkEnd w:id="486"/>
      <w:bookmarkEnd w:id="487"/>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val="en-US" w:eastAsia="zh-CN" w:bidi="ar"/>
        </w:rPr>
        <w:t>辅助</w:t>
      </w:r>
      <w:r>
        <w:rPr>
          <w:rFonts w:hint="default" w:ascii="Times New Roman" w:hAnsi="Times New Roman" w:eastAsia="仿宋_GB2312" w:cs="Times New Roman"/>
          <w:b/>
          <w:bCs/>
          <w:color w:val="auto"/>
          <w:kern w:val="0"/>
          <w:sz w:val="32"/>
          <w:szCs w:val="32"/>
          <w:lang w:bidi="ar"/>
        </w:rPr>
        <w:t>构建智慧治理平台体系</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b w:val="0"/>
          <w:bCs w:val="0"/>
          <w:color w:val="auto"/>
          <w:kern w:val="0"/>
          <w:sz w:val="32"/>
          <w:szCs w:val="32"/>
          <w:lang w:val="en-US" w:eastAsia="zh-CN" w:bidi="ar"/>
        </w:rPr>
        <w:t>配合建设“一张底图、一套数据、一个平台”和10余个“机器管+”应用场景构成的海南省国土空间智慧治理体系3.0，</w:t>
      </w:r>
      <w:r>
        <w:rPr>
          <w:rFonts w:hint="default" w:ascii="Times New Roman" w:hAnsi="Times New Roman" w:eastAsia="仿宋_GB2312" w:cs="Times New Roman"/>
          <w:color w:val="auto"/>
          <w:kern w:val="0"/>
          <w:sz w:val="32"/>
          <w:szCs w:val="32"/>
          <w:lang w:bidi="ar"/>
        </w:rPr>
        <w:t>统筹整合土地、海洋、矿产、测绘、规划、生态、执法等数据资源，推动数据共享互通，实现与省、市相关部门数据互联互通，支撑精准管理、科学决策。依托</w:t>
      </w:r>
      <w:r>
        <w:rPr>
          <w:rFonts w:hint="default" w:ascii="Times New Roman" w:hAnsi="Times New Roman" w:eastAsia="仿宋_GB2312" w:cs="Times New Roman"/>
          <w:color w:val="auto"/>
          <w:kern w:val="0"/>
          <w:sz w:val="32"/>
          <w:szCs w:val="32"/>
          <w:lang w:val="en-US" w:eastAsia="zh-CN" w:bidi="ar"/>
        </w:rPr>
        <w:t>省级</w:t>
      </w:r>
      <w:r>
        <w:rPr>
          <w:rFonts w:hint="default" w:ascii="Times New Roman" w:hAnsi="Times New Roman" w:eastAsia="仿宋_GB2312" w:cs="Times New Roman"/>
          <w:color w:val="auto"/>
          <w:kern w:val="0"/>
          <w:sz w:val="32"/>
          <w:szCs w:val="32"/>
          <w:highlight w:val="none"/>
          <w:lang w:bidi="ar"/>
        </w:rPr>
        <w:t>自然资源管理和国土空间规</w:t>
      </w:r>
      <w:r>
        <w:rPr>
          <w:rFonts w:hint="default" w:ascii="Times New Roman" w:hAnsi="Times New Roman" w:eastAsia="仿宋_GB2312" w:cs="Times New Roman"/>
          <w:color w:val="auto"/>
          <w:kern w:val="0"/>
          <w:sz w:val="32"/>
          <w:szCs w:val="32"/>
          <w:lang w:bidi="ar"/>
        </w:rPr>
        <w:t>划“一张图”系统，实现规划编制、审批、调整、实施、监督全流程线上留痕与智能预警，及时发现并处置异常情况。</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强化关键技术创新攻关</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聚焦自然资源保护、开发、利用与治理核心需求，实施重大科技创新项目，重点突破热带海岛地区耕地“三位一体”保护、全域土地综合整治、生态保护修复、海洋资源高效利用、地质灾害防治、智慧监管等领域关键技术。深化产学研融合，与高校、科研院所共建创新平台，引进培育自然资源领域创新团队，推动成果转化落地。加强测绘地理信息科技创新，推广新型基础测绘、实景三维、遥感监测等技术应用。</w:t>
      </w:r>
    </w:p>
    <w:p>
      <w:pPr>
        <w:keepNext w:val="0"/>
        <w:keepLines w:val="0"/>
        <w:pageBreakBefore w:val="0"/>
        <w:widowControl/>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kern w:val="0"/>
          <w:sz w:val="32"/>
          <w:szCs w:val="32"/>
          <w:lang w:bidi="ar"/>
        </w:rPr>
      </w:pPr>
      <w:r>
        <w:rPr>
          <w:rFonts w:hint="default" w:ascii="Times New Roman" w:hAnsi="Times New Roman" w:eastAsia="仿宋_GB2312" w:cs="Times New Roman"/>
          <w:b/>
          <w:bCs/>
          <w:color w:val="auto"/>
          <w:kern w:val="0"/>
          <w:sz w:val="32"/>
          <w:szCs w:val="32"/>
          <w:lang w:bidi="ar"/>
        </w:rPr>
        <w:t>提升测绘服务保障能力</w:t>
      </w:r>
      <w:r>
        <w:rPr>
          <w:rFonts w:hint="default" w:ascii="Times New Roman" w:hAnsi="Times New Roman" w:eastAsia="仿宋_GB2312" w:cs="Times New Roman"/>
          <w:b w:val="0"/>
          <w:bCs w:val="0"/>
          <w:color w:val="auto"/>
          <w:kern w:val="0"/>
          <w:sz w:val="32"/>
          <w:szCs w:val="32"/>
          <w:lang w:bidi="ar"/>
        </w:rPr>
        <w:t>。</w:t>
      </w:r>
      <w:r>
        <w:rPr>
          <w:rFonts w:hint="default" w:ascii="Times New Roman" w:hAnsi="Times New Roman" w:eastAsia="仿宋_GB2312" w:cs="Times New Roman"/>
          <w:color w:val="auto"/>
          <w:kern w:val="0"/>
          <w:sz w:val="32"/>
          <w:szCs w:val="32"/>
          <w:lang w:bidi="ar"/>
        </w:rPr>
        <w:t>健全测绘基准运维机制，做好基准站网日常维护、陆海一体高程基准动态校核，全面优化高精度、高稳定性、适配滨海环境的现代测绘基准服务体系。推行“多测合一”“联合测绘”模式，推动基础测绘向三维化、实时化、场景化升级。针对市域地形地貌和发展特点，构建多层级地理场景、地理实体等三维地理时空数据，形成三亚市地形级、城市级、部件级的三维地理时空数据“底图、底线和底板”。同步建设三亚市基础时空数据库对二三维数据成果进行管理、更新维护、基础应用服务等，为提升现代化治理能力提供基础测绘支撑。常态化开展1:500、1:2000多尺度基础地理信息数据更新，提升测绘产品供给能力，强化测绘成果管理与共享应用，推动测绘数据在自然资源管理、国土空间规划、城市建设、生态修复、应急管理等领域深度应用。规范测绘资质管理与测绘行为，打击无证测绘、超范围测绘、非法采集地理信息等违规行为，筑牢地理信息安全防线。</w:t>
      </w:r>
    </w:p>
    <w:p>
      <w:pPr>
        <w:pStyle w:val="2"/>
        <w:widowControl w:val="0"/>
        <w:spacing w:line="560" w:lineRule="exact"/>
        <w:ind w:firstLine="640"/>
        <w:rPr>
          <w:rFonts w:hint="default" w:ascii="Times New Roman" w:hAnsi="Times New Roman" w:eastAsia="仿宋_GB2312" w:cs="Times New Roman"/>
          <w:color w:val="auto"/>
          <w:sz w:val="32"/>
          <w:szCs w:val="32"/>
        </w:rPr>
      </w:pPr>
    </w:p>
    <w:p>
      <w:pPr>
        <w:jc w:val="center"/>
        <w:outlineLvl w:val="0"/>
        <w:rPr>
          <w:rFonts w:hint="default" w:ascii="Times New Roman" w:hAnsi="Times New Roman" w:eastAsia="黑体" w:cs="Times New Roman"/>
          <w:color w:val="auto"/>
          <w:kern w:val="0"/>
          <w:sz w:val="32"/>
          <w:szCs w:val="32"/>
          <w:lang w:bidi="ar"/>
        </w:rPr>
      </w:pPr>
      <w:bookmarkStart w:id="488" w:name="_Toc27560"/>
      <w:bookmarkStart w:id="489" w:name="_Toc17562"/>
      <w:bookmarkStart w:id="490" w:name="_Toc1229"/>
      <w:bookmarkStart w:id="491" w:name="_Toc810093806"/>
      <w:bookmarkStart w:id="492" w:name="_Toc30704"/>
      <w:bookmarkStart w:id="493" w:name="_Toc8854"/>
      <w:bookmarkStart w:id="494" w:name="_Toc30561"/>
      <w:bookmarkStart w:id="495" w:name="_Toc30329"/>
      <w:bookmarkStart w:id="496" w:name="_Toc30854"/>
      <w:bookmarkStart w:id="497" w:name="_Toc14919"/>
      <w:bookmarkStart w:id="498" w:name="_Toc7230"/>
      <w:bookmarkStart w:id="499" w:name="_Toc14580"/>
      <w:bookmarkStart w:id="500" w:name="_Toc15696"/>
      <w:bookmarkStart w:id="501" w:name="_Toc18289"/>
      <w:bookmarkStart w:id="502" w:name="_Toc28724"/>
      <w:bookmarkStart w:id="503" w:name="_Toc17369"/>
      <w:bookmarkStart w:id="504" w:name="_Toc13985"/>
      <w:bookmarkStart w:id="505" w:name="_Toc7314"/>
      <w:bookmarkStart w:id="506" w:name="_Toc2111109786"/>
      <w:bookmarkStart w:id="507" w:name="_Toc10280"/>
      <w:bookmarkStart w:id="508" w:name="_Toc6181"/>
      <w:bookmarkStart w:id="509" w:name="_Toc57283420"/>
      <w:bookmarkStart w:id="510" w:name="_Toc29921"/>
      <w:bookmarkStart w:id="511" w:name="_Toc26222"/>
      <w:r>
        <w:rPr>
          <w:rFonts w:hint="default" w:ascii="Times New Roman" w:hAnsi="Times New Roman" w:eastAsia="黑体" w:cs="Times New Roman"/>
          <w:color w:val="auto"/>
          <w:kern w:val="0"/>
          <w:sz w:val="32"/>
          <w:szCs w:val="32"/>
          <w:lang w:bidi="ar"/>
        </w:rPr>
        <w:t>第十章  保障措施</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pPr>
        <w:spacing w:line="560" w:lineRule="exact"/>
        <w:ind w:firstLine="640" w:firstLineChars="200"/>
        <w:rPr>
          <w:rFonts w:hint="default" w:ascii="Times New Roman" w:hAnsi="Times New Roman" w:eastAsia="仿宋_GB2312" w:cs="Times New Roman"/>
          <w:color w:val="auto"/>
          <w:sz w:val="32"/>
          <w:szCs w:val="32"/>
        </w:rPr>
      </w:pPr>
      <w:bookmarkStart w:id="512" w:name="_Toc10493"/>
      <w:bookmarkStart w:id="513" w:name="_Toc21740"/>
      <w:bookmarkStart w:id="514" w:name="_Toc8697"/>
      <w:bookmarkStart w:id="515" w:name="_Toc18452"/>
      <w:bookmarkStart w:id="516" w:name="_Toc1629"/>
    </w:p>
    <w:p>
      <w:pPr>
        <w:widowControl/>
        <w:spacing w:line="560" w:lineRule="exact"/>
        <w:jc w:val="center"/>
        <w:outlineLvl w:val="1"/>
        <w:rPr>
          <w:rFonts w:hint="default" w:ascii="Times New Roman" w:hAnsi="Times New Roman" w:eastAsia="楷体" w:cs="Times New Roman"/>
          <w:bCs/>
          <w:color w:val="auto"/>
          <w:sz w:val="32"/>
          <w:szCs w:val="32"/>
        </w:rPr>
      </w:pPr>
      <w:bookmarkStart w:id="517" w:name="_Toc1062078621"/>
      <w:bookmarkStart w:id="518" w:name="_Toc400200873"/>
      <w:r>
        <w:rPr>
          <w:rFonts w:hint="default" w:ascii="Times New Roman" w:hAnsi="Times New Roman" w:eastAsia="楷体" w:cs="Times New Roman"/>
          <w:bCs/>
          <w:color w:val="auto"/>
          <w:sz w:val="32"/>
          <w:szCs w:val="32"/>
        </w:rPr>
        <w:t>第一</w:t>
      </w:r>
      <w:bookmarkEnd w:id="512"/>
      <w:bookmarkEnd w:id="513"/>
      <w:bookmarkEnd w:id="514"/>
      <w:bookmarkEnd w:id="515"/>
      <w:bookmarkEnd w:id="516"/>
      <w:r>
        <w:rPr>
          <w:rFonts w:hint="default" w:ascii="Times New Roman" w:hAnsi="Times New Roman" w:eastAsia="楷体" w:cs="Times New Roman"/>
          <w:bCs/>
          <w:color w:val="auto"/>
          <w:sz w:val="32"/>
          <w:szCs w:val="32"/>
        </w:rPr>
        <w:t>节  坚持党的全面领导</w:t>
      </w:r>
      <w:bookmarkEnd w:id="517"/>
      <w:bookmarkEnd w:id="518"/>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完善自然资源治理和规划落实领导机制，层层传导压实责任，推动本规划确定的重点目标任务执行有力、落地见效。充分发挥党总揽全局、协调各方的领导核心作用，重大事项落实民主集中制和依法决策，以实干实绩增强“四个意识”、坚定“四个自信”、做到“两个维护”。持续用党的创新理论统一行动，学习贯彻习近平总书记关于海南工作的系列重要讲话</w:t>
      </w:r>
      <w:r>
        <w:rPr>
          <w:rFonts w:hint="default" w:ascii="Times New Roman" w:hAnsi="Times New Roman" w:eastAsia="仿宋_GB2312" w:cs="Times New Roman"/>
          <w:color w:val="auto"/>
          <w:sz w:val="32"/>
          <w:szCs w:val="32"/>
          <w:lang w:val="en-US" w:eastAsia="zh-CN"/>
        </w:rPr>
        <w:t>和</w:t>
      </w:r>
      <w:r>
        <w:rPr>
          <w:rFonts w:hint="default" w:ascii="Times New Roman" w:hAnsi="Times New Roman" w:eastAsia="仿宋_GB2312" w:cs="Times New Roman"/>
          <w:color w:val="auto"/>
          <w:sz w:val="32"/>
          <w:szCs w:val="32"/>
        </w:rPr>
        <w:t>指示批示精神，</w:t>
      </w:r>
      <w:r>
        <w:rPr>
          <w:rFonts w:hint="default" w:ascii="Times New Roman" w:hAnsi="Times New Roman" w:eastAsia="仿宋_GB2312" w:cs="Times New Roman"/>
          <w:color w:val="auto"/>
          <w:kern w:val="0"/>
          <w:sz w:val="32"/>
          <w:szCs w:val="32"/>
          <w:highlight w:val="none"/>
          <w:lang w:bidi="ar"/>
        </w:rPr>
        <w:t>确保规划实施始终同党中央决策部署及省委</w:t>
      </w:r>
      <w:r>
        <w:rPr>
          <w:rFonts w:hint="default" w:ascii="Times New Roman" w:hAnsi="Times New Roman" w:eastAsia="仿宋_GB2312" w:cs="Times New Roman"/>
          <w:color w:val="auto"/>
          <w:kern w:val="0"/>
          <w:sz w:val="32"/>
          <w:szCs w:val="32"/>
          <w:highlight w:val="none"/>
          <w:lang w:val="en-US" w:eastAsia="zh-CN" w:bidi="ar"/>
        </w:rPr>
        <w:t>市委</w:t>
      </w:r>
      <w:r>
        <w:rPr>
          <w:rFonts w:hint="default" w:ascii="Times New Roman" w:hAnsi="Times New Roman" w:eastAsia="仿宋_GB2312" w:cs="Times New Roman"/>
          <w:color w:val="auto"/>
          <w:kern w:val="0"/>
          <w:sz w:val="32"/>
          <w:szCs w:val="32"/>
          <w:highlight w:val="none"/>
          <w:lang w:bidi="ar"/>
        </w:rPr>
        <w:t>工作要求保持高度一致</w:t>
      </w:r>
      <w:r>
        <w:rPr>
          <w:rFonts w:hint="default" w:ascii="Times New Roman" w:hAnsi="Times New Roman" w:eastAsia="仿宋_GB2312" w:cs="Times New Roman"/>
          <w:color w:val="auto"/>
          <w:sz w:val="32"/>
          <w:szCs w:val="32"/>
        </w:rPr>
        <w:t>。加强党的组织体系建设，增强基层党组织的政治功能和组织功能，落实好工作任务“最后一公里”。推进“清廉资规”建设，确保党员干部忠诚干净担当，为本规划实施上下贯通、协同联动提供坚强纪律保障。</w:t>
      </w:r>
    </w:p>
    <w:p>
      <w:pPr>
        <w:widowControl/>
        <w:spacing w:line="560" w:lineRule="exact"/>
        <w:jc w:val="center"/>
        <w:outlineLvl w:val="1"/>
        <w:rPr>
          <w:rFonts w:hint="default" w:ascii="Times New Roman" w:hAnsi="Times New Roman" w:eastAsia="楷体" w:cs="Times New Roman"/>
          <w:bCs/>
          <w:color w:val="auto"/>
          <w:sz w:val="32"/>
          <w:szCs w:val="32"/>
        </w:rPr>
      </w:pPr>
      <w:bookmarkStart w:id="519" w:name="_Toc13027"/>
      <w:bookmarkStart w:id="520" w:name="_Toc1926"/>
      <w:bookmarkStart w:id="521" w:name="_Toc27631"/>
      <w:bookmarkStart w:id="522" w:name="_Toc26930"/>
      <w:bookmarkStart w:id="523" w:name="_Toc3107"/>
      <w:bookmarkStart w:id="524" w:name="_Toc202521589"/>
      <w:bookmarkStart w:id="525" w:name="_Toc1564595362"/>
      <w:r>
        <w:rPr>
          <w:rFonts w:hint="default" w:ascii="Times New Roman" w:hAnsi="Times New Roman" w:eastAsia="楷体" w:cs="Times New Roman"/>
          <w:bCs/>
          <w:color w:val="auto"/>
          <w:sz w:val="32"/>
          <w:szCs w:val="32"/>
        </w:rPr>
        <w:t>第二</w:t>
      </w:r>
      <w:bookmarkEnd w:id="519"/>
      <w:bookmarkEnd w:id="520"/>
      <w:bookmarkEnd w:id="521"/>
      <w:bookmarkEnd w:id="522"/>
      <w:bookmarkEnd w:id="523"/>
      <w:r>
        <w:rPr>
          <w:rFonts w:hint="default" w:ascii="Times New Roman" w:hAnsi="Times New Roman" w:eastAsia="楷体" w:cs="Times New Roman"/>
          <w:bCs/>
          <w:color w:val="auto"/>
          <w:sz w:val="32"/>
          <w:szCs w:val="32"/>
        </w:rPr>
        <w:t>节  锻造高素质人才队伍</w:t>
      </w:r>
      <w:bookmarkEnd w:id="524"/>
      <w:bookmarkEnd w:id="525"/>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坚持正确选人用人导向，从严管理监督和鼓励担当作为相统一，持续打造资规系统高素质人才梯队。系统谋划干部人才建设，因地制宜、精准施策，从选优配强领导干部向整体提质增效延伸。紧扣“两统一”核心职责，开展分级分类学习培训，提高干部现代化建设能力。健全人才培养选任机制，放在实践一线、关键吃劲岗位历练，打造懂专业、懂政策、懂经济、懂产业、懂治理的复合型资规铁军。统筹推进人才激励、干部流动、组织保障，加强人才政策创新、资源统筹、评价联动，提升干部“三种能力”、锻造“九种作风”、弘扬“马真精神”。依托三亚市集成创新策源地及“三度一色”优势，强化与京、沪、大湾区人才高地及海外高层次专家的互动，运用我省央地合作、部省融合、平台共建、人才飞地、对口帮扶等机制，加大资规领域引才育才力度，建强专家服务基地，打造总量稳定、结构合理、质量拔尖的人才库。</w:t>
      </w:r>
    </w:p>
    <w:p>
      <w:pPr>
        <w:widowControl/>
        <w:spacing w:line="560" w:lineRule="exact"/>
        <w:jc w:val="center"/>
        <w:outlineLvl w:val="1"/>
        <w:rPr>
          <w:rFonts w:hint="default" w:ascii="Times New Roman" w:hAnsi="Times New Roman" w:eastAsia="楷体" w:cs="Times New Roman"/>
          <w:bCs/>
          <w:color w:val="auto"/>
          <w:sz w:val="32"/>
          <w:szCs w:val="32"/>
        </w:rPr>
      </w:pPr>
      <w:bookmarkStart w:id="526" w:name="_Toc17090"/>
      <w:bookmarkStart w:id="527" w:name="_Toc18851"/>
      <w:bookmarkStart w:id="528" w:name="_Toc25933"/>
      <w:bookmarkStart w:id="529" w:name="_Toc19520"/>
      <w:bookmarkStart w:id="530" w:name="_Toc5030"/>
      <w:bookmarkStart w:id="531" w:name="_Toc2084487816"/>
      <w:bookmarkStart w:id="532" w:name="_Toc2092594696"/>
      <w:r>
        <w:rPr>
          <w:rFonts w:hint="default" w:ascii="Times New Roman" w:hAnsi="Times New Roman" w:eastAsia="楷体" w:cs="Times New Roman"/>
          <w:bCs/>
          <w:color w:val="auto"/>
          <w:sz w:val="32"/>
          <w:szCs w:val="32"/>
        </w:rPr>
        <w:t>第三节  加强实施</w:t>
      </w:r>
      <w:bookmarkEnd w:id="526"/>
      <w:bookmarkEnd w:id="527"/>
      <w:bookmarkEnd w:id="528"/>
      <w:bookmarkEnd w:id="529"/>
      <w:bookmarkEnd w:id="530"/>
      <w:r>
        <w:rPr>
          <w:rFonts w:hint="default" w:ascii="Times New Roman" w:hAnsi="Times New Roman" w:eastAsia="楷体" w:cs="Times New Roman"/>
          <w:bCs/>
          <w:color w:val="auto"/>
          <w:sz w:val="32"/>
          <w:szCs w:val="32"/>
        </w:rPr>
        <w:t>监督评估</w:t>
      </w:r>
      <w:bookmarkEnd w:id="531"/>
      <w:bookmarkEnd w:id="532"/>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加强规划与宏观政策协调联动，做好年度计划与规划的衔接。动态优化对规划实施情况的考核评价方法设计，开展年度监测分析、中期评估、总结评估，形成权责一致、覆盖全面的监督评价体系。坚持问题导向与目标导向，建立系统完整、远近结合的监测评价指标体系，形成加强改进规划实施的对策建议。坚持自评估与第三方评估相结合，综合评估与专项评估相结合，定性定量与个性化评估相结合，不断提高监测评估和监督工作质效。自觉接受政府监督、纪检监督、社会监督等全面监督，把规划实施情况作为信息公开内容，增强监督评估工作合力，确保规划执行到位。</w:t>
      </w:r>
    </w:p>
    <w:p>
      <w:pPr>
        <w:widowControl/>
        <w:spacing w:line="560" w:lineRule="exact"/>
        <w:jc w:val="center"/>
        <w:outlineLvl w:val="1"/>
        <w:rPr>
          <w:rFonts w:hint="default" w:ascii="Times New Roman" w:hAnsi="Times New Roman" w:eastAsia="楷体" w:cs="Times New Roman"/>
          <w:bCs/>
          <w:color w:val="auto"/>
          <w:sz w:val="32"/>
          <w:szCs w:val="32"/>
        </w:rPr>
      </w:pPr>
      <w:bookmarkStart w:id="533" w:name="_Toc9358"/>
      <w:bookmarkStart w:id="534" w:name="_Toc4822"/>
      <w:bookmarkStart w:id="535" w:name="_Toc25361"/>
      <w:bookmarkStart w:id="536" w:name="_Toc25241"/>
      <w:bookmarkStart w:id="537" w:name="_Toc22042"/>
      <w:bookmarkStart w:id="538" w:name="_Toc855498470"/>
      <w:bookmarkStart w:id="539" w:name="_Toc396521554"/>
      <w:r>
        <w:rPr>
          <w:rFonts w:hint="default" w:ascii="Times New Roman" w:hAnsi="Times New Roman" w:eastAsia="楷体" w:cs="Times New Roman"/>
          <w:bCs/>
          <w:color w:val="auto"/>
          <w:sz w:val="32"/>
          <w:szCs w:val="32"/>
          <w:lang w:val="en"/>
        </w:rPr>
        <w:t>第四节</w:t>
      </w:r>
      <w:bookmarkEnd w:id="533"/>
      <w:bookmarkEnd w:id="534"/>
      <w:bookmarkEnd w:id="535"/>
      <w:bookmarkEnd w:id="536"/>
      <w:bookmarkEnd w:id="537"/>
      <w:r>
        <w:rPr>
          <w:rFonts w:hint="default" w:ascii="Times New Roman" w:hAnsi="Times New Roman" w:eastAsia="楷体" w:cs="Times New Roman"/>
          <w:bCs/>
          <w:color w:val="auto"/>
          <w:sz w:val="32"/>
          <w:szCs w:val="32"/>
        </w:rPr>
        <w:t xml:space="preserve">  凝聚动员社会力量</w:t>
      </w:r>
      <w:bookmarkEnd w:id="538"/>
      <w:bookmarkEnd w:id="539"/>
    </w:p>
    <w:p>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加强宣传队伍培训，提升规划解读的规范化与实效性。站稳群众立场，宣传引导接地气、有新气，提高社会各界对规划的认知度。运用群众易懂的场景案例、可视化多元手段，关心支持我省资规事业和三亚市经济社会发展。充分利用世界地球日、世界海洋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全国土地日、全国测绘法宣传日、世界水日等主题日节点，紧扣民生热点，进学校、到企业、入社区开展宣传，提高群众主动参与自然资源保护利用的意识。发挥三亚市旅游资源丰富、对外开放度高等特色优势，用好展览馆、科普角、研学基地等文化场所，通过专家讲座、邀请群众代表交流等方式，加强对习</w:t>
      </w:r>
      <w:bookmarkStart w:id="540" w:name="_GoBack"/>
      <w:bookmarkEnd w:id="540"/>
      <w:r>
        <w:rPr>
          <w:rFonts w:hint="default" w:ascii="Times New Roman" w:hAnsi="Times New Roman" w:eastAsia="仿宋_GB2312" w:cs="Times New Roman"/>
          <w:color w:val="auto"/>
          <w:sz w:val="32"/>
          <w:szCs w:val="32"/>
        </w:rPr>
        <w:t>近平生态文明思想和省情教育，充分展示构建从山顶到海洋保护治理大格局的海南经验。</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74"/>
      <w:bookmarkEnd w:id="475"/>
      <w:bookmarkEnd w:id="476"/>
      <w:bookmarkEnd w:id="477"/>
      <w:bookmarkEnd w:id="478"/>
    </w:p>
    <w:sectPr>
      <w:footerReference r:id="rId5" w:type="default"/>
      <w:pgSz w:w="11900" w:h="16840"/>
      <w:pgMar w:top="2098" w:right="1474" w:bottom="1984" w:left="1587" w:header="851" w:footer="992" w:gutter="340"/>
      <w:lnNumType w:countBy="0" w:restart="continuou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宋体"/>
    <w:panose1 w:val="02010600030101010101"/>
    <w:charset w:val="86"/>
    <w:family w:val="auto"/>
    <w:pitch w:val="default"/>
    <w:sig w:usb0="00000000" w:usb1="00000000" w:usb2="00000016" w:usb3="00000000" w:csb0="0004000F" w:csb1="00000000"/>
  </w:font>
  <w:font w:name="方正仿宋_GB2312">
    <w:altName w:val="方正仿宋_GBK"/>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等线 Light">
    <w:altName w:val="仿宋_GB2312"/>
    <w:panose1 w:val="02010600030101010101"/>
    <w:charset w:val="86"/>
    <w:family w:val="auto"/>
    <w:pitch w:val="default"/>
    <w:sig w:usb0="00000000" w:usb1="00000000" w:usb2="00000016" w:usb3="00000000" w:csb0="0004000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A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19"/>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false"/>
  <w:bordersDoNotSurroundFooter w:val="false"/>
  <w:trackRevisions w:val="tru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26A2"/>
    <w:rsid w:val="000126CD"/>
    <w:rsid w:val="00013BE7"/>
    <w:rsid w:val="00013E64"/>
    <w:rsid w:val="00013E6B"/>
    <w:rsid w:val="0002260A"/>
    <w:rsid w:val="00024FED"/>
    <w:rsid w:val="000408E0"/>
    <w:rsid w:val="000455D6"/>
    <w:rsid w:val="000470A0"/>
    <w:rsid w:val="00051AF7"/>
    <w:rsid w:val="00052331"/>
    <w:rsid w:val="000545A0"/>
    <w:rsid w:val="00060037"/>
    <w:rsid w:val="00061C8B"/>
    <w:rsid w:val="00064D59"/>
    <w:rsid w:val="000710B6"/>
    <w:rsid w:val="00073E75"/>
    <w:rsid w:val="000754A9"/>
    <w:rsid w:val="000766A1"/>
    <w:rsid w:val="00086FC8"/>
    <w:rsid w:val="00096360"/>
    <w:rsid w:val="000A44AD"/>
    <w:rsid w:val="000B7EAF"/>
    <w:rsid w:val="000D0BDD"/>
    <w:rsid w:val="000D119A"/>
    <w:rsid w:val="000D6B38"/>
    <w:rsid w:val="000E22D1"/>
    <w:rsid w:val="000F3099"/>
    <w:rsid w:val="000F5626"/>
    <w:rsid w:val="00105620"/>
    <w:rsid w:val="00106353"/>
    <w:rsid w:val="00110645"/>
    <w:rsid w:val="0011138E"/>
    <w:rsid w:val="0012285C"/>
    <w:rsid w:val="00133914"/>
    <w:rsid w:val="00136200"/>
    <w:rsid w:val="0014291F"/>
    <w:rsid w:val="001464BB"/>
    <w:rsid w:val="001519FD"/>
    <w:rsid w:val="00166F00"/>
    <w:rsid w:val="00166F31"/>
    <w:rsid w:val="00171661"/>
    <w:rsid w:val="00172A27"/>
    <w:rsid w:val="0018041B"/>
    <w:rsid w:val="00180E58"/>
    <w:rsid w:val="00193304"/>
    <w:rsid w:val="001960E7"/>
    <w:rsid w:val="001A444A"/>
    <w:rsid w:val="001A6AE1"/>
    <w:rsid w:val="001B1F52"/>
    <w:rsid w:val="001B3373"/>
    <w:rsid w:val="001C3745"/>
    <w:rsid w:val="001C4779"/>
    <w:rsid w:val="001C6342"/>
    <w:rsid w:val="001E12A5"/>
    <w:rsid w:val="001F3888"/>
    <w:rsid w:val="001F3ADA"/>
    <w:rsid w:val="001F4B28"/>
    <w:rsid w:val="0020233B"/>
    <w:rsid w:val="00204BDF"/>
    <w:rsid w:val="002053CB"/>
    <w:rsid w:val="0022000A"/>
    <w:rsid w:val="0023793E"/>
    <w:rsid w:val="00243C0E"/>
    <w:rsid w:val="00244C53"/>
    <w:rsid w:val="0026346A"/>
    <w:rsid w:val="00276C84"/>
    <w:rsid w:val="0028503E"/>
    <w:rsid w:val="002C2750"/>
    <w:rsid w:val="002E5615"/>
    <w:rsid w:val="002E5ACD"/>
    <w:rsid w:val="002E5D77"/>
    <w:rsid w:val="002F416A"/>
    <w:rsid w:val="0030596B"/>
    <w:rsid w:val="00307949"/>
    <w:rsid w:val="0031188C"/>
    <w:rsid w:val="00314EBF"/>
    <w:rsid w:val="00323DB6"/>
    <w:rsid w:val="003276BE"/>
    <w:rsid w:val="00327B3D"/>
    <w:rsid w:val="00342325"/>
    <w:rsid w:val="00346ADF"/>
    <w:rsid w:val="00346FF0"/>
    <w:rsid w:val="0035238A"/>
    <w:rsid w:val="00352C78"/>
    <w:rsid w:val="00354735"/>
    <w:rsid w:val="00361A6E"/>
    <w:rsid w:val="003878B1"/>
    <w:rsid w:val="003925A0"/>
    <w:rsid w:val="003A3201"/>
    <w:rsid w:val="003D082A"/>
    <w:rsid w:val="003D7C73"/>
    <w:rsid w:val="003E1984"/>
    <w:rsid w:val="004074F3"/>
    <w:rsid w:val="0043242A"/>
    <w:rsid w:val="00450610"/>
    <w:rsid w:val="00457200"/>
    <w:rsid w:val="004623F2"/>
    <w:rsid w:val="00462F66"/>
    <w:rsid w:val="00471196"/>
    <w:rsid w:val="00480951"/>
    <w:rsid w:val="00494FFB"/>
    <w:rsid w:val="004A3D94"/>
    <w:rsid w:val="004A4AE0"/>
    <w:rsid w:val="004A5888"/>
    <w:rsid w:val="004C046B"/>
    <w:rsid w:val="004C1389"/>
    <w:rsid w:val="004E7421"/>
    <w:rsid w:val="004F3B3C"/>
    <w:rsid w:val="004F51D9"/>
    <w:rsid w:val="00500C05"/>
    <w:rsid w:val="005205D3"/>
    <w:rsid w:val="00521270"/>
    <w:rsid w:val="005256A5"/>
    <w:rsid w:val="005303A4"/>
    <w:rsid w:val="0053275C"/>
    <w:rsid w:val="00533BAD"/>
    <w:rsid w:val="00557931"/>
    <w:rsid w:val="00557A8F"/>
    <w:rsid w:val="005704C6"/>
    <w:rsid w:val="00573447"/>
    <w:rsid w:val="005832AD"/>
    <w:rsid w:val="00583DDB"/>
    <w:rsid w:val="0058405E"/>
    <w:rsid w:val="00584B24"/>
    <w:rsid w:val="005900D6"/>
    <w:rsid w:val="00593C47"/>
    <w:rsid w:val="005A3D9C"/>
    <w:rsid w:val="005A6F42"/>
    <w:rsid w:val="005B1ADC"/>
    <w:rsid w:val="005C3C96"/>
    <w:rsid w:val="005D04E8"/>
    <w:rsid w:val="005D7D9E"/>
    <w:rsid w:val="005E6500"/>
    <w:rsid w:val="005E7619"/>
    <w:rsid w:val="005F28B8"/>
    <w:rsid w:val="005F32D5"/>
    <w:rsid w:val="005F376B"/>
    <w:rsid w:val="005F6EAF"/>
    <w:rsid w:val="00610768"/>
    <w:rsid w:val="00613746"/>
    <w:rsid w:val="00637752"/>
    <w:rsid w:val="00640207"/>
    <w:rsid w:val="0064167B"/>
    <w:rsid w:val="00643CBC"/>
    <w:rsid w:val="00664532"/>
    <w:rsid w:val="00670598"/>
    <w:rsid w:val="00672F4B"/>
    <w:rsid w:val="00675683"/>
    <w:rsid w:val="00677CF3"/>
    <w:rsid w:val="006832A4"/>
    <w:rsid w:val="00687BB2"/>
    <w:rsid w:val="006A2BBA"/>
    <w:rsid w:val="006A5038"/>
    <w:rsid w:val="006B1A0F"/>
    <w:rsid w:val="006B615E"/>
    <w:rsid w:val="006C176E"/>
    <w:rsid w:val="006C3FC9"/>
    <w:rsid w:val="006C583E"/>
    <w:rsid w:val="006C5927"/>
    <w:rsid w:val="006D2402"/>
    <w:rsid w:val="006D2B82"/>
    <w:rsid w:val="006F01EE"/>
    <w:rsid w:val="00701DF7"/>
    <w:rsid w:val="00702588"/>
    <w:rsid w:val="007063A0"/>
    <w:rsid w:val="0070697D"/>
    <w:rsid w:val="007105AC"/>
    <w:rsid w:val="007159CC"/>
    <w:rsid w:val="00716F1F"/>
    <w:rsid w:val="00720920"/>
    <w:rsid w:val="00732C7F"/>
    <w:rsid w:val="0073324B"/>
    <w:rsid w:val="00736F96"/>
    <w:rsid w:val="00746067"/>
    <w:rsid w:val="00756D35"/>
    <w:rsid w:val="00765B6F"/>
    <w:rsid w:val="0077205F"/>
    <w:rsid w:val="00786BAE"/>
    <w:rsid w:val="00790111"/>
    <w:rsid w:val="007931A9"/>
    <w:rsid w:val="00795166"/>
    <w:rsid w:val="007A5800"/>
    <w:rsid w:val="007A6F44"/>
    <w:rsid w:val="007C65CD"/>
    <w:rsid w:val="007C7CF5"/>
    <w:rsid w:val="007D03B8"/>
    <w:rsid w:val="007D582A"/>
    <w:rsid w:val="007D6392"/>
    <w:rsid w:val="007E6221"/>
    <w:rsid w:val="007E6A2E"/>
    <w:rsid w:val="007F0833"/>
    <w:rsid w:val="008153AB"/>
    <w:rsid w:val="00821CBF"/>
    <w:rsid w:val="00857C96"/>
    <w:rsid w:val="00861911"/>
    <w:rsid w:val="0086403A"/>
    <w:rsid w:val="008762EA"/>
    <w:rsid w:val="008771F0"/>
    <w:rsid w:val="00877A22"/>
    <w:rsid w:val="008836EE"/>
    <w:rsid w:val="00884A78"/>
    <w:rsid w:val="00884FB9"/>
    <w:rsid w:val="00886AC8"/>
    <w:rsid w:val="00891937"/>
    <w:rsid w:val="008A0A0A"/>
    <w:rsid w:val="008A58F1"/>
    <w:rsid w:val="008B1A14"/>
    <w:rsid w:val="008C0EDE"/>
    <w:rsid w:val="008D72B7"/>
    <w:rsid w:val="008D7E5C"/>
    <w:rsid w:val="008E018A"/>
    <w:rsid w:val="008E4625"/>
    <w:rsid w:val="008F0902"/>
    <w:rsid w:val="00904018"/>
    <w:rsid w:val="00912800"/>
    <w:rsid w:val="0092439B"/>
    <w:rsid w:val="00925D8C"/>
    <w:rsid w:val="009269A2"/>
    <w:rsid w:val="00927B22"/>
    <w:rsid w:val="00933985"/>
    <w:rsid w:val="00933B97"/>
    <w:rsid w:val="00943401"/>
    <w:rsid w:val="00953093"/>
    <w:rsid w:val="0095416A"/>
    <w:rsid w:val="0095653A"/>
    <w:rsid w:val="00960584"/>
    <w:rsid w:val="009606B6"/>
    <w:rsid w:val="00971FBB"/>
    <w:rsid w:val="00972F73"/>
    <w:rsid w:val="00984011"/>
    <w:rsid w:val="00985B3C"/>
    <w:rsid w:val="00991C69"/>
    <w:rsid w:val="009C0982"/>
    <w:rsid w:val="009C2855"/>
    <w:rsid w:val="009C30D7"/>
    <w:rsid w:val="009D55F1"/>
    <w:rsid w:val="009D572A"/>
    <w:rsid w:val="009F1094"/>
    <w:rsid w:val="00A16788"/>
    <w:rsid w:val="00A21DEE"/>
    <w:rsid w:val="00A22170"/>
    <w:rsid w:val="00A27B3C"/>
    <w:rsid w:val="00A27C13"/>
    <w:rsid w:val="00A40F49"/>
    <w:rsid w:val="00A45DF3"/>
    <w:rsid w:val="00A50703"/>
    <w:rsid w:val="00A55C49"/>
    <w:rsid w:val="00A6592E"/>
    <w:rsid w:val="00A70760"/>
    <w:rsid w:val="00A7103A"/>
    <w:rsid w:val="00A7354A"/>
    <w:rsid w:val="00A739E7"/>
    <w:rsid w:val="00A759A3"/>
    <w:rsid w:val="00AA164A"/>
    <w:rsid w:val="00AA38DC"/>
    <w:rsid w:val="00AA4ECC"/>
    <w:rsid w:val="00AB231C"/>
    <w:rsid w:val="00AC25B7"/>
    <w:rsid w:val="00AD7C36"/>
    <w:rsid w:val="00AF4CF3"/>
    <w:rsid w:val="00B00D5F"/>
    <w:rsid w:val="00B07337"/>
    <w:rsid w:val="00B07B2B"/>
    <w:rsid w:val="00B11588"/>
    <w:rsid w:val="00B30C28"/>
    <w:rsid w:val="00B332F9"/>
    <w:rsid w:val="00B333A1"/>
    <w:rsid w:val="00B55692"/>
    <w:rsid w:val="00B60F73"/>
    <w:rsid w:val="00B63E8F"/>
    <w:rsid w:val="00B72538"/>
    <w:rsid w:val="00B844FC"/>
    <w:rsid w:val="00B85C63"/>
    <w:rsid w:val="00B85F13"/>
    <w:rsid w:val="00BA351F"/>
    <w:rsid w:val="00BB32A7"/>
    <w:rsid w:val="00BB48B2"/>
    <w:rsid w:val="00BB5C4A"/>
    <w:rsid w:val="00BD361C"/>
    <w:rsid w:val="00BE4C3E"/>
    <w:rsid w:val="00BF414E"/>
    <w:rsid w:val="00C01472"/>
    <w:rsid w:val="00C11DC0"/>
    <w:rsid w:val="00C44182"/>
    <w:rsid w:val="00C453DA"/>
    <w:rsid w:val="00C45EEA"/>
    <w:rsid w:val="00C51976"/>
    <w:rsid w:val="00C55BBF"/>
    <w:rsid w:val="00C608E8"/>
    <w:rsid w:val="00C6239C"/>
    <w:rsid w:val="00C77695"/>
    <w:rsid w:val="00C86044"/>
    <w:rsid w:val="00C8621A"/>
    <w:rsid w:val="00C94831"/>
    <w:rsid w:val="00C96602"/>
    <w:rsid w:val="00CA3710"/>
    <w:rsid w:val="00CB12B7"/>
    <w:rsid w:val="00CB227C"/>
    <w:rsid w:val="00CB3AFC"/>
    <w:rsid w:val="00CD11EC"/>
    <w:rsid w:val="00CD343F"/>
    <w:rsid w:val="00CF38A2"/>
    <w:rsid w:val="00CF670F"/>
    <w:rsid w:val="00D022F1"/>
    <w:rsid w:val="00D21204"/>
    <w:rsid w:val="00D22DE1"/>
    <w:rsid w:val="00D23091"/>
    <w:rsid w:val="00D23556"/>
    <w:rsid w:val="00D24603"/>
    <w:rsid w:val="00D367F0"/>
    <w:rsid w:val="00D37898"/>
    <w:rsid w:val="00D4311F"/>
    <w:rsid w:val="00D52514"/>
    <w:rsid w:val="00D60D4C"/>
    <w:rsid w:val="00D62AAB"/>
    <w:rsid w:val="00D753EB"/>
    <w:rsid w:val="00D824FF"/>
    <w:rsid w:val="00D82A61"/>
    <w:rsid w:val="00D86DD6"/>
    <w:rsid w:val="00D93AFA"/>
    <w:rsid w:val="00DA349E"/>
    <w:rsid w:val="00DB2956"/>
    <w:rsid w:val="00DC11D3"/>
    <w:rsid w:val="00DD1FDF"/>
    <w:rsid w:val="00DE2A88"/>
    <w:rsid w:val="00DE5EF8"/>
    <w:rsid w:val="00DF49E8"/>
    <w:rsid w:val="00DF55EB"/>
    <w:rsid w:val="00DF6C34"/>
    <w:rsid w:val="00DF7455"/>
    <w:rsid w:val="00E015A8"/>
    <w:rsid w:val="00E044AC"/>
    <w:rsid w:val="00E04877"/>
    <w:rsid w:val="00E0663C"/>
    <w:rsid w:val="00E257F7"/>
    <w:rsid w:val="00E42B26"/>
    <w:rsid w:val="00E51903"/>
    <w:rsid w:val="00E615F2"/>
    <w:rsid w:val="00E62EF8"/>
    <w:rsid w:val="00E65953"/>
    <w:rsid w:val="00E71E5B"/>
    <w:rsid w:val="00E77822"/>
    <w:rsid w:val="00E82E3B"/>
    <w:rsid w:val="00E83B75"/>
    <w:rsid w:val="00E8587C"/>
    <w:rsid w:val="00E85964"/>
    <w:rsid w:val="00E8612F"/>
    <w:rsid w:val="00E928B0"/>
    <w:rsid w:val="00E9400D"/>
    <w:rsid w:val="00EA3EEE"/>
    <w:rsid w:val="00EB1C0E"/>
    <w:rsid w:val="00EC0D3B"/>
    <w:rsid w:val="00ED5284"/>
    <w:rsid w:val="00ED6052"/>
    <w:rsid w:val="00ED72A7"/>
    <w:rsid w:val="00EE00EE"/>
    <w:rsid w:val="00EE18A8"/>
    <w:rsid w:val="00F057E5"/>
    <w:rsid w:val="00F229AA"/>
    <w:rsid w:val="00F24054"/>
    <w:rsid w:val="00F248F6"/>
    <w:rsid w:val="00F34547"/>
    <w:rsid w:val="00F370B4"/>
    <w:rsid w:val="00F60CBB"/>
    <w:rsid w:val="00F60F49"/>
    <w:rsid w:val="00F65271"/>
    <w:rsid w:val="00F80B1D"/>
    <w:rsid w:val="00F958FD"/>
    <w:rsid w:val="00FA45BA"/>
    <w:rsid w:val="00FC2913"/>
    <w:rsid w:val="00FC3B73"/>
    <w:rsid w:val="00FC7023"/>
    <w:rsid w:val="00FE1302"/>
    <w:rsid w:val="00FF387D"/>
    <w:rsid w:val="0112363F"/>
    <w:rsid w:val="01922277"/>
    <w:rsid w:val="01AE3368"/>
    <w:rsid w:val="01CD7566"/>
    <w:rsid w:val="01DF05C9"/>
    <w:rsid w:val="026C4FD1"/>
    <w:rsid w:val="027155B8"/>
    <w:rsid w:val="027658DD"/>
    <w:rsid w:val="02A97FD3"/>
    <w:rsid w:val="02DF6341"/>
    <w:rsid w:val="02F456F2"/>
    <w:rsid w:val="03226D0C"/>
    <w:rsid w:val="03336870"/>
    <w:rsid w:val="03CC21CB"/>
    <w:rsid w:val="03D64DF8"/>
    <w:rsid w:val="03DA6682"/>
    <w:rsid w:val="03FEAEFC"/>
    <w:rsid w:val="044004C3"/>
    <w:rsid w:val="04A11748"/>
    <w:rsid w:val="04A60DCB"/>
    <w:rsid w:val="04C25D5E"/>
    <w:rsid w:val="054318CB"/>
    <w:rsid w:val="054D1E6D"/>
    <w:rsid w:val="056D7096"/>
    <w:rsid w:val="05AFBB1D"/>
    <w:rsid w:val="05CD1EC8"/>
    <w:rsid w:val="060F3E85"/>
    <w:rsid w:val="06766D38"/>
    <w:rsid w:val="06794366"/>
    <w:rsid w:val="06A0349B"/>
    <w:rsid w:val="06A8451B"/>
    <w:rsid w:val="06B6758D"/>
    <w:rsid w:val="071E4803"/>
    <w:rsid w:val="074B092C"/>
    <w:rsid w:val="07940806"/>
    <w:rsid w:val="07E259E3"/>
    <w:rsid w:val="07EC2E3C"/>
    <w:rsid w:val="07FFFBA7"/>
    <w:rsid w:val="08852948"/>
    <w:rsid w:val="08891FDF"/>
    <w:rsid w:val="08980644"/>
    <w:rsid w:val="08F32F05"/>
    <w:rsid w:val="08FF26FB"/>
    <w:rsid w:val="092D54BA"/>
    <w:rsid w:val="09646A02"/>
    <w:rsid w:val="097C1F9D"/>
    <w:rsid w:val="098C5133"/>
    <w:rsid w:val="09967600"/>
    <w:rsid w:val="099D2F7B"/>
    <w:rsid w:val="09A727B4"/>
    <w:rsid w:val="09AF4121"/>
    <w:rsid w:val="09B71227"/>
    <w:rsid w:val="09E55D95"/>
    <w:rsid w:val="0A261F09"/>
    <w:rsid w:val="0A5E78F5"/>
    <w:rsid w:val="0A7113D6"/>
    <w:rsid w:val="0A723E95"/>
    <w:rsid w:val="0A732B5C"/>
    <w:rsid w:val="0AB13EC9"/>
    <w:rsid w:val="0AB97CD4"/>
    <w:rsid w:val="0B445062"/>
    <w:rsid w:val="0BD0037E"/>
    <w:rsid w:val="0BDF05C2"/>
    <w:rsid w:val="0BE04A65"/>
    <w:rsid w:val="0BF6548D"/>
    <w:rsid w:val="0C4469D5"/>
    <w:rsid w:val="0C5B40EC"/>
    <w:rsid w:val="0C5E17B9"/>
    <w:rsid w:val="0C796C68"/>
    <w:rsid w:val="0C833ED3"/>
    <w:rsid w:val="0CAF0D06"/>
    <w:rsid w:val="0CFF0AFD"/>
    <w:rsid w:val="0D0A1056"/>
    <w:rsid w:val="0D3C1096"/>
    <w:rsid w:val="0D49663A"/>
    <w:rsid w:val="0D5254C2"/>
    <w:rsid w:val="0D5D1CEC"/>
    <w:rsid w:val="0D643474"/>
    <w:rsid w:val="0D682F64"/>
    <w:rsid w:val="0DBBCD95"/>
    <w:rsid w:val="0DD10D60"/>
    <w:rsid w:val="0DD63B80"/>
    <w:rsid w:val="0E1053AA"/>
    <w:rsid w:val="0E153A40"/>
    <w:rsid w:val="0E291640"/>
    <w:rsid w:val="0E396003"/>
    <w:rsid w:val="0E417312"/>
    <w:rsid w:val="0E460B93"/>
    <w:rsid w:val="0E7106D6"/>
    <w:rsid w:val="0E942429"/>
    <w:rsid w:val="0E9658AF"/>
    <w:rsid w:val="0E9D0085"/>
    <w:rsid w:val="0EA236B9"/>
    <w:rsid w:val="0EBB3568"/>
    <w:rsid w:val="0EDA1C1B"/>
    <w:rsid w:val="0EE02FCE"/>
    <w:rsid w:val="0EFA2408"/>
    <w:rsid w:val="0EFD940B"/>
    <w:rsid w:val="0F224D75"/>
    <w:rsid w:val="0F361379"/>
    <w:rsid w:val="0F82B390"/>
    <w:rsid w:val="0F94357C"/>
    <w:rsid w:val="0F9F1E72"/>
    <w:rsid w:val="0FAB0EE6"/>
    <w:rsid w:val="0FBB6FBF"/>
    <w:rsid w:val="0FF76EB0"/>
    <w:rsid w:val="10466E02"/>
    <w:rsid w:val="10681B01"/>
    <w:rsid w:val="107067F7"/>
    <w:rsid w:val="10CF50A9"/>
    <w:rsid w:val="10E85BA5"/>
    <w:rsid w:val="113A623D"/>
    <w:rsid w:val="11486765"/>
    <w:rsid w:val="11537A88"/>
    <w:rsid w:val="115D229C"/>
    <w:rsid w:val="11AE5258"/>
    <w:rsid w:val="11BB13A3"/>
    <w:rsid w:val="11F73EB5"/>
    <w:rsid w:val="11FF19BD"/>
    <w:rsid w:val="120174E4"/>
    <w:rsid w:val="123F625E"/>
    <w:rsid w:val="126A32DB"/>
    <w:rsid w:val="12754DD2"/>
    <w:rsid w:val="12823991"/>
    <w:rsid w:val="130A2B31"/>
    <w:rsid w:val="138E6551"/>
    <w:rsid w:val="13AA5959"/>
    <w:rsid w:val="13D17314"/>
    <w:rsid w:val="13DC1FB6"/>
    <w:rsid w:val="13DD0699"/>
    <w:rsid w:val="13F07810"/>
    <w:rsid w:val="146C0206"/>
    <w:rsid w:val="14881D25"/>
    <w:rsid w:val="14900FF3"/>
    <w:rsid w:val="149061FF"/>
    <w:rsid w:val="14916125"/>
    <w:rsid w:val="14A53E9C"/>
    <w:rsid w:val="14CF1B1B"/>
    <w:rsid w:val="14F835C4"/>
    <w:rsid w:val="15170DCC"/>
    <w:rsid w:val="15323E58"/>
    <w:rsid w:val="15431BC1"/>
    <w:rsid w:val="157C12DA"/>
    <w:rsid w:val="15B7DD60"/>
    <w:rsid w:val="15CC7E09"/>
    <w:rsid w:val="15D765D2"/>
    <w:rsid w:val="15D936D8"/>
    <w:rsid w:val="15DE18EA"/>
    <w:rsid w:val="160D3D0F"/>
    <w:rsid w:val="161F618A"/>
    <w:rsid w:val="16277ECE"/>
    <w:rsid w:val="16331D0A"/>
    <w:rsid w:val="166859D5"/>
    <w:rsid w:val="16685D83"/>
    <w:rsid w:val="167F6D18"/>
    <w:rsid w:val="16AD1E91"/>
    <w:rsid w:val="16FB5EE0"/>
    <w:rsid w:val="16FE2CEE"/>
    <w:rsid w:val="17013AE2"/>
    <w:rsid w:val="17045380"/>
    <w:rsid w:val="170F2CC2"/>
    <w:rsid w:val="172B6DB1"/>
    <w:rsid w:val="173F0481"/>
    <w:rsid w:val="1743234C"/>
    <w:rsid w:val="177B3894"/>
    <w:rsid w:val="179E7583"/>
    <w:rsid w:val="17DD909A"/>
    <w:rsid w:val="17EB6307"/>
    <w:rsid w:val="17EF0DD0"/>
    <w:rsid w:val="17EFEB59"/>
    <w:rsid w:val="17F378CF"/>
    <w:rsid w:val="18023FB5"/>
    <w:rsid w:val="18470794"/>
    <w:rsid w:val="1889481C"/>
    <w:rsid w:val="188F6EFF"/>
    <w:rsid w:val="18F41ADC"/>
    <w:rsid w:val="190DDCAE"/>
    <w:rsid w:val="19193547"/>
    <w:rsid w:val="193B398E"/>
    <w:rsid w:val="19550115"/>
    <w:rsid w:val="1991739F"/>
    <w:rsid w:val="19B74D92"/>
    <w:rsid w:val="19BF6E7F"/>
    <w:rsid w:val="19F65454"/>
    <w:rsid w:val="19FB0CBC"/>
    <w:rsid w:val="1A0822E3"/>
    <w:rsid w:val="1A0A0091"/>
    <w:rsid w:val="1A0A7151"/>
    <w:rsid w:val="1A0D3555"/>
    <w:rsid w:val="1A4C3F70"/>
    <w:rsid w:val="1A65153B"/>
    <w:rsid w:val="1A7F1D26"/>
    <w:rsid w:val="1A8011C2"/>
    <w:rsid w:val="1AB53AAF"/>
    <w:rsid w:val="1AC31649"/>
    <w:rsid w:val="1AD02CD6"/>
    <w:rsid w:val="1AD914C1"/>
    <w:rsid w:val="1AFF0DEB"/>
    <w:rsid w:val="1AFF2A2E"/>
    <w:rsid w:val="1B157ABC"/>
    <w:rsid w:val="1B43749D"/>
    <w:rsid w:val="1B574618"/>
    <w:rsid w:val="1B5B5EB7"/>
    <w:rsid w:val="1B612DA1"/>
    <w:rsid w:val="1B7FD02A"/>
    <w:rsid w:val="1BACA901"/>
    <w:rsid w:val="1BB90E2F"/>
    <w:rsid w:val="1BD03B08"/>
    <w:rsid w:val="1BEB6F5A"/>
    <w:rsid w:val="1C680722"/>
    <w:rsid w:val="1C6F68B4"/>
    <w:rsid w:val="1CB17D58"/>
    <w:rsid w:val="1CBD7DAC"/>
    <w:rsid w:val="1CF13015"/>
    <w:rsid w:val="1D2971B2"/>
    <w:rsid w:val="1D464944"/>
    <w:rsid w:val="1D5F77B4"/>
    <w:rsid w:val="1D862F93"/>
    <w:rsid w:val="1D921938"/>
    <w:rsid w:val="1DB3DEB5"/>
    <w:rsid w:val="1DCD326D"/>
    <w:rsid w:val="1DE1320A"/>
    <w:rsid w:val="1DE372A4"/>
    <w:rsid w:val="1DE57CB9"/>
    <w:rsid w:val="1DFE57B4"/>
    <w:rsid w:val="1DFF038F"/>
    <w:rsid w:val="1E672DC4"/>
    <w:rsid w:val="1E845724"/>
    <w:rsid w:val="1E8611E5"/>
    <w:rsid w:val="1EBF325F"/>
    <w:rsid w:val="1EC0143C"/>
    <w:rsid w:val="1EEB63FF"/>
    <w:rsid w:val="1EFF010D"/>
    <w:rsid w:val="1F101D37"/>
    <w:rsid w:val="1F4E188E"/>
    <w:rsid w:val="1F5008F0"/>
    <w:rsid w:val="1F5D97BD"/>
    <w:rsid w:val="1F7F12E6"/>
    <w:rsid w:val="1FAF4DA3"/>
    <w:rsid w:val="1FBBF94E"/>
    <w:rsid w:val="1FBF02D1"/>
    <w:rsid w:val="1FC09D77"/>
    <w:rsid w:val="1FC166EA"/>
    <w:rsid w:val="1FCD7360"/>
    <w:rsid w:val="1FD65FB7"/>
    <w:rsid w:val="1FD75C6B"/>
    <w:rsid w:val="1FDA3F1C"/>
    <w:rsid w:val="1FDF290D"/>
    <w:rsid w:val="1FE43FA1"/>
    <w:rsid w:val="1FEB6FD2"/>
    <w:rsid w:val="1FEE6C42"/>
    <w:rsid w:val="1FF6371B"/>
    <w:rsid w:val="1FF70F57"/>
    <w:rsid w:val="1FFD944D"/>
    <w:rsid w:val="1FFFBE97"/>
    <w:rsid w:val="202B4E25"/>
    <w:rsid w:val="20664C7C"/>
    <w:rsid w:val="207B2B57"/>
    <w:rsid w:val="20BC50D1"/>
    <w:rsid w:val="21222FD3"/>
    <w:rsid w:val="21425423"/>
    <w:rsid w:val="2177131F"/>
    <w:rsid w:val="21881B1F"/>
    <w:rsid w:val="21D95D87"/>
    <w:rsid w:val="221A3D42"/>
    <w:rsid w:val="22266AF2"/>
    <w:rsid w:val="222A23CB"/>
    <w:rsid w:val="22443E75"/>
    <w:rsid w:val="22995516"/>
    <w:rsid w:val="229C5194"/>
    <w:rsid w:val="22BD1205"/>
    <w:rsid w:val="22D24584"/>
    <w:rsid w:val="22D61E2F"/>
    <w:rsid w:val="22F32E79"/>
    <w:rsid w:val="22FD3048"/>
    <w:rsid w:val="23166B67"/>
    <w:rsid w:val="233D0598"/>
    <w:rsid w:val="235B27CC"/>
    <w:rsid w:val="236553F8"/>
    <w:rsid w:val="23673CDE"/>
    <w:rsid w:val="237C9A9C"/>
    <w:rsid w:val="23B32608"/>
    <w:rsid w:val="23BB8856"/>
    <w:rsid w:val="23FA537A"/>
    <w:rsid w:val="23FB024B"/>
    <w:rsid w:val="23FF2D22"/>
    <w:rsid w:val="241C77B7"/>
    <w:rsid w:val="244D0366"/>
    <w:rsid w:val="24635DDC"/>
    <w:rsid w:val="24770E63"/>
    <w:rsid w:val="247D4814"/>
    <w:rsid w:val="24C543A1"/>
    <w:rsid w:val="24DC16EA"/>
    <w:rsid w:val="24E45993"/>
    <w:rsid w:val="251130A9"/>
    <w:rsid w:val="251610A0"/>
    <w:rsid w:val="252F4073"/>
    <w:rsid w:val="253A4D8F"/>
    <w:rsid w:val="253F4153"/>
    <w:rsid w:val="258778A8"/>
    <w:rsid w:val="25A71CF8"/>
    <w:rsid w:val="25A83091"/>
    <w:rsid w:val="25CE197B"/>
    <w:rsid w:val="26043A6C"/>
    <w:rsid w:val="2613738E"/>
    <w:rsid w:val="26347A30"/>
    <w:rsid w:val="26450233"/>
    <w:rsid w:val="26674D76"/>
    <w:rsid w:val="26795443"/>
    <w:rsid w:val="268470F8"/>
    <w:rsid w:val="2687E5EB"/>
    <w:rsid w:val="26952834"/>
    <w:rsid w:val="269D3794"/>
    <w:rsid w:val="26AF9259"/>
    <w:rsid w:val="26B7072D"/>
    <w:rsid w:val="26C37006"/>
    <w:rsid w:val="26E054C2"/>
    <w:rsid w:val="26E06946"/>
    <w:rsid w:val="26F76F37"/>
    <w:rsid w:val="26FD3274"/>
    <w:rsid w:val="27036136"/>
    <w:rsid w:val="27207FB4"/>
    <w:rsid w:val="27226506"/>
    <w:rsid w:val="276E6F72"/>
    <w:rsid w:val="279B588D"/>
    <w:rsid w:val="27AB1F74"/>
    <w:rsid w:val="27DD05D2"/>
    <w:rsid w:val="27E77790"/>
    <w:rsid w:val="27E7C969"/>
    <w:rsid w:val="27FFF40B"/>
    <w:rsid w:val="28092D7E"/>
    <w:rsid w:val="284113D3"/>
    <w:rsid w:val="284F6DA3"/>
    <w:rsid w:val="287F0D0A"/>
    <w:rsid w:val="28A7231E"/>
    <w:rsid w:val="28F17E5A"/>
    <w:rsid w:val="291B6C85"/>
    <w:rsid w:val="29220014"/>
    <w:rsid w:val="2925CC9E"/>
    <w:rsid w:val="294B2C9A"/>
    <w:rsid w:val="295D4C82"/>
    <w:rsid w:val="29693E94"/>
    <w:rsid w:val="29755D73"/>
    <w:rsid w:val="29904AF2"/>
    <w:rsid w:val="29A24CB1"/>
    <w:rsid w:val="29FA4AED"/>
    <w:rsid w:val="2A1E3DA8"/>
    <w:rsid w:val="2A3D8610"/>
    <w:rsid w:val="2A432AAF"/>
    <w:rsid w:val="2A73208C"/>
    <w:rsid w:val="2A8B7E3A"/>
    <w:rsid w:val="2A8E7869"/>
    <w:rsid w:val="2AB981FC"/>
    <w:rsid w:val="2ACC2D7E"/>
    <w:rsid w:val="2B3BAB75"/>
    <w:rsid w:val="2B41674B"/>
    <w:rsid w:val="2B6D7278"/>
    <w:rsid w:val="2B710DB7"/>
    <w:rsid w:val="2B852ADC"/>
    <w:rsid w:val="2BC03B14"/>
    <w:rsid w:val="2BCF192D"/>
    <w:rsid w:val="2BE5736F"/>
    <w:rsid w:val="2BFDFB80"/>
    <w:rsid w:val="2C701096"/>
    <w:rsid w:val="2C974875"/>
    <w:rsid w:val="2CD65314"/>
    <w:rsid w:val="2CF66D61"/>
    <w:rsid w:val="2CF7DC03"/>
    <w:rsid w:val="2D197980"/>
    <w:rsid w:val="2D7B39B0"/>
    <w:rsid w:val="2DFDEF53"/>
    <w:rsid w:val="2E1F0FC6"/>
    <w:rsid w:val="2E79C610"/>
    <w:rsid w:val="2E8A6D0D"/>
    <w:rsid w:val="2EA64C1B"/>
    <w:rsid w:val="2EBD8E7E"/>
    <w:rsid w:val="2ED13A50"/>
    <w:rsid w:val="2EF50C93"/>
    <w:rsid w:val="2EF53AD4"/>
    <w:rsid w:val="2EF78C99"/>
    <w:rsid w:val="2EFB7497"/>
    <w:rsid w:val="2F045D38"/>
    <w:rsid w:val="2F0F2DE8"/>
    <w:rsid w:val="2F302D5E"/>
    <w:rsid w:val="2F37D255"/>
    <w:rsid w:val="2F560A17"/>
    <w:rsid w:val="2F7B6478"/>
    <w:rsid w:val="2F7BABC9"/>
    <w:rsid w:val="2F83C932"/>
    <w:rsid w:val="2FB15C4D"/>
    <w:rsid w:val="2FBF68DC"/>
    <w:rsid w:val="2FBFA2E9"/>
    <w:rsid w:val="2FC63C8B"/>
    <w:rsid w:val="2FD6FFD6"/>
    <w:rsid w:val="2FEAC04F"/>
    <w:rsid w:val="2FF975F4"/>
    <w:rsid w:val="2FFDCA17"/>
    <w:rsid w:val="2FFF2F57"/>
    <w:rsid w:val="2FFF5F5A"/>
    <w:rsid w:val="30446AC1"/>
    <w:rsid w:val="30C220DC"/>
    <w:rsid w:val="30C714A1"/>
    <w:rsid w:val="30E05155"/>
    <w:rsid w:val="3117300D"/>
    <w:rsid w:val="31541EC1"/>
    <w:rsid w:val="3163566D"/>
    <w:rsid w:val="319770C5"/>
    <w:rsid w:val="31B97551"/>
    <w:rsid w:val="31F15647"/>
    <w:rsid w:val="31FE0B49"/>
    <w:rsid w:val="322F1D18"/>
    <w:rsid w:val="327D4BC1"/>
    <w:rsid w:val="327F2BA2"/>
    <w:rsid w:val="32CC0FF0"/>
    <w:rsid w:val="32DC7485"/>
    <w:rsid w:val="32DF6F75"/>
    <w:rsid w:val="33022C64"/>
    <w:rsid w:val="3331391E"/>
    <w:rsid w:val="33356B95"/>
    <w:rsid w:val="334D0383"/>
    <w:rsid w:val="335C2374"/>
    <w:rsid w:val="33605D91"/>
    <w:rsid w:val="33632035"/>
    <w:rsid w:val="337F3747"/>
    <w:rsid w:val="338B2C59"/>
    <w:rsid w:val="33B5E2EE"/>
    <w:rsid w:val="33CA19D4"/>
    <w:rsid w:val="33F9A088"/>
    <w:rsid w:val="33FD9FE7"/>
    <w:rsid w:val="33FFC8F7"/>
    <w:rsid w:val="34247C50"/>
    <w:rsid w:val="34331932"/>
    <w:rsid w:val="346A0AC1"/>
    <w:rsid w:val="34C401D1"/>
    <w:rsid w:val="35066A3B"/>
    <w:rsid w:val="350727B3"/>
    <w:rsid w:val="350C7DCA"/>
    <w:rsid w:val="351159BA"/>
    <w:rsid w:val="354229F0"/>
    <w:rsid w:val="357240D1"/>
    <w:rsid w:val="35727C2D"/>
    <w:rsid w:val="358D0F0B"/>
    <w:rsid w:val="35DE1EA4"/>
    <w:rsid w:val="35EDDCA6"/>
    <w:rsid w:val="35F721E3"/>
    <w:rsid w:val="35FB4CDB"/>
    <w:rsid w:val="360311CD"/>
    <w:rsid w:val="360337E4"/>
    <w:rsid w:val="360905B2"/>
    <w:rsid w:val="36232BFD"/>
    <w:rsid w:val="367BC74B"/>
    <w:rsid w:val="36C22E36"/>
    <w:rsid w:val="36D43FCE"/>
    <w:rsid w:val="36D79D2E"/>
    <w:rsid w:val="36FF1994"/>
    <w:rsid w:val="371BA703"/>
    <w:rsid w:val="371F3DE4"/>
    <w:rsid w:val="37294C63"/>
    <w:rsid w:val="373F6235"/>
    <w:rsid w:val="375F71BA"/>
    <w:rsid w:val="376E6B1A"/>
    <w:rsid w:val="37738418"/>
    <w:rsid w:val="377F15BD"/>
    <w:rsid w:val="37A74C2D"/>
    <w:rsid w:val="37B050BB"/>
    <w:rsid w:val="37B704C1"/>
    <w:rsid w:val="37BC3D83"/>
    <w:rsid w:val="37D76B32"/>
    <w:rsid w:val="37DCB2D5"/>
    <w:rsid w:val="37DE0F2C"/>
    <w:rsid w:val="37EE35B4"/>
    <w:rsid w:val="37EFECFA"/>
    <w:rsid w:val="37FB99F5"/>
    <w:rsid w:val="37FDCA7B"/>
    <w:rsid w:val="37FE6C2F"/>
    <w:rsid w:val="37FE99E7"/>
    <w:rsid w:val="37FF5E30"/>
    <w:rsid w:val="37FF7772"/>
    <w:rsid w:val="37FFC263"/>
    <w:rsid w:val="384758D1"/>
    <w:rsid w:val="385B5E55"/>
    <w:rsid w:val="3879398B"/>
    <w:rsid w:val="387F414A"/>
    <w:rsid w:val="38934A8A"/>
    <w:rsid w:val="38B245D4"/>
    <w:rsid w:val="38E946AA"/>
    <w:rsid w:val="39150F44"/>
    <w:rsid w:val="395B8F4E"/>
    <w:rsid w:val="397D646A"/>
    <w:rsid w:val="397F6DBC"/>
    <w:rsid w:val="39B32F0A"/>
    <w:rsid w:val="39DFC150"/>
    <w:rsid w:val="39E210F9"/>
    <w:rsid w:val="39F797DA"/>
    <w:rsid w:val="39FB7A1C"/>
    <w:rsid w:val="3A064DE8"/>
    <w:rsid w:val="3A540249"/>
    <w:rsid w:val="3A781526"/>
    <w:rsid w:val="3A80103E"/>
    <w:rsid w:val="3AB17E45"/>
    <w:rsid w:val="3ABD37BB"/>
    <w:rsid w:val="3ADE0899"/>
    <w:rsid w:val="3AF96F45"/>
    <w:rsid w:val="3B365BA1"/>
    <w:rsid w:val="3B3D7036"/>
    <w:rsid w:val="3B5E1F43"/>
    <w:rsid w:val="3B677289"/>
    <w:rsid w:val="3B684042"/>
    <w:rsid w:val="3B766568"/>
    <w:rsid w:val="3B778CF2"/>
    <w:rsid w:val="3B8701AA"/>
    <w:rsid w:val="3B914BCB"/>
    <w:rsid w:val="3BBF7944"/>
    <w:rsid w:val="3BCB62E9"/>
    <w:rsid w:val="3BCFE2CE"/>
    <w:rsid w:val="3BDF5D85"/>
    <w:rsid w:val="3BE7173F"/>
    <w:rsid w:val="3BEE1FD7"/>
    <w:rsid w:val="3BFA9458"/>
    <w:rsid w:val="3BFB9121"/>
    <w:rsid w:val="3BFC2946"/>
    <w:rsid w:val="3BFEE7AC"/>
    <w:rsid w:val="3C340332"/>
    <w:rsid w:val="3C351DF3"/>
    <w:rsid w:val="3C3D06E1"/>
    <w:rsid w:val="3C4147FD"/>
    <w:rsid w:val="3C4E0CC8"/>
    <w:rsid w:val="3C8A7F52"/>
    <w:rsid w:val="3CCD3AAE"/>
    <w:rsid w:val="3CDB07AE"/>
    <w:rsid w:val="3CE3E38B"/>
    <w:rsid w:val="3CE753A4"/>
    <w:rsid w:val="3CF7310E"/>
    <w:rsid w:val="3CFD5E31"/>
    <w:rsid w:val="3D2008B6"/>
    <w:rsid w:val="3D314871"/>
    <w:rsid w:val="3D370F14"/>
    <w:rsid w:val="3D485717"/>
    <w:rsid w:val="3D567E34"/>
    <w:rsid w:val="3D7E5E17"/>
    <w:rsid w:val="3D831B0F"/>
    <w:rsid w:val="3D95217F"/>
    <w:rsid w:val="3D973868"/>
    <w:rsid w:val="3DAE7C70"/>
    <w:rsid w:val="3DBEAE45"/>
    <w:rsid w:val="3DC6CE94"/>
    <w:rsid w:val="3DCB3549"/>
    <w:rsid w:val="3DD96574"/>
    <w:rsid w:val="3DEF757F"/>
    <w:rsid w:val="3DF66C25"/>
    <w:rsid w:val="3DF7701F"/>
    <w:rsid w:val="3DFDBC14"/>
    <w:rsid w:val="3DFFA1D2"/>
    <w:rsid w:val="3DFFB8AD"/>
    <w:rsid w:val="3DFFE80F"/>
    <w:rsid w:val="3E047890"/>
    <w:rsid w:val="3E2B33FB"/>
    <w:rsid w:val="3E39BCBB"/>
    <w:rsid w:val="3E40236C"/>
    <w:rsid w:val="3E7C82BB"/>
    <w:rsid w:val="3E7E1267"/>
    <w:rsid w:val="3E7E3D0C"/>
    <w:rsid w:val="3E94ECD3"/>
    <w:rsid w:val="3E9C6E75"/>
    <w:rsid w:val="3EB219E2"/>
    <w:rsid w:val="3EB59BC4"/>
    <w:rsid w:val="3EBFE28E"/>
    <w:rsid w:val="3ECFC2CD"/>
    <w:rsid w:val="3ED24ED8"/>
    <w:rsid w:val="3EDF1EB4"/>
    <w:rsid w:val="3EF20030"/>
    <w:rsid w:val="3EF7D31C"/>
    <w:rsid w:val="3EF92E5D"/>
    <w:rsid w:val="3EF9C24E"/>
    <w:rsid w:val="3EFFB28A"/>
    <w:rsid w:val="3F253F62"/>
    <w:rsid w:val="3F3AC30B"/>
    <w:rsid w:val="3F3E3276"/>
    <w:rsid w:val="3F57E82F"/>
    <w:rsid w:val="3F5B83EA"/>
    <w:rsid w:val="3F675CA1"/>
    <w:rsid w:val="3F6C2348"/>
    <w:rsid w:val="3F727B05"/>
    <w:rsid w:val="3F7B199F"/>
    <w:rsid w:val="3F7FA7EB"/>
    <w:rsid w:val="3F7FE074"/>
    <w:rsid w:val="3F8D4E28"/>
    <w:rsid w:val="3F97FD08"/>
    <w:rsid w:val="3F9DF7F7"/>
    <w:rsid w:val="3F9F14E5"/>
    <w:rsid w:val="3F9F218C"/>
    <w:rsid w:val="3FB53538"/>
    <w:rsid w:val="3FB77246"/>
    <w:rsid w:val="3FBAF654"/>
    <w:rsid w:val="3FBE46C8"/>
    <w:rsid w:val="3FBF2016"/>
    <w:rsid w:val="3FBF73A4"/>
    <w:rsid w:val="3FCF5B3B"/>
    <w:rsid w:val="3FDE0D46"/>
    <w:rsid w:val="3FDF9553"/>
    <w:rsid w:val="3FDFAA1E"/>
    <w:rsid w:val="3FE31259"/>
    <w:rsid w:val="3FE674BE"/>
    <w:rsid w:val="3FEB0C0F"/>
    <w:rsid w:val="3FEBFD6C"/>
    <w:rsid w:val="3FEFA316"/>
    <w:rsid w:val="3FF32217"/>
    <w:rsid w:val="3FF322B2"/>
    <w:rsid w:val="3FF543A4"/>
    <w:rsid w:val="3FFAFE82"/>
    <w:rsid w:val="3FFB3BBB"/>
    <w:rsid w:val="3FFC4D45"/>
    <w:rsid w:val="3FFD6736"/>
    <w:rsid w:val="3FFEEF82"/>
    <w:rsid w:val="3FFF2C3C"/>
    <w:rsid w:val="3FFFA984"/>
    <w:rsid w:val="3FFFBF21"/>
    <w:rsid w:val="3FFFDA04"/>
    <w:rsid w:val="40023870"/>
    <w:rsid w:val="400973E0"/>
    <w:rsid w:val="401279AA"/>
    <w:rsid w:val="407F3B46"/>
    <w:rsid w:val="40806BD9"/>
    <w:rsid w:val="40884362"/>
    <w:rsid w:val="409969B6"/>
    <w:rsid w:val="40C003E6"/>
    <w:rsid w:val="40C672F5"/>
    <w:rsid w:val="40E57E4D"/>
    <w:rsid w:val="419E0F98"/>
    <w:rsid w:val="41A144B5"/>
    <w:rsid w:val="4249440B"/>
    <w:rsid w:val="425012F6"/>
    <w:rsid w:val="425424E3"/>
    <w:rsid w:val="42DB7F0D"/>
    <w:rsid w:val="42EA174A"/>
    <w:rsid w:val="435567AB"/>
    <w:rsid w:val="438374A9"/>
    <w:rsid w:val="43882D11"/>
    <w:rsid w:val="439B0C97"/>
    <w:rsid w:val="43E268C5"/>
    <w:rsid w:val="43E443EC"/>
    <w:rsid w:val="43FF53C3"/>
    <w:rsid w:val="442C7B41"/>
    <w:rsid w:val="443020B6"/>
    <w:rsid w:val="4467501D"/>
    <w:rsid w:val="44983428"/>
    <w:rsid w:val="449C6A74"/>
    <w:rsid w:val="44BF09B5"/>
    <w:rsid w:val="44E623E5"/>
    <w:rsid w:val="45086C8B"/>
    <w:rsid w:val="4565155C"/>
    <w:rsid w:val="4570109D"/>
    <w:rsid w:val="457E4255"/>
    <w:rsid w:val="4582592E"/>
    <w:rsid w:val="45E3B918"/>
    <w:rsid w:val="4654527A"/>
    <w:rsid w:val="469B7A9C"/>
    <w:rsid w:val="46CB4524"/>
    <w:rsid w:val="46F56910"/>
    <w:rsid w:val="4710374A"/>
    <w:rsid w:val="474A6C5C"/>
    <w:rsid w:val="47541888"/>
    <w:rsid w:val="476D46F8"/>
    <w:rsid w:val="477737C9"/>
    <w:rsid w:val="477C0DDF"/>
    <w:rsid w:val="47AF1F5E"/>
    <w:rsid w:val="47D21405"/>
    <w:rsid w:val="47F3184F"/>
    <w:rsid w:val="481B05F8"/>
    <w:rsid w:val="48242D3C"/>
    <w:rsid w:val="48D86147"/>
    <w:rsid w:val="49005D67"/>
    <w:rsid w:val="491E76E6"/>
    <w:rsid w:val="492D05E3"/>
    <w:rsid w:val="496D4E83"/>
    <w:rsid w:val="49711915"/>
    <w:rsid w:val="4975119C"/>
    <w:rsid w:val="49B06B1E"/>
    <w:rsid w:val="49B74350"/>
    <w:rsid w:val="49CA6FAB"/>
    <w:rsid w:val="49F04DE4"/>
    <w:rsid w:val="49FA0B80"/>
    <w:rsid w:val="49FBC870"/>
    <w:rsid w:val="49FD3F18"/>
    <w:rsid w:val="49FFD9A1"/>
    <w:rsid w:val="4A2104EC"/>
    <w:rsid w:val="4A306FA8"/>
    <w:rsid w:val="4A3B288C"/>
    <w:rsid w:val="4A6022F2"/>
    <w:rsid w:val="4A742241"/>
    <w:rsid w:val="4A7B712C"/>
    <w:rsid w:val="4A873F4F"/>
    <w:rsid w:val="4AD4683C"/>
    <w:rsid w:val="4AF64A04"/>
    <w:rsid w:val="4AFF6DB7"/>
    <w:rsid w:val="4B0D06CC"/>
    <w:rsid w:val="4B1770FF"/>
    <w:rsid w:val="4B333AED"/>
    <w:rsid w:val="4B577C05"/>
    <w:rsid w:val="4B7B0E95"/>
    <w:rsid w:val="4B9366F7"/>
    <w:rsid w:val="4B956754"/>
    <w:rsid w:val="4BB5011C"/>
    <w:rsid w:val="4BD033D3"/>
    <w:rsid w:val="4BDA60D4"/>
    <w:rsid w:val="4BDF15E7"/>
    <w:rsid w:val="4BF763B2"/>
    <w:rsid w:val="4C443323"/>
    <w:rsid w:val="4C8C09C1"/>
    <w:rsid w:val="4CC34DBA"/>
    <w:rsid w:val="4CCF550D"/>
    <w:rsid w:val="4D36558C"/>
    <w:rsid w:val="4D7EC8DE"/>
    <w:rsid w:val="4DA62712"/>
    <w:rsid w:val="4DB80460"/>
    <w:rsid w:val="4DC94652"/>
    <w:rsid w:val="4DF3010E"/>
    <w:rsid w:val="4DF9565C"/>
    <w:rsid w:val="4DFBB177"/>
    <w:rsid w:val="4E9904C8"/>
    <w:rsid w:val="4EA23DDD"/>
    <w:rsid w:val="4EA45BF0"/>
    <w:rsid w:val="4EAD5D22"/>
    <w:rsid w:val="4EB7CA18"/>
    <w:rsid w:val="4EC60354"/>
    <w:rsid w:val="4ECD6BC7"/>
    <w:rsid w:val="4EE54964"/>
    <w:rsid w:val="4EFFC93B"/>
    <w:rsid w:val="4F0A6CD0"/>
    <w:rsid w:val="4F2E6E63"/>
    <w:rsid w:val="4F3F40B6"/>
    <w:rsid w:val="4F5FC2FC"/>
    <w:rsid w:val="4F696BCB"/>
    <w:rsid w:val="4F710AFD"/>
    <w:rsid w:val="4F7BC2C3"/>
    <w:rsid w:val="4F7D2469"/>
    <w:rsid w:val="4F7EABE6"/>
    <w:rsid w:val="4F7F5646"/>
    <w:rsid w:val="4F8B9564"/>
    <w:rsid w:val="4FBDC7EB"/>
    <w:rsid w:val="4FC833A7"/>
    <w:rsid w:val="4FD4BD59"/>
    <w:rsid w:val="4FDF52F6"/>
    <w:rsid w:val="4FDFB461"/>
    <w:rsid w:val="4FEB21B7"/>
    <w:rsid w:val="4FFDF21F"/>
    <w:rsid w:val="4FFF2E4F"/>
    <w:rsid w:val="4FFF8711"/>
    <w:rsid w:val="4FFF98A6"/>
    <w:rsid w:val="500876B4"/>
    <w:rsid w:val="502349AD"/>
    <w:rsid w:val="50697A27"/>
    <w:rsid w:val="50F6575E"/>
    <w:rsid w:val="51167BAE"/>
    <w:rsid w:val="51744F0E"/>
    <w:rsid w:val="517B0E2D"/>
    <w:rsid w:val="51B16579"/>
    <w:rsid w:val="51DE976E"/>
    <w:rsid w:val="51F24178"/>
    <w:rsid w:val="51F93209"/>
    <w:rsid w:val="51FED7AB"/>
    <w:rsid w:val="52383B54"/>
    <w:rsid w:val="524C58A8"/>
    <w:rsid w:val="527B86D7"/>
    <w:rsid w:val="52862B12"/>
    <w:rsid w:val="528E031D"/>
    <w:rsid w:val="529C31D4"/>
    <w:rsid w:val="52BBAB62"/>
    <w:rsid w:val="52D95337"/>
    <w:rsid w:val="52EB0BC7"/>
    <w:rsid w:val="531D00F7"/>
    <w:rsid w:val="535844AE"/>
    <w:rsid w:val="539CBCD0"/>
    <w:rsid w:val="53A20F6D"/>
    <w:rsid w:val="53BB7045"/>
    <w:rsid w:val="53BDD115"/>
    <w:rsid w:val="53BFE3BC"/>
    <w:rsid w:val="53D54741"/>
    <w:rsid w:val="53DFAAEE"/>
    <w:rsid w:val="53E50E28"/>
    <w:rsid w:val="53E7A46C"/>
    <w:rsid w:val="53FDD661"/>
    <w:rsid w:val="54136627"/>
    <w:rsid w:val="54520EFE"/>
    <w:rsid w:val="54596730"/>
    <w:rsid w:val="547F5A6B"/>
    <w:rsid w:val="54FBE45A"/>
    <w:rsid w:val="55004DFD"/>
    <w:rsid w:val="552C5BF2"/>
    <w:rsid w:val="552E2AC8"/>
    <w:rsid w:val="55517AB0"/>
    <w:rsid w:val="558A2919"/>
    <w:rsid w:val="559B2D78"/>
    <w:rsid w:val="55D54E07"/>
    <w:rsid w:val="55F3256F"/>
    <w:rsid w:val="55FF4678"/>
    <w:rsid w:val="560E5D0A"/>
    <w:rsid w:val="567CCE72"/>
    <w:rsid w:val="567E54E5"/>
    <w:rsid w:val="567F92E1"/>
    <w:rsid w:val="568F0E75"/>
    <w:rsid w:val="56C836F9"/>
    <w:rsid w:val="56DE476D"/>
    <w:rsid w:val="56E97E02"/>
    <w:rsid w:val="56F270DD"/>
    <w:rsid w:val="56FA0D87"/>
    <w:rsid w:val="56FBF2A2"/>
    <w:rsid w:val="56FF0F42"/>
    <w:rsid w:val="56FFB5DE"/>
    <w:rsid w:val="571956E8"/>
    <w:rsid w:val="571B2E66"/>
    <w:rsid w:val="572FB869"/>
    <w:rsid w:val="573965D4"/>
    <w:rsid w:val="573F62BD"/>
    <w:rsid w:val="574F74C2"/>
    <w:rsid w:val="576AA50E"/>
    <w:rsid w:val="577B1E1F"/>
    <w:rsid w:val="577DA8F7"/>
    <w:rsid w:val="577F3CEE"/>
    <w:rsid w:val="579F7F22"/>
    <w:rsid w:val="57B6105D"/>
    <w:rsid w:val="57DA76E3"/>
    <w:rsid w:val="57DC44EB"/>
    <w:rsid w:val="57DF0340"/>
    <w:rsid w:val="57FF5E89"/>
    <w:rsid w:val="57FFA111"/>
    <w:rsid w:val="58133B49"/>
    <w:rsid w:val="583069A4"/>
    <w:rsid w:val="58315521"/>
    <w:rsid w:val="58395CD8"/>
    <w:rsid w:val="586E7784"/>
    <w:rsid w:val="5879AF7B"/>
    <w:rsid w:val="58FE78A6"/>
    <w:rsid w:val="591F2DB2"/>
    <w:rsid w:val="593F55D0"/>
    <w:rsid w:val="59827FC3"/>
    <w:rsid w:val="59B60656"/>
    <w:rsid w:val="59CE1159"/>
    <w:rsid w:val="59DE3D94"/>
    <w:rsid w:val="59E16850"/>
    <w:rsid w:val="59FE08F5"/>
    <w:rsid w:val="5A1153B7"/>
    <w:rsid w:val="5A1D1FAE"/>
    <w:rsid w:val="5A5359CF"/>
    <w:rsid w:val="5A9A53AC"/>
    <w:rsid w:val="5AC7C318"/>
    <w:rsid w:val="5AD9DB53"/>
    <w:rsid w:val="5ADF4134"/>
    <w:rsid w:val="5AE64D60"/>
    <w:rsid w:val="5AF076C2"/>
    <w:rsid w:val="5AF76F1C"/>
    <w:rsid w:val="5AFD6970"/>
    <w:rsid w:val="5B062A42"/>
    <w:rsid w:val="5B136F0D"/>
    <w:rsid w:val="5B4F022A"/>
    <w:rsid w:val="5B6634E0"/>
    <w:rsid w:val="5B834092"/>
    <w:rsid w:val="5B8D6CBF"/>
    <w:rsid w:val="5B9C5154"/>
    <w:rsid w:val="5BA17541"/>
    <w:rsid w:val="5BAFE676"/>
    <w:rsid w:val="5BBB13F1"/>
    <w:rsid w:val="5BBD57F6"/>
    <w:rsid w:val="5BC740D8"/>
    <w:rsid w:val="5BD40D92"/>
    <w:rsid w:val="5BD462C2"/>
    <w:rsid w:val="5BDFE3ED"/>
    <w:rsid w:val="5BE2700B"/>
    <w:rsid w:val="5BEF27B1"/>
    <w:rsid w:val="5BF121AD"/>
    <w:rsid w:val="5BF3746A"/>
    <w:rsid w:val="5BF7C6BA"/>
    <w:rsid w:val="5BFDB41C"/>
    <w:rsid w:val="5BFF7274"/>
    <w:rsid w:val="5BFF756A"/>
    <w:rsid w:val="5BFFC387"/>
    <w:rsid w:val="5C043425"/>
    <w:rsid w:val="5C204225"/>
    <w:rsid w:val="5CB32488"/>
    <w:rsid w:val="5CB37CE1"/>
    <w:rsid w:val="5CBFB656"/>
    <w:rsid w:val="5CF72416"/>
    <w:rsid w:val="5D1F6DA7"/>
    <w:rsid w:val="5D213B63"/>
    <w:rsid w:val="5D21471A"/>
    <w:rsid w:val="5D33A807"/>
    <w:rsid w:val="5D417D61"/>
    <w:rsid w:val="5D681792"/>
    <w:rsid w:val="5D700646"/>
    <w:rsid w:val="5D75522F"/>
    <w:rsid w:val="5D776F76"/>
    <w:rsid w:val="5D883BE2"/>
    <w:rsid w:val="5D976A5C"/>
    <w:rsid w:val="5D9D3D41"/>
    <w:rsid w:val="5DAF73C1"/>
    <w:rsid w:val="5DCD3CEB"/>
    <w:rsid w:val="5DD76917"/>
    <w:rsid w:val="5DD7BEAF"/>
    <w:rsid w:val="5DDB82F2"/>
    <w:rsid w:val="5DE56CA0"/>
    <w:rsid w:val="5DEB9229"/>
    <w:rsid w:val="5DEF3C61"/>
    <w:rsid w:val="5DF11787"/>
    <w:rsid w:val="5DF415A6"/>
    <w:rsid w:val="5DFCA33E"/>
    <w:rsid w:val="5DFDFEBC"/>
    <w:rsid w:val="5DFF62E4"/>
    <w:rsid w:val="5DFFCEF3"/>
    <w:rsid w:val="5E2156DB"/>
    <w:rsid w:val="5E2D4789"/>
    <w:rsid w:val="5E3A234B"/>
    <w:rsid w:val="5E3E067F"/>
    <w:rsid w:val="5E4241D9"/>
    <w:rsid w:val="5E503537"/>
    <w:rsid w:val="5E547F68"/>
    <w:rsid w:val="5E5F0DE7"/>
    <w:rsid w:val="5E6F6B50"/>
    <w:rsid w:val="5E9E38C2"/>
    <w:rsid w:val="5EA66A16"/>
    <w:rsid w:val="5EB6E857"/>
    <w:rsid w:val="5ECB366F"/>
    <w:rsid w:val="5EE71779"/>
    <w:rsid w:val="5EF6E14C"/>
    <w:rsid w:val="5EFA7CCD"/>
    <w:rsid w:val="5EFE7875"/>
    <w:rsid w:val="5EFFA071"/>
    <w:rsid w:val="5EFFC1B2"/>
    <w:rsid w:val="5F136503"/>
    <w:rsid w:val="5F1BB819"/>
    <w:rsid w:val="5F292F76"/>
    <w:rsid w:val="5F2B435A"/>
    <w:rsid w:val="5F3A2D9D"/>
    <w:rsid w:val="5F5BF3A5"/>
    <w:rsid w:val="5F7514D5"/>
    <w:rsid w:val="5F784780"/>
    <w:rsid w:val="5F7FE8F7"/>
    <w:rsid w:val="5F8F2F10"/>
    <w:rsid w:val="5F902F55"/>
    <w:rsid w:val="5F9533EF"/>
    <w:rsid w:val="5F97C0F0"/>
    <w:rsid w:val="5F9FDFFA"/>
    <w:rsid w:val="5FAD60F9"/>
    <w:rsid w:val="5FAF794B"/>
    <w:rsid w:val="5FAF9D8D"/>
    <w:rsid w:val="5FBEB28F"/>
    <w:rsid w:val="5FC3299E"/>
    <w:rsid w:val="5FC531FC"/>
    <w:rsid w:val="5FCD530F"/>
    <w:rsid w:val="5FD74A1C"/>
    <w:rsid w:val="5FDE497B"/>
    <w:rsid w:val="5FDEE708"/>
    <w:rsid w:val="5FDF766C"/>
    <w:rsid w:val="5FDFCE06"/>
    <w:rsid w:val="5FE7558C"/>
    <w:rsid w:val="5FEB1484"/>
    <w:rsid w:val="5FED5693"/>
    <w:rsid w:val="5FEF0247"/>
    <w:rsid w:val="5FF6E478"/>
    <w:rsid w:val="5FF98B8D"/>
    <w:rsid w:val="5FFD34A1"/>
    <w:rsid w:val="5FFF5A65"/>
    <w:rsid w:val="5FFFAE92"/>
    <w:rsid w:val="5FFFBB8F"/>
    <w:rsid w:val="60A96349"/>
    <w:rsid w:val="60F31CBA"/>
    <w:rsid w:val="619D4372"/>
    <w:rsid w:val="619F774C"/>
    <w:rsid w:val="61DC620E"/>
    <w:rsid w:val="6200468F"/>
    <w:rsid w:val="623E236D"/>
    <w:rsid w:val="628D6F9D"/>
    <w:rsid w:val="631101D6"/>
    <w:rsid w:val="63506F50"/>
    <w:rsid w:val="63687594"/>
    <w:rsid w:val="636B6377"/>
    <w:rsid w:val="637349EC"/>
    <w:rsid w:val="63DBAD90"/>
    <w:rsid w:val="63E7D23E"/>
    <w:rsid w:val="63FC9BF7"/>
    <w:rsid w:val="63FFA6DF"/>
    <w:rsid w:val="640904DE"/>
    <w:rsid w:val="64255857"/>
    <w:rsid w:val="643C74D4"/>
    <w:rsid w:val="64406FC4"/>
    <w:rsid w:val="64550596"/>
    <w:rsid w:val="647218D7"/>
    <w:rsid w:val="64A05CB5"/>
    <w:rsid w:val="64C54FFE"/>
    <w:rsid w:val="64CF0CB7"/>
    <w:rsid w:val="64D771FD"/>
    <w:rsid w:val="64EF6497"/>
    <w:rsid w:val="64F79E5E"/>
    <w:rsid w:val="6505B5DC"/>
    <w:rsid w:val="65102E3B"/>
    <w:rsid w:val="65266B84"/>
    <w:rsid w:val="652B431A"/>
    <w:rsid w:val="652F13E7"/>
    <w:rsid w:val="656071F2"/>
    <w:rsid w:val="657F2EF2"/>
    <w:rsid w:val="659155FE"/>
    <w:rsid w:val="66BD8431"/>
    <w:rsid w:val="66F9B398"/>
    <w:rsid w:val="66FD6EA5"/>
    <w:rsid w:val="67006EDF"/>
    <w:rsid w:val="67136C12"/>
    <w:rsid w:val="672FF075"/>
    <w:rsid w:val="67346B89"/>
    <w:rsid w:val="673D3C8F"/>
    <w:rsid w:val="67654F94"/>
    <w:rsid w:val="677FDC92"/>
    <w:rsid w:val="67970B81"/>
    <w:rsid w:val="679A2E90"/>
    <w:rsid w:val="679E8F5C"/>
    <w:rsid w:val="67A45ABC"/>
    <w:rsid w:val="67B527D8"/>
    <w:rsid w:val="67BFF825"/>
    <w:rsid w:val="67EDE812"/>
    <w:rsid w:val="67EE0AE5"/>
    <w:rsid w:val="67F791C5"/>
    <w:rsid w:val="67FB7167"/>
    <w:rsid w:val="67FD51F0"/>
    <w:rsid w:val="681D13CB"/>
    <w:rsid w:val="68394457"/>
    <w:rsid w:val="68460921"/>
    <w:rsid w:val="68541290"/>
    <w:rsid w:val="687836B4"/>
    <w:rsid w:val="68AA6EC2"/>
    <w:rsid w:val="68EF4B15"/>
    <w:rsid w:val="68FEC31F"/>
    <w:rsid w:val="690B56C7"/>
    <w:rsid w:val="693A65C4"/>
    <w:rsid w:val="694C01BA"/>
    <w:rsid w:val="694E6093"/>
    <w:rsid w:val="699B2EEF"/>
    <w:rsid w:val="69AD7806"/>
    <w:rsid w:val="69AF291D"/>
    <w:rsid w:val="69B34EA4"/>
    <w:rsid w:val="69D99FFB"/>
    <w:rsid w:val="69DDA5ED"/>
    <w:rsid w:val="69F84E97"/>
    <w:rsid w:val="69FFC256"/>
    <w:rsid w:val="6A010FA4"/>
    <w:rsid w:val="6A042842"/>
    <w:rsid w:val="6A0E7276"/>
    <w:rsid w:val="6A1315DD"/>
    <w:rsid w:val="6A635FA8"/>
    <w:rsid w:val="6A733988"/>
    <w:rsid w:val="6A753740"/>
    <w:rsid w:val="6A7E0847"/>
    <w:rsid w:val="6A953639"/>
    <w:rsid w:val="6AC63F9C"/>
    <w:rsid w:val="6AC83870"/>
    <w:rsid w:val="6AD30E33"/>
    <w:rsid w:val="6AE12B83"/>
    <w:rsid w:val="6AF1726A"/>
    <w:rsid w:val="6AFEC9D2"/>
    <w:rsid w:val="6B3B4041"/>
    <w:rsid w:val="6B675FAE"/>
    <w:rsid w:val="6B6F38D7"/>
    <w:rsid w:val="6B79E4E9"/>
    <w:rsid w:val="6B7FCBE4"/>
    <w:rsid w:val="6B876DF9"/>
    <w:rsid w:val="6BA0659B"/>
    <w:rsid w:val="6BA704A5"/>
    <w:rsid w:val="6BB7B015"/>
    <w:rsid w:val="6BBB271F"/>
    <w:rsid w:val="6BBD539F"/>
    <w:rsid w:val="6BD44481"/>
    <w:rsid w:val="6BDDB9B0"/>
    <w:rsid w:val="6BDE3932"/>
    <w:rsid w:val="6BDFABAB"/>
    <w:rsid w:val="6BDFD54E"/>
    <w:rsid w:val="6BEEEAF9"/>
    <w:rsid w:val="6BF66428"/>
    <w:rsid w:val="6BF7DBD1"/>
    <w:rsid w:val="6BF90A9A"/>
    <w:rsid w:val="6BFE2F4C"/>
    <w:rsid w:val="6BFF5513"/>
    <w:rsid w:val="6C3B7EDB"/>
    <w:rsid w:val="6C511FF3"/>
    <w:rsid w:val="6CA00E40"/>
    <w:rsid w:val="6CB25EF6"/>
    <w:rsid w:val="6CC62031"/>
    <w:rsid w:val="6CD5EAE6"/>
    <w:rsid w:val="6D57FA41"/>
    <w:rsid w:val="6D5BBEED"/>
    <w:rsid w:val="6D7B106D"/>
    <w:rsid w:val="6D7B2E1B"/>
    <w:rsid w:val="6D9A2B5B"/>
    <w:rsid w:val="6DBF422A"/>
    <w:rsid w:val="6DE9247B"/>
    <w:rsid w:val="6DEB55D9"/>
    <w:rsid w:val="6DEE8D68"/>
    <w:rsid w:val="6DF7DC48"/>
    <w:rsid w:val="6DFBF964"/>
    <w:rsid w:val="6DFFCA2E"/>
    <w:rsid w:val="6E17FF17"/>
    <w:rsid w:val="6E292877"/>
    <w:rsid w:val="6E2FA7E5"/>
    <w:rsid w:val="6E3849B8"/>
    <w:rsid w:val="6E573888"/>
    <w:rsid w:val="6E75F413"/>
    <w:rsid w:val="6E8201D8"/>
    <w:rsid w:val="6E9DF5AF"/>
    <w:rsid w:val="6EAF194A"/>
    <w:rsid w:val="6EB3A44E"/>
    <w:rsid w:val="6EB6E36E"/>
    <w:rsid w:val="6EBE56B6"/>
    <w:rsid w:val="6ECB6063"/>
    <w:rsid w:val="6ED2417D"/>
    <w:rsid w:val="6ED593CD"/>
    <w:rsid w:val="6EDB2EC8"/>
    <w:rsid w:val="6EDC3D8E"/>
    <w:rsid w:val="6EE4EE92"/>
    <w:rsid w:val="6EE59B8F"/>
    <w:rsid w:val="6EF76CB5"/>
    <w:rsid w:val="6EFB31F2"/>
    <w:rsid w:val="6EFB6722"/>
    <w:rsid w:val="6EFD618F"/>
    <w:rsid w:val="6EFF0F79"/>
    <w:rsid w:val="6EFFB5D6"/>
    <w:rsid w:val="6F1928EC"/>
    <w:rsid w:val="6F2F0173"/>
    <w:rsid w:val="6F3BC29D"/>
    <w:rsid w:val="6F671D92"/>
    <w:rsid w:val="6F6BC866"/>
    <w:rsid w:val="6F6FEB63"/>
    <w:rsid w:val="6F76D3FA"/>
    <w:rsid w:val="6F7D921F"/>
    <w:rsid w:val="6F7F0119"/>
    <w:rsid w:val="6F7F1F44"/>
    <w:rsid w:val="6FAF6578"/>
    <w:rsid w:val="6FBB0EA6"/>
    <w:rsid w:val="6FBB27F8"/>
    <w:rsid w:val="6FBF1E5A"/>
    <w:rsid w:val="6FCF09D7"/>
    <w:rsid w:val="6FDE25A5"/>
    <w:rsid w:val="6FDE3761"/>
    <w:rsid w:val="6FDF0772"/>
    <w:rsid w:val="6FDFBB53"/>
    <w:rsid w:val="6FDFD45E"/>
    <w:rsid w:val="6FE168AD"/>
    <w:rsid w:val="6FE73F10"/>
    <w:rsid w:val="6FE7D53A"/>
    <w:rsid w:val="6FE7FF08"/>
    <w:rsid w:val="6FEB3111"/>
    <w:rsid w:val="6FEDF7B5"/>
    <w:rsid w:val="6FF173C5"/>
    <w:rsid w:val="6FF452C6"/>
    <w:rsid w:val="6FF463F5"/>
    <w:rsid w:val="6FF75C29"/>
    <w:rsid w:val="6FFB5062"/>
    <w:rsid w:val="6FFF08B8"/>
    <w:rsid w:val="6FFF689F"/>
    <w:rsid w:val="6FFF72D5"/>
    <w:rsid w:val="6FFFAB35"/>
    <w:rsid w:val="6FFFC321"/>
    <w:rsid w:val="6FFFC627"/>
    <w:rsid w:val="6FFFFC14"/>
    <w:rsid w:val="700F3CEF"/>
    <w:rsid w:val="70194B6E"/>
    <w:rsid w:val="706F0B3B"/>
    <w:rsid w:val="70BE0044"/>
    <w:rsid w:val="70DC32B4"/>
    <w:rsid w:val="70ED2282"/>
    <w:rsid w:val="71193077"/>
    <w:rsid w:val="71687B5B"/>
    <w:rsid w:val="71B2527A"/>
    <w:rsid w:val="71C8684B"/>
    <w:rsid w:val="71EF383C"/>
    <w:rsid w:val="71EFC8A6"/>
    <w:rsid w:val="723FDFAC"/>
    <w:rsid w:val="72442376"/>
    <w:rsid w:val="724FE006"/>
    <w:rsid w:val="726C5429"/>
    <w:rsid w:val="726C71D7"/>
    <w:rsid w:val="726D7B83"/>
    <w:rsid w:val="727F59CD"/>
    <w:rsid w:val="727FCC72"/>
    <w:rsid w:val="72AB3EC6"/>
    <w:rsid w:val="72CE5ACF"/>
    <w:rsid w:val="72E01973"/>
    <w:rsid w:val="72E96A79"/>
    <w:rsid w:val="72F344C1"/>
    <w:rsid w:val="73375A36"/>
    <w:rsid w:val="733F4726"/>
    <w:rsid w:val="73927111"/>
    <w:rsid w:val="739E7864"/>
    <w:rsid w:val="73ADBA5E"/>
    <w:rsid w:val="73B54BAD"/>
    <w:rsid w:val="73BBCB2D"/>
    <w:rsid w:val="73BDE8D6"/>
    <w:rsid w:val="73DC65DE"/>
    <w:rsid w:val="73DF4D96"/>
    <w:rsid w:val="73EB20A2"/>
    <w:rsid w:val="73FA9054"/>
    <w:rsid w:val="73FB5D79"/>
    <w:rsid w:val="73FEACB0"/>
    <w:rsid w:val="73FFC7F8"/>
    <w:rsid w:val="740A6CA7"/>
    <w:rsid w:val="74235FBB"/>
    <w:rsid w:val="743FAF4E"/>
    <w:rsid w:val="74A44C54"/>
    <w:rsid w:val="74CF1C9F"/>
    <w:rsid w:val="74D7126F"/>
    <w:rsid w:val="74E38A13"/>
    <w:rsid w:val="74EEA18B"/>
    <w:rsid w:val="74FDD5E1"/>
    <w:rsid w:val="750C2973"/>
    <w:rsid w:val="753F5076"/>
    <w:rsid w:val="75681E19"/>
    <w:rsid w:val="7569C710"/>
    <w:rsid w:val="757A4300"/>
    <w:rsid w:val="757B0200"/>
    <w:rsid w:val="757DE146"/>
    <w:rsid w:val="757FC2A9"/>
    <w:rsid w:val="75946CD5"/>
    <w:rsid w:val="759DAAF9"/>
    <w:rsid w:val="75B9CE8C"/>
    <w:rsid w:val="75BB4556"/>
    <w:rsid w:val="75BF14D2"/>
    <w:rsid w:val="75C55600"/>
    <w:rsid w:val="75DF5994"/>
    <w:rsid w:val="75EF2876"/>
    <w:rsid w:val="75EF7434"/>
    <w:rsid w:val="75FA2D4B"/>
    <w:rsid w:val="75FEF07A"/>
    <w:rsid w:val="76065B94"/>
    <w:rsid w:val="764811BC"/>
    <w:rsid w:val="764EA9DC"/>
    <w:rsid w:val="7652226E"/>
    <w:rsid w:val="766B38B6"/>
    <w:rsid w:val="767E1281"/>
    <w:rsid w:val="767E9F9F"/>
    <w:rsid w:val="768070C1"/>
    <w:rsid w:val="769D1BED"/>
    <w:rsid w:val="76AD4A36"/>
    <w:rsid w:val="76BA8661"/>
    <w:rsid w:val="76BD0E59"/>
    <w:rsid w:val="76CB4CC0"/>
    <w:rsid w:val="76D65566"/>
    <w:rsid w:val="76EFA10C"/>
    <w:rsid w:val="76F3763A"/>
    <w:rsid w:val="76F3B73C"/>
    <w:rsid w:val="76F4BD2C"/>
    <w:rsid w:val="76FA50FD"/>
    <w:rsid w:val="76FF377B"/>
    <w:rsid w:val="77170059"/>
    <w:rsid w:val="77222375"/>
    <w:rsid w:val="772C33D8"/>
    <w:rsid w:val="773329B9"/>
    <w:rsid w:val="773E2E3D"/>
    <w:rsid w:val="77512E3F"/>
    <w:rsid w:val="775F80C1"/>
    <w:rsid w:val="77660698"/>
    <w:rsid w:val="7774A8E0"/>
    <w:rsid w:val="777FBBA0"/>
    <w:rsid w:val="777FEA57"/>
    <w:rsid w:val="7783164B"/>
    <w:rsid w:val="77833922"/>
    <w:rsid w:val="77904F4C"/>
    <w:rsid w:val="7797894A"/>
    <w:rsid w:val="779BDB2A"/>
    <w:rsid w:val="779FA1D8"/>
    <w:rsid w:val="77A07E5D"/>
    <w:rsid w:val="77A4D493"/>
    <w:rsid w:val="77AC372D"/>
    <w:rsid w:val="77BA00A9"/>
    <w:rsid w:val="77BF9BB1"/>
    <w:rsid w:val="77CE1053"/>
    <w:rsid w:val="77CFBD01"/>
    <w:rsid w:val="77D5930C"/>
    <w:rsid w:val="77DDBF2E"/>
    <w:rsid w:val="77DE81B6"/>
    <w:rsid w:val="77DF202D"/>
    <w:rsid w:val="77DFC9D2"/>
    <w:rsid w:val="77E5307E"/>
    <w:rsid w:val="77EA71D6"/>
    <w:rsid w:val="77EB8B2C"/>
    <w:rsid w:val="77ECCF04"/>
    <w:rsid w:val="77ED700C"/>
    <w:rsid w:val="77ED785B"/>
    <w:rsid w:val="77EDFDB0"/>
    <w:rsid w:val="77EF027A"/>
    <w:rsid w:val="77EFC564"/>
    <w:rsid w:val="77F32CF9"/>
    <w:rsid w:val="77F51CF4"/>
    <w:rsid w:val="77F73187"/>
    <w:rsid w:val="77FBBCA8"/>
    <w:rsid w:val="77FC209D"/>
    <w:rsid w:val="77FD344B"/>
    <w:rsid w:val="77FDFFA5"/>
    <w:rsid w:val="77FF14E3"/>
    <w:rsid w:val="77FF4CB3"/>
    <w:rsid w:val="78000AED"/>
    <w:rsid w:val="785726D7"/>
    <w:rsid w:val="78574485"/>
    <w:rsid w:val="785901FD"/>
    <w:rsid w:val="785B5958"/>
    <w:rsid w:val="78ED2ABC"/>
    <w:rsid w:val="790E03C0"/>
    <w:rsid w:val="7937F511"/>
    <w:rsid w:val="797F7910"/>
    <w:rsid w:val="79A63AF6"/>
    <w:rsid w:val="79DF5092"/>
    <w:rsid w:val="79DFB841"/>
    <w:rsid w:val="79EE1C71"/>
    <w:rsid w:val="79EEF62B"/>
    <w:rsid w:val="79EF1CD0"/>
    <w:rsid w:val="79F75F20"/>
    <w:rsid w:val="79FF32F9"/>
    <w:rsid w:val="79FF5792"/>
    <w:rsid w:val="7A1780B1"/>
    <w:rsid w:val="7A230AC3"/>
    <w:rsid w:val="7A3D229E"/>
    <w:rsid w:val="7A5FD6AD"/>
    <w:rsid w:val="7A74131E"/>
    <w:rsid w:val="7A78B8B9"/>
    <w:rsid w:val="7A8157E9"/>
    <w:rsid w:val="7AA06146"/>
    <w:rsid w:val="7AB3FEA7"/>
    <w:rsid w:val="7AB56BE0"/>
    <w:rsid w:val="7AB67823"/>
    <w:rsid w:val="7AB7D88A"/>
    <w:rsid w:val="7ABBF687"/>
    <w:rsid w:val="7ABF5BD7"/>
    <w:rsid w:val="7AD773E5"/>
    <w:rsid w:val="7ADD519D"/>
    <w:rsid w:val="7AED2D98"/>
    <w:rsid w:val="7AEE7F4B"/>
    <w:rsid w:val="7AF20495"/>
    <w:rsid w:val="7B0326A2"/>
    <w:rsid w:val="7B203254"/>
    <w:rsid w:val="7B234AF2"/>
    <w:rsid w:val="7B55132C"/>
    <w:rsid w:val="7B5B49DF"/>
    <w:rsid w:val="7B614BC2"/>
    <w:rsid w:val="7B6F7E8D"/>
    <w:rsid w:val="7B7018CD"/>
    <w:rsid w:val="7B7C07F5"/>
    <w:rsid w:val="7B7F22FC"/>
    <w:rsid w:val="7B8DF6D6"/>
    <w:rsid w:val="7B8F2F8C"/>
    <w:rsid w:val="7B94B238"/>
    <w:rsid w:val="7BA9A56C"/>
    <w:rsid w:val="7BAF15B0"/>
    <w:rsid w:val="7BB840B1"/>
    <w:rsid w:val="7BBBBFAB"/>
    <w:rsid w:val="7BBD0713"/>
    <w:rsid w:val="7BBF7297"/>
    <w:rsid w:val="7BC57958"/>
    <w:rsid w:val="7BCF5240"/>
    <w:rsid w:val="7BDC5C59"/>
    <w:rsid w:val="7BDD4515"/>
    <w:rsid w:val="7BDE72CE"/>
    <w:rsid w:val="7BDF14C7"/>
    <w:rsid w:val="7BDFC4F7"/>
    <w:rsid w:val="7BE1342B"/>
    <w:rsid w:val="7BEB50B0"/>
    <w:rsid w:val="7BF59C6E"/>
    <w:rsid w:val="7BF63DF0"/>
    <w:rsid w:val="7BF7D147"/>
    <w:rsid w:val="7BF9524D"/>
    <w:rsid w:val="7BFB2E22"/>
    <w:rsid w:val="7BFFA023"/>
    <w:rsid w:val="7BFFCD77"/>
    <w:rsid w:val="7BFFE5A5"/>
    <w:rsid w:val="7C2E7E76"/>
    <w:rsid w:val="7C4FE13F"/>
    <w:rsid w:val="7C7FC9FE"/>
    <w:rsid w:val="7CAC38A6"/>
    <w:rsid w:val="7CAF2AE1"/>
    <w:rsid w:val="7CB309D0"/>
    <w:rsid w:val="7CBF139A"/>
    <w:rsid w:val="7CBFBE54"/>
    <w:rsid w:val="7CC0084B"/>
    <w:rsid w:val="7CCF4113"/>
    <w:rsid w:val="7CDE3A16"/>
    <w:rsid w:val="7CDFE5D7"/>
    <w:rsid w:val="7CE0665F"/>
    <w:rsid w:val="7CF7E074"/>
    <w:rsid w:val="7CFD70B4"/>
    <w:rsid w:val="7D1F6429"/>
    <w:rsid w:val="7D23A68B"/>
    <w:rsid w:val="7D33726F"/>
    <w:rsid w:val="7D3ECB01"/>
    <w:rsid w:val="7D3FFCEB"/>
    <w:rsid w:val="7D423956"/>
    <w:rsid w:val="7D4BD260"/>
    <w:rsid w:val="7D5DE8C3"/>
    <w:rsid w:val="7D6DFE32"/>
    <w:rsid w:val="7D6EF89F"/>
    <w:rsid w:val="7D6FE3C6"/>
    <w:rsid w:val="7D7BC435"/>
    <w:rsid w:val="7D7E5A4C"/>
    <w:rsid w:val="7D7F7CBA"/>
    <w:rsid w:val="7D840C64"/>
    <w:rsid w:val="7D8D6227"/>
    <w:rsid w:val="7D9D99EF"/>
    <w:rsid w:val="7DAA1AFB"/>
    <w:rsid w:val="7DBDA8DF"/>
    <w:rsid w:val="7DBECD1E"/>
    <w:rsid w:val="7DCD1EE7"/>
    <w:rsid w:val="7DD35FDD"/>
    <w:rsid w:val="7DD3AA0D"/>
    <w:rsid w:val="7DD700A4"/>
    <w:rsid w:val="7DDB186C"/>
    <w:rsid w:val="7DEC0419"/>
    <w:rsid w:val="7DED3D60"/>
    <w:rsid w:val="7DEE9BCE"/>
    <w:rsid w:val="7DEFB44B"/>
    <w:rsid w:val="7DF22173"/>
    <w:rsid w:val="7DF79530"/>
    <w:rsid w:val="7DF79C9B"/>
    <w:rsid w:val="7DFA17E2"/>
    <w:rsid w:val="7DFACB47"/>
    <w:rsid w:val="7DFDCACE"/>
    <w:rsid w:val="7DFF4A74"/>
    <w:rsid w:val="7DFF8D5B"/>
    <w:rsid w:val="7DFFC2B5"/>
    <w:rsid w:val="7DFFFF9B"/>
    <w:rsid w:val="7E026C41"/>
    <w:rsid w:val="7E0F7639"/>
    <w:rsid w:val="7E1BFCA1"/>
    <w:rsid w:val="7E5C45A3"/>
    <w:rsid w:val="7E67F959"/>
    <w:rsid w:val="7E6C3ECF"/>
    <w:rsid w:val="7E6C4093"/>
    <w:rsid w:val="7E6FAA5F"/>
    <w:rsid w:val="7E7CE7C7"/>
    <w:rsid w:val="7E7E30B6"/>
    <w:rsid w:val="7E999B28"/>
    <w:rsid w:val="7EAC8F65"/>
    <w:rsid w:val="7EAD2DA4"/>
    <w:rsid w:val="7EBBC8C1"/>
    <w:rsid w:val="7EC72A52"/>
    <w:rsid w:val="7ECB21AE"/>
    <w:rsid w:val="7EDA5DE9"/>
    <w:rsid w:val="7EDB56CE"/>
    <w:rsid w:val="7EDF3DF0"/>
    <w:rsid w:val="7EE503C3"/>
    <w:rsid w:val="7EE78ED1"/>
    <w:rsid w:val="7EEDA41C"/>
    <w:rsid w:val="7EEF53CC"/>
    <w:rsid w:val="7EEF98B3"/>
    <w:rsid w:val="7EEFCF96"/>
    <w:rsid w:val="7EF53B39"/>
    <w:rsid w:val="7EF70449"/>
    <w:rsid w:val="7EF75964"/>
    <w:rsid w:val="7EF7DA71"/>
    <w:rsid w:val="7EF81182"/>
    <w:rsid w:val="7EF91A6D"/>
    <w:rsid w:val="7EFDB944"/>
    <w:rsid w:val="7EFEBF87"/>
    <w:rsid w:val="7EFEF3A4"/>
    <w:rsid w:val="7EFF3557"/>
    <w:rsid w:val="7EFF381D"/>
    <w:rsid w:val="7EFFAF74"/>
    <w:rsid w:val="7EFFD08B"/>
    <w:rsid w:val="7EFFD1D8"/>
    <w:rsid w:val="7F1EBD98"/>
    <w:rsid w:val="7F2D3532"/>
    <w:rsid w:val="7F2E33A8"/>
    <w:rsid w:val="7F2F0636"/>
    <w:rsid w:val="7F2F4DF1"/>
    <w:rsid w:val="7F3B9288"/>
    <w:rsid w:val="7F3D2A04"/>
    <w:rsid w:val="7F3FF567"/>
    <w:rsid w:val="7F52E761"/>
    <w:rsid w:val="7F55E6F0"/>
    <w:rsid w:val="7F5D3C3A"/>
    <w:rsid w:val="7F5DD639"/>
    <w:rsid w:val="7F5E786C"/>
    <w:rsid w:val="7F5F04A9"/>
    <w:rsid w:val="7F5F1D86"/>
    <w:rsid w:val="7F61B68A"/>
    <w:rsid w:val="7F69904B"/>
    <w:rsid w:val="7F6A0F42"/>
    <w:rsid w:val="7F6EF0DF"/>
    <w:rsid w:val="7F6F0380"/>
    <w:rsid w:val="7F71B358"/>
    <w:rsid w:val="7F731335"/>
    <w:rsid w:val="7F764777"/>
    <w:rsid w:val="7F77630D"/>
    <w:rsid w:val="7F7818B1"/>
    <w:rsid w:val="7F79364F"/>
    <w:rsid w:val="7F79C4A9"/>
    <w:rsid w:val="7F7B5CE2"/>
    <w:rsid w:val="7F7B73F4"/>
    <w:rsid w:val="7F7BD052"/>
    <w:rsid w:val="7F7BF744"/>
    <w:rsid w:val="7F7D58EC"/>
    <w:rsid w:val="7F7DA2A5"/>
    <w:rsid w:val="7F7E78A5"/>
    <w:rsid w:val="7F7F1F46"/>
    <w:rsid w:val="7F7F8ED7"/>
    <w:rsid w:val="7F83683A"/>
    <w:rsid w:val="7F8BEED5"/>
    <w:rsid w:val="7F900C37"/>
    <w:rsid w:val="7F9F0641"/>
    <w:rsid w:val="7F9F6A62"/>
    <w:rsid w:val="7FAA4415"/>
    <w:rsid w:val="7FAE984D"/>
    <w:rsid w:val="7FB005C3"/>
    <w:rsid w:val="7FB22FC4"/>
    <w:rsid w:val="7FB3DFF8"/>
    <w:rsid w:val="7FB72059"/>
    <w:rsid w:val="7FB721A0"/>
    <w:rsid w:val="7FB7DD6A"/>
    <w:rsid w:val="7FBACFB2"/>
    <w:rsid w:val="7FBD174F"/>
    <w:rsid w:val="7FBDDD36"/>
    <w:rsid w:val="7FBE304B"/>
    <w:rsid w:val="7FBE7620"/>
    <w:rsid w:val="7FBF12DA"/>
    <w:rsid w:val="7FBF8DA9"/>
    <w:rsid w:val="7FBFB088"/>
    <w:rsid w:val="7FBFF23F"/>
    <w:rsid w:val="7FC3B317"/>
    <w:rsid w:val="7FC9196B"/>
    <w:rsid w:val="7FCF23CA"/>
    <w:rsid w:val="7FCFFB86"/>
    <w:rsid w:val="7FD4D5BE"/>
    <w:rsid w:val="7FD6811C"/>
    <w:rsid w:val="7FD6F3C1"/>
    <w:rsid w:val="7FD72115"/>
    <w:rsid w:val="7FDBC5C7"/>
    <w:rsid w:val="7FDBE9DF"/>
    <w:rsid w:val="7FDCBE8A"/>
    <w:rsid w:val="7FDD8841"/>
    <w:rsid w:val="7FDD9AED"/>
    <w:rsid w:val="7FDE4E0D"/>
    <w:rsid w:val="7FDE61F9"/>
    <w:rsid w:val="7FDF3061"/>
    <w:rsid w:val="7FDFC91B"/>
    <w:rsid w:val="7FDFD8C9"/>
    <w:rsid w:val="7FDFF6D3"/>
    <w:rsid w:val="7FE30518"/>
    <w:rsid w:val="7FE3C7D3"/>
    <w:rsid w:val="7FE503BC"/>
    <w:rsid w:val="7FE696FC"/>
    <w:rsid w:val="7FE75D04"/>
    <w:rsid w:val="7FEB9BD7"/>
    <w:rsid w:val="7FECC56F"/>
    <w:rsid w:val="7FEE66FE"/>
    <w:rsid w:val="7FEE84B0"/>
    <w:rsid w:val="7FEF1D90"/>
    <w:rsid w:val="7FEF3CE5"/>
    <w:rsid w:val="7FEF588B"/>
    <w:rsid w:val="7FEF6107"/>
    <w:rsid w:val="7FEFABC2"/>
    <w:rsid w:val="7FEFAFBF"/>
    <w:rsid w:val="7FEFB74F"/>
    <w:rsid w:val="7FEFC9E9"/>
    <w:rsid w:val="7FF2A60C"/>
    <w:rsid w:val="7FF2A638"/>
    <w:rsid w:val="7FF41951"/>
    <w:rsid w:val="7FF53BC0"/>
    <w:rsid w:val="7FF542A9"/>
    <w:rsid w:val="7FF56CDC"/>
    <w:rsid w:val="7FF6B08F"/>
    <w:rsid w:val="7FF73B82"/>
    <w:rsid w:val="7FF80545"/>
    <w:rsid w:val="7FF87609"/>
    <w:rsid w:val="7FF93D6C"/>
    <w:rsid w:val="7FF9B042"/>
    <w:rsid w:val="7FFA199C"/>
    <w:rsid w:val="7FFA23E0"/>
    <w:rsid w:val="7FFB1129"/>
    <w:rsid w:val="7FFB3E08"/>
    <w:rsid w:val="7FFB575B"/>
    <w:rsid w:val="7FFBA61E"/>
    <w:rsid w:val="7FFBE0D2"/>
    <w:rsid w:val="7FFC7DFB"/>
    <w:rsid w:val="7FFD6611"/>
    <w:rsid w:val="7FFD8C44"/>
    <w:rsid w:val="7FFD9475"/>
    <w:rsid w:val="7FFD9EFC"/>
    <w:rsid w:val="7FFDBC11"/>
    <w:rsid w:val="7FFDCC14"/>
    <w:rsid w:val="7FFE816A"/>
    <w:rsid w:val="7FFEA3A7"/>
    <w:rsid w:val="7FFEAFC0"/>
    <w:rsid w:val="7FFED0BB"/>
    <w:rsid w:val="7FFF2C2A"/>
    <w:rsid w:val="7FFF4186"/>
    <w:rsid w:val="7FFF4D0F"/>
    <w:rsid w:val="7FFF88A3"/>
    <w:rsid w:val="7FFF9476"/>
    <w:rsid w:val="7FFFB032"/>
    <w:rsid w:val="7FFFD8E1"/>
    <w:rsid w:val="7FFFDA26"/>
    <w:rsid w:val="7FFFE278"/>
    <w:rsid w:val="7FFFE308"/>
    <w:rsid w:val="7FFFF5FF"/>
    <w:rsid w:val="85AFF7FE"/>
    <w:rsid w:val="86A3723A"/>
    <w:rsid w:val="86FED0CF"/>
    <w:rsid w:val="87595EFE"/>
    <w:rsid w:val="87B698C1"/>
    <w:rsid w:val="87FF2B09"/>
    <w:rsid w:val="896E52E8"/>
    <w:rsid w:val="89EEA587"/>
    <w:rsid w:val="8F3FABDB"/>
    <w:rsid w:val="8FDF929E"/>
    <w:rsid w:val="8FFA39A1"/>
    <w:rsid w:val="8FFDC7BF"/>
    <w:rsid w:val="8FFED7A2"/>
    <w:rsid w:val="8FFF42A1"/>
    <w:rsid w:val="90FDBC6E"/>
    <w:rsid w:val="91FF980E"/>
    <w:rsid w:val="92F3F1BA"/>
    <w:rsid w:val="93FA9CEA"/>
    <w:rsid w:val="94BF4829"/>
    <w:rsid w:val="97D597CB"/>
    <w:rsid w:val="986B87F8"/>
    <w:rsid w:val="989F69E6"/>
    <w:rsid w:val="98FF30F3"/>
    <w:rsid w:val="9B299AF2"/>
    <w:rsid w:val="9B7996BD"/>
    <w:rsid w:val="9C6C5AEB"/>
    <w:rsid w:val="9CBFBA1F"/>
    <w:rsid w:val="9CEDC8B1"/>
    <w:rsid w:val="9CF7DDD5"/>
    <w:rsid w:val="9D4B5CFF"/>
    <w:rsid w:val="9D72EDA5"/>
    <w:rsid w:val="9EECBFF5"/>
    <w:rsid w:val="9EF1C48C"/>
    <w:rsid w:val="9F7721A0"/>
    <w:rsid w:val="9F7FEA19"/>
    <w:rsid w:val="9FBFD5D7"/>
    <w:rsid w:val="9FCE8E02"/>
    <w:rsid w:val="9FD77A78"/>
    <w:rsid w:val="9FDB242E"/>
    <w:rsid w:val="9FE72D29"/>
    <w:rsid w:val="9FFC5611"/>
    <w:rsid w:val="9FFE3312"/>
    <w:rsid w:val="A1EAB5B3"/>
    <w:rsid w:val="A3B75BA3"/>
    <w:rsid w:val="A3FF66E3"/>
    <w:rsid w:val="A5ADE694"/>
    <w:rsid w:val="A5EBC2D6"/>
    <w:rsid w:val="A7ED1F54"/>
    <w:rsid w:val="A87846A2"/>
    <w:rsid w:val="A92D8C49"/>
    <w:rsid w:val="A93322D1"/>
    <w:rsid w:val="A9FF7911"/>
    <w:rsid w:val="AAD5A359"/>
    <w:rsid w:val="ABDE1799"/>
    <w:rsid w:val="ABF5CB13"/>
    <w:rsid w:val="AC710995"/>
    <w:rsid w:val="ADF980F7"/>
    <w:rsid w:val="AE5F15DD"/>
    <w:rsid w:val="AEA76E2B"/>
    <w:rsid w:val="AEB3A1B4"/>
    <w:rsid w:val="AED2FEDE"/>
    <w:rsid w:val="AEDFD7E4"/>
    <w:rsid w:val="AEFEA3A0"/>
    <w:rsid w:val="AF179033"/>
    <w:rsid w:val="AF45945C"/>
    <w:rsid w:val="AF7F6C87"/>
    <w:rsid w:val="AF9998AC"/>
    <w:rsid w:val="AFB36685"/>
    <w:rsid w:val="AFBC424C"/>
    <w:rsid w:val="AFBE2A20"/>
    <w:rsid w:val="AFBFC63D"/>
    <w:rsid w:val="AFDF263E"/>
    <w:rsid w:val="AFDF734C"/>
    <w:rsid w:val="AFFC3CF9"/>
    <w:rsid w:val="AFFF1094"/>
    <w:rsid w:val="AFFFC298"/>
    <w:rsid w:val="B29F9207"/>
    <w:rsid w:val="B2C75286"/>
    <w:rsid w:val="B2FA679D"/>
    <w:rsid w:val="B3ADEE8E"/>
    <w:rsid w:val="B3F33C9E"/>
    <w:rsid w:val="B3F73B54"/>
    <w:rsid w:val="B3FB0300"/>
    <w:rsid w:val="B3FB99BA"/>
    <w:rsid w:val="B3FF704B"/>
    <w:rsid w:val="B4F72D8C"/>
    <w:rsid w:val="B4FFB60F"/>
    <w:rsid w:val="B57E7E92"/>
    <w:rsid w:val="B5B73067"/>
    <w:rsid w:val="B5DF4DCB"/>
    <w:rsid w:val="B61BD297"/>
    <w:rsid w:val="B6FFFB70"/>
    <w:rsid w:val="B72F0725"/>
    <w:rsid w:val="B74B5A84"/>
    <w:rsid w:val="B7C713A0"/>
    <w:rsid w:val="B7D3AAAB"/>
    <w:rsid w:val="B7E2F22A"/>
    <w:rsid w:val="B7FB737D"/>
    <w:rsid w:val="B7FCEBA4"/>
    <w:rsid w:val="B7FF56B8"/>
    <w:rsid w:val="B7FF73E4"/>
    <w:rsid w:val="B7FFEC77"/>
    <w:rsid w:val="B9BB458A"/>
    <w:rsid w:val="B9CF2B28"/>
    <w:rsid w:val="B9F5C957"/>
    <w:rsid w:val="B9F98677"/>
    <w:rsid w:val="B9FE1503"/>
    <w:rsid w:val="B9FF94E6"/>
    <w:rsid w:val="B9FFF144"/>
    <w:rsid w:val="BA7972DC"/>
    <w:rsid w:val="BA7B23C6"/>
    <w:rsid w:val="BA9E5505"/>
    <w:rsid w:val="BADB98EE"/>
    <w:rsid w:val="BAF7CC57"/>
    <w:rsid w:val="BB3FE2E9"/>
    <w:rsid w:val="BB7F3620"/>
    <w:rsid w:val="BB9A1A62"/>
    <w:rsid w:val="BBAF5429"/>
    <w:rsid w:val="BBB98916"/>
    <w:rsid w:val="BBBC9490"/>
    <w:rsid w:val="BBC6ED28"/>
    <w:rsid w:val="BBD708D1"/>
    <w:rsid w:val="BBD77516"/>
    <w:rsid w:val="BBE874DB"/>
    <w:rsid w:val="BBF56574"/>
    <w:rsid w:val="BCBD6226"/>
    <w:rsid w:val="BCE59DFA"/>
    <w:rsid w:val="BCE8369C"/>
    <w:rsid w:val="BCED2646"/>
    <w:rsid w:val="BCFA114D"/>
    <w:rsid w:val="BCFDD935"/>
    <w:rsid w:val="BCFF3094"/>
    <w:rsid w:val="BD397C80"/>
    <w:rsid w:val="BD3E0350"/>
    <w:rsid w:val="BD7921A4"/>
    <w:rsid w:val="BD9E5AFF"/>
    <w:rsid w:val="BDA68652"/>
    <w:rsid w:val="BDDF344F"/>
    <w:rsid w:val="BDEB478E"/>
    <w:rsid w:val="BDED84A0"/>
    <w:rsid w:val="BDFA39A9"/>
    <w:rsid w:val="BDFBE253"/>
    <w:rsid w:val="BDFD3DCC"/>
    <w:rsid w:val="BDFF9796"/>
    <w:rsid w:val="BE9D8E50"/>
    <w:rsid w:val="BED6884B"/>
    <w:rsid w:val="BEDF264E"/>
    <w:rsid w:val="BEDFC4EE"/>
    <w:rsid w:val="BEEB2114"/>
    <w:rsid w:val="BEFEA0A9"/>
    <w:rsid w:val="BEFEBA7C"/>
    <w:rsid w:val="BEFF2553"/>
    <w:rsid w:val="BEFF2C35"/>
    <w:rsid w:val="BEFF5110"/>
    <w:rsid w:val="BEFFA7BE"/>
    <w:rsid w:val="BF3B3C25"/>
    <w:rsid w:val="BF3BD22F"/>
    <w:rsid w:val="BF3CFA1A"/>
    <w:rsid w:val="BF4E9BE1"/>
    <w:rsid w:val="BF5F4554"/>
    <w:rsid w:val="BF5FB594"/>
    <w:rsid w:val="BF6F9C69"/>
    <w:rsid w:val="BF73082E"/>
    <w:rsid w:val="BF73A89E"/>
    <w:rsid w:val="BF771DAD"/>
    <w:rsid w:val="BF77BA7B"/>
    <w:rsid w:val="BF7A0E1C"/>
    <w:rsid w:val="BF7E5240"/>
    <w:rsid w:val="BF7FB87B"/>
    <w:rsid w:val="BF7FC42A"/>
    <w:rsid w:val="BFBB8A04"/>
    <w:rsid w:val="BFBBEF91"/>
    <w:rsid w:val="BFBEA667"/>
    <w:rsid w:val="BFBF6180"/>
    <w:rsid w:val="BFCFD304"/>
    <w:rsid w:val="BFD37878"/>
    <w:rsid w:val="BFD72210"/>
    <w:rsid w:val="BFD9C348"/>
    <w:rsid w:val="BFDA108F"/>
    <w:rsid w:val="BFDE1705"/>
    <w:rsid w:val="BFE7E4EB"/>
    <w:rsid w:val="BFEBC280"/>
    <w:rsid w:val="BFEE6A98"/>
    <w:rsid w:val="BFEF3E5E"/>
    <w:rsid w:val="BFEFAB1B"/>
    <w:rsid w:val="BFF15774"/>
    <w:rsid w:val="BFF231B1"/>
    <w:rsid w:val="BFF38C4B"/>
    <w:rsid w:val="BFF42284"/>
    <w:rsid w:val="BFF5091C"/>
    <w:rsid w:val="BFF79601"/>
    <w:rsid w:val="BFF7DF6C"/>
    <w:rsid w:val="BFFBE714"/>
    <w:rsid w:val="BFFF5485"/>
    <w:rsid w:val="C0EF3CB2"/>
    <w:rsid w:val="C3FB6696"/>
    <w:rsid w:val="C5BF3806"/>
    <w:rsid w:val="C63D78C8"/>
    <w:rsid w:val="C73AB6AF"/>
    <w:rsid w:val="C73F8161"/>
    <w:rsid w:val="C74F14DB"/>
    <w:rsid w:val="C7E34CDA"/>
    <w:rsid w:val="C7EF768C"/>
    <w:rsid w:val="C7FE7654"/>
    <w:rsid w:val="C7FF09E8"/>
    <w:rsid w:val="CA7FC6EA"/>
    <w:rsid w:val="CA99921F"/>
    <w:rsid w:val="CABFC48C"/>
    <w:rsid w:val="CBF9C8E9"/>
    <w:rsid w:val="CCBDA64B"/>
    <w:rsid w:val="CD7AB148"/>
    <w:rsid w:val="CD7E931E"/>
    <w:rsid w:val="CDCF0B41"/>
    <w:rsid w:val="CEBE9066"/>
    <w:rsid w:val="CEFA085D"/>
    <w:rsid w:val="CEFBBC8B"/>
    <w:rsid w:val="CEFDD99E"/>
    <w:rsid w:val="CEFF5F21"/>
    <w:rsid w:val="CF5EC998"/>
    <w:rsid w:val="CF618CD5"/>
    <w:rsid w:val="CF67476E"/>
    <w:rsid w:val="CF6F6D73"/>
    <w:rsid w:val="CF7FE6CB"/>
    <w:rsid w:val="CF87322F"/>
    <w:rsid w:val="CF9FF67B"/>
    <w:rsid w:val="CFBE2182"/>
    <w:rsid w:val="CFBF135B"/>
    <w:rsid w:val="CFCFAF16"/>
    <w:rsid w:val="CFEFE5E9"/>
    <w:rsid w:val="CFFA2F5E"/>
    <w:rsid w:val="D1ED020C"/>
    <w:rsid w:val="D2EC7DDC"/>
    <w:rsid w:val="D2ECFDA9"/>
    <w:rsid w:val="D37BA4AC"/>
    <w:rsid w:val="D3D9E2CB"/>
    <w:rsid w:val="D3F79751"/>
    <w:rsid w:val="D3FF50FA"/>
    <w:rsid w:val="D54257C2"/>
    <w:rsid w:val="D5FF536A"/>
    <w:rsid w:val="D6258502"/>
    <w:rsid w:val="D69E550A"/>
    <w:rsid w:val="D6DF8C6E"/>
    <w:rsid w:val="D6FE3D7F"/>
    <w:rsid w:val="D6FF5411"/>
    <w:rsid w:val="D6FFF051"/>
    <w:rsid w:val="D7774E00"/>
    <w:rsid w:val="D7BFF76E"/>
    <w:rsid w:val="D7DF46D8"/>
    <w:rsid w:val="D7DF9904"/>
    <w:rsid w:val="D7E34AB6"/>
    <w:rsid w:val="D7EF9883"/>
    <w:rsid w:val="D7EF9CF1"/>
    <w:rsid w:val="D7F28486"/>
    <w:rsid w:val="D7FC55B0"/>
    <w:rsid w:val="D7FD3758"/>
    <w:rsid w:val="D7FE974F"/>
    <w:rsid w:val="D7FEED75"/>
    <w:rsid w:val="D7FFA9B0"/>
    <w:rsid w:val="D7FFF26C"/>
    <w:rsid w:val="D83F45D3"/>
    <w:rsid w:val="D8BF7A5C"/>
    <w:rsid w:val="D9BF72D0"/>
    <w:rsid w:val="D9CFA0A4"/>
    <w:rsid w:val="D9E366D1"/>
    <w:rsid w:val="D9FFB05A"/>
    <w:rsid w:val="D9FFE30D"/>
    <w:rsid w:val="DA968E39"/>
    <w:rsid w:val="DAB979E2"/>
    <w:rsid w:val="DABDD0C8"/>
    <w:rsid w:val="DABF7FB5"/>
    <w:rsid w:val="DAF7A87D"/>
    <w:rsid w:val="DB35BD6C"/>
    <w:rsid w:val="DB5F49E2"/>
    <w:rsid w:val="DBAF97AE"/>
    <w:rsid w:val="DBBF0836"/>
    <w:rsid w:val="DBCF0484"/>
    <w:rsid w:val="DBD70FBF"/>
    <w:rsid w:val="DBDF524E"/>
    <w:rsid w:val="DBE8ABD6"/>
    <w:rsid w:val="DBEF0558"/>
    <w:rsid w:val="DBF0B51D"/>
    <w:rsid w:val="DBF0F7EA"/>
    <w:rsid w:val="DBFA201C"/>
    <w:rsid w:val="DBFB1701"/>
    <w:rsid w:val="DBFF337D"/>
    <w:rsid w:val="DC31DD45"/>
    <w:rsid w:val="DC76E4FA"/>
    <w:rsid w:val="DC7ED81A"/>
    <w:rsid w:val="DCA9D16E"/>
    <w:rsid w:val="DCB681D1"/>
    <w:rsid w:val="DCB73E75"/>
    <w:rsid w:val="DCFB1765"/>
    <w:rsid w:val="DCFC623D"/>
    <w:rsid w:val="DCFF5B33"/>
    <w:rsid w:val="DCFFAEA0"/>
    <w:rsid w:val="DD1FCD0A"/>
    <w:rsid w:val="DD5F3921"/>
    <w:rsid w:val="DD7ECD81"/>
    <w:rsid w:val="DDBF7E59"/>
    <w:rsid w:val="DDBFE55E"/>
    <w:rsid w:val="DDEB91DD"/>
    <w:rsid w:val="DDF557D9"/>
    <w:rsid w:val="DDFFF87B"/>
    <w:rsid w:val="DE6CDB6E"/>
    <w:rsid w:val="DE7BF964"/>
    <w:rsid w:val="DE858445"/>
    <w:rsid w:val="DEBD631B"/>
    <w:rsid w:val="DEDDA998"/>
    <w:rsid w:val="DEDE819B"/>
    <w:rsid w:val="DEDF343C"/>
    <w:rsid w:val="DEEFF029"/>
    <w:rsid w:val="DEFBDED2"/>
    <w:rsid w:val="DEFE3EE0"/>
    <w:rsid w:val="DEFEBFD2"/>
    <w:rsid w:val="DEFF0DF5"/>
    <w:rsid w:val="DEFFC61D"/>
    <w:rsid w:val="DF16B151"/>
    <w:rsid w:val="DF1D6B21"/>
    <w:rsid w:val="DF36A15D"/>
    <w:rsid w:val="DF3CE891"/>
    <w:rsid w:val="DF4FB3E5"/>
    <w:rsid w:val="DF5B72DD"/>
    <w:rsid w:val="DF5F1A0B"/>
    <w:rsid w:val="DF770C9B"/>
    <w:rsid w:val="DF771FCF"/>
    <w:rsid w:val="DF7DC038"/>
    <w:rsid w:val="DF7FB4F5"/>
    <w:rsid w:val="DF7FCE6F"/>
    <w:rsid w:val="DF946AD7"/>
    <w:rsid w:val="DF9F2B08"/>
    <w:rsid w:val="DFA6F9EA"/>
    <w:rsid w:val="DFACC116"/>
    <w:rsid w:val="DFAFF918"/>
    <w:rsid w:val="DFBACEA7"/>
    <w:rsid w:val="DFBB2B10"/>
    <w:rsid w:val="DFBB2F68"/>
    <w:rsid w:val="DFBB6DC0"/>
    <w:rsid w:val="DFC7841D"/>
    <w:rsid w:val="DFC7E588"/>
    <w:rsid w:val="DFD7E2DB"/>
    <w:rsid w:val="DFDA1F03"/>
    <w:rsid w:val="DFDE4AA7"/>
    <w:rsid w:val="DFDFF2FC"/>
    <w:rsid w:val="DFE38A75"/>
    <w:rsid w:val="DFEDD2A9"/>
    <w:rsid w:val="DFF2485A"/>
    <w:rsid w:val="DFF3434E"/>
    <w:rsid w:val="DFF795A0"/>
    <w:rsid w:val="DFF7E9E8"/>
    <w:rsid w:val="DFFB44C3"/>
    <w:rsid w:val="DFFBA9B0"/>
    <w:rsid w:val="DFFBEB09"/>
    <w:rsid w:val="DFFE7AF8"/>
    <w:rsid w:val="DFFF3695"/>
    <w:rsid w:val="DFFF3F2B"/>
    <w:rsid w:val="DFFFDCE1"/>
    <w:rsid w:val="E17B2247"/>
    <w:rsid w:val="E1F518EB"/>
    <w:rsid w:val="E1F79968"/>
    <w:rsid w:val="E27A3808"/>
    <w:rsid w:val="E27F5227"/>
    <w:rsid w:val="E35FE8E0"/>
    <w:rsid w:val="E3F7F356"/>
    <w:rsid w:val="E3FDC93E"/>
    <w:rsid w:val="E4D91BCD"/>
    <w:rsid w:val="E4ED5F39"/>
    <w:rsid w:val="E4F65B8D"/>
    <w:rsid w:val="E4FDB6DF"/>
    <w:rsid w:val="E5DF34FE"/>
    <w:rsid w:val="E5F56485"/>
    <w:rsid w:val="E5FF02D1"/>
    <w:rsid w:val="E65F5EF8"/>
    <w:rsid w:val="E67F2524"/>
    <w:rsid w:val="E6CE0FC7"/>
    <w:rsid w:val="E6CF15AD"/>
    <w:rsid w:val="E6FFC81C"/>
    <w:rsid w:val="E7367397"/>
    <w:rsid w:val="E73F9213"/>
    <w:rsid w:val="E7703AFD"/>
    <w:rsid w:val="E77CD7EA"/>
    <w:rsid w:val="E77EBC88"/>
    <w:rsid w:val="E7C70A9B"/>
    <w:rsid w:val="E7C79E76"/>
    <w:rsid w:val="E7DB8211"/>
    <w:rsid w:val="E7DDE083"/>
    <w:rsid w:val="E7EF836D"/>
    <w:rsid w:val="E7F56011"/>
    <w:rsid w:val="E7F59261"/>
    <w:rsid w:val="E7F6CDE2"/>
    <w:rsid w:val="E7F75504"/>
    <w:rsid w:val="E7FE25A9"/>
    <w:rsid w:val="E7FF212D"/>
    <w:rsid w:val="E7FF447A"/>
    <w:rsid w:val="E7FF7025"/>
    <w:rsid w:val="E7FF8429"/>
    <w:rsid w:val="E88F0BB6"/>
    <w:rsid w:val="E8BA8F9B"/>
    <w:rsid w:val="E8EA4C65"/>
    <w:rsid w:val="E928EC55"/>
    <w:rsid w:val="E9BBA61C"/>
    <w:rsid w:val="E9F71EFB"/>
    <w:rsid w:val="E9FB1364"/>
    <w:rsid w:val="EA17382B"/>
    <w:rsid w:val="EB5FCFF3"/>
    <w:rsid w:val="EB6C5060"/>
    <w:rsid w:val="EB7FD22B"/>
    <w:rsid w:val="EBBD50DC"/>
    <w:rsid w:val="EBBF5345"/>
    <w:rsid w:val="EBEC6EF5"/>
    <w:rsid w:val="EBF763BF"/>
    <w:rsid w:val="EBFB545D"/>
    <w:rsid w:val="EBFE737F"/>
    <w:rsid w:val="EBFF1496"/>
    <w:rsid w:val="EBFF1E79"/>
    <w:rsid w:val="EBFFA62B"/>
    <w:rsid w:val="ECD6A6DC"/>
    <w:rsid w:val="ECE7A6FB"/>
    <w:rsid w:val="ECFA77B0"/>
    <w:rsid w:val="ED278F52"/>
    <w:rsid w:val="ED7F56F1"/>
    <w:rsid w:val="EDA6A0AA"/>
    <w:rsid w:val="EDB6CF51"/>
    <w:rsid w:val="EDBF9A6A"/>
    <w:rsid w:val="EDBFC03B"/>
    <w:rsid w:val="EDE8C1AC"/>
    <w:rsid w:val="EDF5A68E"/>
    <w:rsid w:val="EDFB531A"/>
    <w:rsid w:val="EDFDCB9B"/>
    <w:rsid w:val="EDFE0580"/>
    <w:rsid w:val="EDFF3659"/>
    <w:rsid w:val="EE33D149"/>
    <w:rsid w:val="EE3B3182"/>
    <w:rsid w:val="EE670E37"/>
    <w:rsid w:val="EEBFCDF8"/>
    <w:rsid w:val="EED5D21A"/>
    <w:rsid w:val="EED7D741"/>
    <w:rsid w:val="EEE7740D"/>
    <w:rsid w:val="EEECE9BE"/>
    <w:rsid w:val="EEEE9375"/>
    <w:rsid w:val="EEF717E7"/>
    <w:rsid w:val="EEFECCBC"/>
    <w:rsid w:val="EEFF6940"/>
    <w:rsid w:val="EF2F3636"/>
    <w:rsid w:val="EF57A05D"/>
    <w:rsid w:val="EF5E63D7"/>
    <w:rsid w:val="EF6F1247"/>
    <w:rsid w:val="EF778B95"/>
    <w:rsid w:val="EF79716E"/>
    <w:rsid w:val="EF7BB937"/>
    <w:rsid w:val="EF7C5E38"/>
    <w:rsid w:val="EF7F2A4D"/>
    <w:rsid w:val="EFB71AAE"/>
    <w:rsid w:val="EFD1F30A"/>
    <w:rsid w:val="EFD7C781"/>
    <w:rsid w:val="EFDA9C10"/>
    <w:rsid w:val="EFDB315C"/>
    <w:rsid w:val="EFDD2DFA"/>
    <w:rsid w:val="EFDED74C"/>
    <w:rsid w:val="EFDF9209"/>
    <w:rsid w:val="EFDF92A7"/>
    <w:rsid w:val="EFDF94C3"/>
    <w:rsid w:val="EFEB7B7F"/>
    <w:rsid w:val="EFEE05C4"/>
    <w:rsid w:val="EFEE5382"/>
    <w:rsid w:val="EFF505AE"/>
    <w:rsid w:val="EFF7751A"/>
    <w:rsid w:val="EFF99357"/>
    <w:rsid w:val="EFFDA478"/>
    <w:rsid w:val="EFFE4515"/>
    <w:rsid w:val="EFFEBF9B"/>
    <w:rsid w:val="EFFF4043"/>
    <w:rsid w:val="EFFF864B"/>
    <w:rsid w:val="EFFFCB75"/>
    <w:rsid w:val="EFFFE6C4"/>
    <w:rsid w:val="F0FDDC43"/>
    <w:rsid w:val="F1BDCCFB"/>
    <w:rsid w:val="F1F71BBA"/>
    <w:rsid w:val="F1FFF6DB"/>
    <w:rsid w:val="F26525BD"/>
    <w:rsid w:val="F26B5C6A"/>
    <w:rsid w:val="F27FBB41"/>
    <w:rsid w:val="F2BEEF4A"/>
    <w:rsid w:val="F2E33EF4"/>
    <w:rsid w:val="F2F7F9BD"/>
    <w:rsid w:val="F2FDA3DD"/>
    <w:rsid w:val="F2FF908D"/>
    <w:rsid w:val="F33CF4BD"/>
    <w:rsid w:val="F35F25B5"/>
    <w:rsid w:val="F35FDF2B"/>
    <w:rsid w:val="F36F31D0"/>
    <w:rsid w:val="F3B350A6"/>
    <w:rsid w:val="F3BF7759"/>
    <w:rsid w:val="F3CD1428"/>
    <w:rsid w:val="F3DA9DDF"/>
    <w:rsid w:val="F3EF50F3"/>
    <w:rsid w:val="F3F40C60"/>
    <w:rsid w:val="F3FACB1D"/>
    <w:rsid w:val="F3FE337C"/>
    <w:rsid w:val="F3FE33D7"/>
    <w:rsid w:val="F3FF9C0D"/>
    <w:rsid w:val="F46B5C4E"/>
    <w:rsid w:val="F4BC3F72"/>
    <w:rsid w:val="F53D58B5"/>
    <w:rsid w:val="F57F55B7"/>
    <w:rsid w:val="F57FB18A"/>
    <w:rsid w:val="F5BE0171"/>
    <w:rsid w:val="F5BF00E5"/>
    <w:rsid w:val="F5CFC917"/>
    <w:rsid w:val="F5DB2F9D"/>
    <w:rsid w:val="F5DCFD50"/>
    <w:rsid w:val="F5F739C7"/>
    <w:rsid w:val="F5F8276B"/>
    <w:rsid w:val="F5FB020D"/>
    <w:rsid w:val="F5FDE83F"/>
    <w:rsid w:val="F5FFF6AA"/>
    <w:rsid w:val="F6AB9692"/>
    <w:rsid w:val="F6B75BA4"/>
    <w:rsid w:val="F6DCED4F"/>
    <w:rsid w:val="F6EB041D"/>
    <w:rsid w:val="F6FB57AD"/>
    <w:rsid w:val="F6FB7C6C"/>
    <w:rsid w:val="F6FDE576"/>
    <w:rsid w:val="F73F607A"/>
    <w:rsid w:val="F7550A3D"/>
    <w:rsid w:val="F75B02AD"/>
    <w:rsid w:val="F75FC22E"/>
    <w:rsid w:val="F76BBE5E"/>
    <w:rsid w:val="F77A2114"/>
    <w:rsid w:val="F77E2263"/>
    <w:rsid w:val="F77F0399"/>
    <w:rsid w:val="F77F34AF"/>
    <w:rsid w:val="F77FCA64"/>
    <w:rsid w:val="F78E85D5"/>
    <w:rsid w:val="F78F1F55"/>
    <w:rsid w:val="F7ADAD7E"/>
    <w:rsid w:val="F7B67FE3"/>
    <w:rsid w:val="F7BC1127"/>
    <w:rsid w:val="F7BF01E2"/>
    <w:rsid w:val="F7CFBE76"/>
    <w:rsid w:val="F7D7F634"/>
    <w:rsid w:val="F7DBB3A0"/>
    <w:rsid w:val="F7DDF2E1"/>
    <w:rsid w:val="F7DFBA10"/>
    <w:rsid w:val="F7E3DFA1"/>
    <w:rsid w:val="F7EA6702"/>
    <w:rsid w:val="F7EB5DD2"/>
    <w:rsid w:val="F7EF4409"/>
    <w:rsid w:val="F7F563FD"/>
    <w:rsid w:val="F7F62BBC"/>
    <w:rsid w:val="F7F785BE"/>
    <w:rsid w:val="F7FC3C36"/>
    <w:rsid w:val="F7FC6C62"/>
    <w:rsid w:val="F7FE8781"/>
    <w:rsid w:val="F7FEBDFC"/>
    <w:rsid w:val="F7FF5E77"/>
    <w:rsid w:val="F7FF9208"/>
    <w:rsid w:val="F7FFAC44"/>
    <w:rsid w:val="F7FFFD8A"/>
    <w:rsid w:val="F86787D5"/>
    <w:rsid w:val="F86F4550"/>
    <w:rsid w:val="F94FC496"/>
    <w:rsid w:val="F97FCFF8"/>
    <w:rsid w:val="F997EDEF"/>
    <w:rsid w:val="F9ABD6D2"/>
    <w:rsid w:val="F9BF1226"/>
    <w:rsid w:val="F9E4DFB3"/>
    <w:rsid w:val="F9EE6F55"/>
    <w:rsid w:val="F9FCD9D5"/>
    <w:rsid w:val="F9FFF87F"/>
    <w:rsid w:val="FA2B14D9"/>
    <w:rsid w:val="FA332C90"/>
    <w:rsid w:val="FA8EC16B"/>
    <w:rsid w:val="FAA40CAF"/>
    <w:rsid w:val="FAAD2B2B"/>
    <w:rsid w:val="FAAFF776"/>
    <w:rsid w:val="FAB768D8"/>
    <w:rsid w:val="FABFD456"/>
    <w:rsid w:val="FAD4E80E"/>
    <w:rsid w:val="FADFFCCC"/>
    <w:rsid w:val="FAEE9591"/>
    <w:rsid w:val="FAF5803B"/>
    <w:rsid w:val="FAF7972C"/>
    <w:rsid w:val="FAF7CA6C"/>
    <w:rsid w:val="FAFEDA28"/>
    <w:rsid w:val="FAFFD478"/>
    <w:rsid w:val="FB2BD0AE"/>
    <w:rsid w:val="FB672D63"/>
    <w:rsid w:val="FB6D8A78"/>
    <w:rsid w:val="FB7562C3"/>
    <w:rsid w:val="FB77D67C"/>
    <w:rsid w:val="FB7BC22B"/>
    <w:rsid w:val="FB7CD271"/>
    <w:rsid w:val="FB7DF2E3"/>
    <w:rsid w:val="FB9F559A"/>
    <w:rsid w:val="FB9FEBAB"/>
    <w:rsid w:val="FB9FFD1A"/>
    <w:rsid w:val="FBA81D5E"/>
    <w:rsid w:val="FBB52B6A"/>
    <w:rsid w:val="FBB81924"/>
    <w:rsid w:val="FBBA0D4F"/>
    <w:rsid w:val="FBBB9998"/>
    <w:rsid w:val="FBBF3CEF"/>
    <w:rsid w:val="FBBFF068"/>
    <w:rsid w:val="FBDB2848"/>
    <w:rsid w:val="FBEB3A5C"/>
    <w:rsid w:val="FBEBE533"/>
    <w:rsid w:val="FBEE2749"/>
    <w:rsid w:val="FBEFBD47"/>
    <w:rsid w:val="FBF742C7"/>
    <w:rsid w:val="FBF7DF3B"/>
    <w:rsid w:val="FBFAD83C"/>
    <w:rsid w:val="FBFB6F47"/>
    <w:rsid w:val="FBFBC82D"/>
    <w:rsid w:val="FBFE1469"/>
    <w:rsid w:val="FBFF1649"/>
    <w:rsid w:val="FBFF1A8C"/>
    <w:rsid w:val="FBFFA8F0"/>
    <w:rsid w:val="FBFFC6DB"/>
    <w:rsid w:val="FBFFE989"/>
    <w:rsid w:val="FC2F0B7F"/>
    <w:rsid w:val="FC7724E5"/>
    <w:rsid w:val="FC77D419"/>
    <w:rsid w:val="FC7F89FA"/>
    <w:rsid w:val="FCBE8CBB"/>
    <w:rsid w:val="FCDC0775"/>
    <w:rsid w:val="FCDE1BE6"/>
    <w:rsid w:val="FCDF4D4C"/>
    <w:rsid w:val="FCFB84E8"/>
    <w:rsid w:val="FD39A8E9"/>
    <w:rsid w:val="FD3FFC69"/>
    <w:rsid w:val="FD4FD6F5"/>
    <w:rsid w:val="FD5796E8"/>
    <w:rsid w:val="FD5BA852"/>
    <w:rsid w:val="FD6E3EA1"/>
    <w:rsid w:val="FD7AD4A3"/>
    <w:rsid w:val="FD7B4879"/>
    <w:rsid w:val="FD7BE9B3"/>
    <w:rsid w:val="FD7D1B1E"/>
    <w:rsid w:val="FD7D370F"/>
    <w:rsid w:val="FD7D8046"/>
    <w:rsid w:val="FD7F4BF2"/>
    <w:rsid w:val="FDA68678"/>
    <w:rsid w:val="FDAD8034"/>
    <w:rsid w:val="FDAE5C72"/>
    <w:rsid w:val="FDAE79C0"/>
    <w:rsid w:val="FDB7E5F6"/>
    <w:rsid w:val="FDBE572D"/>
    <w:rsid w:val="FDBFBCF1"/>
    <w:rsid w:val="FDBFD026"/>
    <w:rsid w:val="FDC7A7E0"/>
    <w:rsid w:val="FDCFA5C2"/>
    <w:rsid w:val="FDDC7BFE"/>
    <w:rsid w:val="FDE74A25"/>
    <w:rsid w:val="FDE7A3EC"/>
    <w:rsid w:val="FDF160BE"/>
    <w:rsid w:val="FDF3FD3D"/>
    <w:rsid w:val="FDF4280B"/>
    <w:rsid w:val="FDF7D679"/>
    <w:rsid w:val="FDF97E01"/>
    <w:rsid w:val="FDFB8E5B"/>
    <w:rsid w:val="FDFD0C31"/>
    <w:rsid w:val="FDFDA8C4"/>
    <w:rsid w:val="FDFF5EE6"/>
    <w:rsid w:val="FDFFD365"/>
    <w:rsid w:val="FDFFE392"/>
    <w:rsid w:val="FE1FE5D9"/>
    <w:rsid w:val="FE37B856"/>
    <w:rsid w:val="FE55FDBC"/>
    <w:rsid w:val="FE57042B"/>
    <w:rsid w:val="FE6F4556"/>
    <w:rsid w:val="FE734873"/>
    <w:rsid w:val="FE77876C"/>
    <w:rsid w:val="FE7A2C63"/>
    <w:rsid w:val="FE7F0798"/>
    <w:rsid w:val="FE85AD7A"/>
    <w:rsid w:val="FE96382A"/>
    <w:rsid w:val="FE9E3813"/>
    <w:rsid w:val="FEBB8A38"/>
    <w:rsid w:val="FEBE5C05"/>
    <w:rsid w:val="FEBFABDA"/>
    <w:rsid w:val="FEC22DBD"/>
    <w:rsid w:val="FEC599A8"/>
    <w:rsid w:val="FECE9A43"/>
    <w:rsid w:val="FED9D38C"/>
    <w:rsid w:val="FEDDA333"/>
    <w:rsid w:val="FEDDB099"/>
    <w:rsid w:val="FEDF090D"/>
    <w:rsid w:val="FEE75382"/>
    <w:rsid w:val="FEEF4C0B"/>
    <w:rsid w:val="FEEF4E71"/>
    <w:rsid w:val="FEEFEF90"/>
    <w:rsid w:val="FEEFFF36"/>
    <w:rsid w:val="FEF770D9"/>
    <w:rsid w:val="FEF79600"/>
    <w:rsid w:val="FEF9564B"/>
    <w:rsid w:val="FEFB040E"/>
    <w:rsid w:val="FEFB621E"/>
    <w:rsid w:val="FEFB8FF1"/>
    <w:rsid w:val="FEFD2C7F"/>
    <w:rsid w:val="FEFDC1BA"/>
    <w:rsid w:val="FEFDEC73"/>
    <w:rsid w:val="FEFEC142"/>
    <w:rsid w:val="FEFFA3F4"/>
    <w:rsid w:val="FF181063"/>
    <w:rsid w:val="FF1D7D80"/>
    <w:rsid w:val="FF1E25DA"/>
    <w:rsid w:val="FF2F556D"/>
    <w:rsid w:val="FF3F396F"/>
    <w:rsid w:val="FF53BE25"/>
    <w:rsid w:val="FF541A80"/>
    <w:rsid w:val="FF5CD453"/>
    <w:rsid w:val="FF5D7A88"/>
    <w:rsid w:val="FF67865D"/>
    <w:rsid w:val="FF68910F"/>
    <w:rsid w:val="FF73E447"/>
    <w:rsid w:val="FF77180C"/>
    <w:rsid w:val="FF775169"/>
    <w:rsid w:val="FF77ED9A"/>
    <w:rsid w:val="FF7A4550"/>
    <w:rsid w:val="FF7B6C0D"/>
    <w:rsid w:val="FF7BC465"/>
    <w:rsid w:val="FF7D850B"/>
    <w:rsid w:val="FF7D8C13"/>
    <w:rsid w:val="FF7DFBDD"/>
    <w:rsid w:val="FF7E03A8"/>
    <w:rsid w:val="FF7E65D5"/>
    <w:rsid w:val="FF7F0626"/>
    <w:rsid w:val="FF7F429C"/>
    <w:rsid w:val="FF7FF5E0"/>
    <w:rsid w:val="FF958F1C"/>
    <w:rsid w:val="FF9FFE79"/>
    <w:rsid w:val="FFAF7069"/>
    <w:rsid w:val="FFAF7BBA"/>
    <w:rsid w:val="FFAF8580"/>
    <w:rsid w:val="FFB15FD3"/>
    <w:rsid w:val="FFB30CC2"/>
    <w:rsid w:val="FFB74437"/>
    <w:rsid w:val="FFBB3283"/>
    <w:rsid w:val="FFBBAB8D"/>
    <w:rsid w:val="FFBD146E"/>
    <w:rsid w:val="FFBE595D"/>
    <w:rsid w:val="FFBF0DC4"/>
    <w:rsid w:val="FFBFB639"/>
    <w:rsid w:val="FFBFB9D6"/>
    <w:rsid w:val="FFC2B940"/>
    <w:rsid w:val="FFC906AA"/>
    <w:rsid w:val="FFCB9C49"/>
    <w:rsid w:val="FFCD4732"/>
    <w:rsid w:val="FFCDE8AE"/>
    <w:rsid w:val="FFD77235"/>
    <w:rsid w:val="FFD9499B"/>
    <w:rsid w:val="FFDAFD54"/>
    <w:rsid w:val="FFDB104D"/>
    <w:rsid w:val="FFDB48C2"/>
    <w:rsid w:val="FFDD119E"/>
    <w:rsid w:val="FFDE2B57"/>
    <w:rsid w:val="FFDF2488"/>
    <w:rsid w:val="FFDFE044"/>
    <w:rsid w:val="FFE7015C"/>
    <w:rsid w:val="FFEA9D99"/>
    <w:rsid w:val="FFEBA75A"/>
    <w:rsid w:val="FFED10EA"/>
    <w:rsid w:val="FFED5C0D"/>
    <w:rsid w:val="FFED7285"/>
    <w:rsid w:val="FFEF1FBD"/>
    <w:rsid w:val="FFEF56C7"/>
    <w:rsid w:val="FFEF7775"/>
    <w:rsid w:val="FFEFB86E"/>
    <w:rsid w:val="FFEFD206"/>
    <w:rsid w:val="FFEFEFAC"/>
    <w:rsid w:val="FFEFF51F"/>
    <w:rsid w:val="FFF34A7F"/>
    <w:rsid w:val="FFF698A6"/>
    <w:rsid w:val="FFF71691"/>
    <w:rsid w:val="FFF7DB17"/>
    <w:rsid w:val="FFF7E662"/>
    <w:rsid w:val="FFF8D979"/>
    <w:rsid w:val="FFF930B8"/>
    <w:rsid w:val="FFFB4F23"/>
    <w:rsid w:val="FFFB71BE"/>
    <w:rsid w:val="FFFBB38F"/>
    <w:rsid w:val="FFFBF1DA"/>
    <w:rsid w:val="FFFC6638"/>
    <w:rsid w:val="FFFC695C"/>
    <w:rsid w:val="FFFD7AC4"/>
    <w:rsid w:val="FFFD8C12"/>
    <w:rsid w:val="FFFDBE95"/>
    <w:rsid w:val="FFFDD179"/>
    <w:rsid w:val="FFFDD793"/>
    <w:rsid w:val="FFFF723B"/>
    <w:rsid w:val="FFFF7289"/>
    <w:rsid w:val="FFFF7952"/>
    <w:rsid w:val="FFFF8A29"/>
    <w:rsid w:val="FFFF9071"/>
    <w:rsid w:val="FFFFC825"/>
    <w:rsid w:val="FFFFD71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40"/>
    <w:qFormat/>
    <w:uiPriority w:val="0"/>
    <w:pPr>
      <w:keepNext/>
      <w:keepLines/>
      <w:spacing w:line="720" w:lineRule="auto"/>
      <w:jc w:val="center"/>
      <w:outlineLvl w:val="0"/>
    </w:pPr>
    <w:rPr>
      <w:rFonts w:eastAsia="黑体"/>
      <w:bCs/>
      <w:kern w:val="44"/>
      <w:sz w:val="32"/>
      <w:szCs w:val="44"/>
    </w:rPr>
  </w:style>
  <w:style w:type="paragraph" w:styleId="5">
    <w:name w:val="heading 2"/>
    <w:basedOn w:val="1"/>
    <w:next w:val="1"/>
    <w:link w:val="39"/>
    <w:qFormat/>
    <w:uiPriority w:val="0"/>
    <w:pPr>
      <w:keepNext/>
      <w:keepLines/>
      <w:spacing w:line="720" w:lineRule="auto"/>
      <w:jc w:val="left"/>
      <w:outlineLvl w:val="1"/>
    </w:pPr>
    <w:rPr>
      <w:rFonts w:ascii="Cambria" w:hAnsi="Cambria" w:eastAsia="仿宋"/>
      <w:b/>
      <w:bCs/>
      <w:sz w:val="32"/>
      <w:szCs w:val="32"/>
    </w:rPr>
  </w:style>
  <w:style w:type="paragraph" w:styleId="6">
    <w:name w:val="heading 3"/>
    <w:basedOn w:val="1"/>
    <w:next w:val="1"/>
    <w:qFormat/>
    <w:uiPriority w:val="0"/>
    <w:pPr>
      <w:keepNext/>
      <w:keepLines/>
      <w:spacing w:before="260" w:after="260" w:line="413" w:lineRule="auto"/>
      <w:outlineLvl w:val="2"/>
    </w:pPr>
    <w:rPr>
      <w:b/>
      <w:sz w:val="32"/>
    </w:rPr>
  </w:style>
  <w:style w:type="paragraph" w:styleId="7">
    <w:name w:val="heading 4"/>
    <w:basedOn w:val="1"/>
    <w:next w:val="1"/>
    <w:link w:val="54"/>
    <w:qFormat/>
    <w:uiPriority w:val="0"/>
    <w:pPr>
      <w:keepNext/>
      <w:keepLines/>
      <w:spacing w:before="280" w:after="290" w:line="376" w:lineRule="auto"/>
      <w:outlineLvl w:val="3"/>
    </w:pPr>
    <w:rPr>
      <w:rFonts w:ascii="Cambria" w:hAnsi="Cambria"/>
      <w:b/>
      <w:bCs/>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正文-公1"/>
    <w:basedOn w:val="3"/>
    <w:qFormat/>
    <w:uiPriority w:val="0"/>
    <w:pPr>
      <w:ind w:firstLine="200" w:firstLineChars="200"/>
    </w:pPr>
  </w:style>
  <w:style w:type="paragraph" w:customStyle="1" w:styleId="3">
    <w:name w:val="正文 New New New"/>
    <w:next w:val="2"/>
    <w:qFormat/>
    <w:uiPriority w:val="0"/>
    <w:pPr>
      <w:jc w:val="both"/>
    </w:pPr>
    <w:rPr>
      <w:rFonts w:hint="eastAsia" w:ascii="Times New Roman" w:hAnsi="Times New Roman" w:eastAsia="Times New Roman" w:cs="Times New Roman"/>
      <w:kern w:val="2"/>
      <w:sz w:val="21"/>
      <w:lang w:val="en-US" w:eastAsia="zh-CN" w:bidi="ar-SA"/>
    </w:rPr>
  </w:style>
  <w:style w:type="paragraph" w:styleId="8">
    <w:name w:val="Normal Indent"/>
    <w:basedOn w:val="1"/>
    <w:next w:val="1"/>
    <w:qFormat/>
    <w:uiPriority w:val="0"/>
    <w:pPr>
      <w:ind w:firstLine="420" w:firstLineChars="200"/>
    </w:pPr>
  </w:style>
  <w:style w:type="paragraph" w:styleId="9">
    <w:name w:val="caption"/>
    <w:basedOn w:val="1"/>
    <w:next w:val="1"/>
    <w:qFormat/>
    <w:uiPriority w:val="0"/>
    <w:rPr>
      <w:rFonts w:ascii="Arial" w:hAnsi="Arial" w:eastAsia="黑体"/>
      <w:sz w:val="20"/>
      <w:szCs w:val="22"/>
    </w:rPr>
  </w:style>
  <w:style w:type="paragraph" w:styleId="10">
    <w:name w:val="annotation text"/>
    <w:basedOn w:val="1"/>
    <w:link w:val="41"/>
    <w:unhideWhenUsed/>
    <w:qFormat/>
    <w:uiPriority w:val="99"/>
    <w:pPr>
      <w:jc w:val="left"/>
    </w:pPr>
    <w:rPr>
      <w:szCs w:val="24"/>
    </w:rPr>
  </w:style>
  <w:style w:type="paragraph" w:styleId="11">
    <w:name w:val="Salutation"/>
    <w:basedOn w:val="1"/>
    <w:next w:val="1"/>
    <w:unhideWhenUsed/>
    <w:qFormat/>
    <w:uiPriority w:val="99"/>
  </w:style>
  <w:style w:type="paragraph" w:styleId="12">
    <w:name w:val="Body Text"/>
    <w:basedOn w:val="1"/>
    <w:next w:val="13"/>
    <w:unhideWhenUsed/>
    <w:qFormat/>
    <w:uiPriority w:val="0"/>
    <w:pPr>
      <w:spacing w:after="120"/>
    </w:pPr>
    <w:rPr>
      <w:szCs w:val="24"/>
    </w:rPr>
  </w:style>
  <w:style w:type="paragraph" w:styleId="13">
    <w:name w:val="toc 5"/>
    <w:basedOn w:val="1"/>
    <w:next w:val="1"/>
    <w:qFormat/>
    <w:uiPriority w:val="0"/>
    <w:pPr>
      <w:ind w:left="1680"/>
    </w:pPr>
  </w:style>
  <w:style w:type="paragraph" w:styleId="14">
    <w:name w:val="Body Text Indent"/>
    <w:basedOn w:val="1"/>
    <w:next w:val="8"/>
    <w:qFormat/>
    <w:uiPriority w:val="0"/>
    <w:pPr>
      <w:spacing w:before="100" w:beforeAutospacing="1" w:after="120"/>
      <w:ind w:left="420" w:leftChars="200"/>
    </w:pPr>
    <w:rPr>
      <w:kern w:val="0"/>
      <w:szCs w:val="21"/>
    </w:rPr>
  </w:style>
  <w:style w:type="paragraph" w:styleId="15">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16">
    <w:name w:val="Plain Text"/>
    <w:basedOn w:val="1"/>
    <w:qFormat/>
    <w:uiPriority w:val="0"/>
    <w:rPr>
      <w:rFonts w:ascii="宋体" w:hAnsi="Courier New"/>
    </w:rPr>
  </w:style>
  <w:style w:type="paragraph" w:styleId="17">
    <w:name w:val="Body Text Indent 2"/>
    <w:basedOn w:val="1"/>
    <w:qFormat/>
    <w:uiPriority w:val="99"/>
    <w:pPr>
      <w:ind w:firstLine="540"/>
    </w:pPr>
    <w:rPr>
      <w:rFonts w:ascii="方正仿宋_GB2312" w:hAnsi="宋体" w:eastAsia="方正仿宋_GB2312"/>
      <w:b/>
      <w:sz w:val="28"/>
      <w:szCs w:val="24"/>
    </w:rPr>
  </w:style>
  <w:style w:type="paragraph" w:styleId="18">
    <w:name w:val="Balloon Text"/>
    <w:basedOn w:val="1"/>
    <w:link w:val="57"/>
    <w:qFormat/>
    <w:uiPriority w:val="0"/>
    <w:rPr>
      <w:sz w:val="18"/>
      <w:szCs w:val="18"/>
    </w:rPr>
  </w:style>
  <w:style w:type="paragraph" w:styleId="19">
    <w:name w:val="footer"/>
    <w:basedOn w:val="1"/>
    <w:link w:val="42"/>
    <w:qFormat/>
    <w:uiPriority w:val="99"/>
    <w:pPr>
      <w:tabs>
        <w:tab w:val="center" w:pos="4153"/>
        <w:tab w:val="right" w:pos="8306"/>
      </w:tabs>
      <w:snapToGrid w:val="0"/>
      <w:jc w:val="left"/>
    </w:pPr>
    <w:rPr>
      <w:sz w:val="18"/>
      <w:szCs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1">
    <w:name w:val="toc 1"/>
    <w:basedOn w:val="1"/>
    <w:next w:val="1"/>
    <w:qFormat/>
    <w:uiPriority w:val="39"/>
  </w:style>
  <w:style w:type="paragraph" w:styleId="22">
    <w:name w:val="List"/>
    <w:basedOn w:val="1"/>
    <w:unhideWhenUsed/>
    <w:qFormat/>
    <w:uiPriority w:val="99"/>
    <w:pPr>
      <w:adjustRightInd w:val="0"/>
      <w:jc w:val="center"/>
    </w:pPr>
    <w:rPr>
      <w:rFonts w:ascii="楷体"/>
    </w:rPr>
  </w:style>
  <w:style w:type="paragraph" w:styleId="23">
    <w:name w:val="footnote text"/>
    <w:basedOn w:val="1"/>
    <w:link w:val="43"/>
    <w:unhideWhenUsed/>
    <w:qFormat/>
    <w:uiPriority w:val="99"/>
    <w:pPr>
      <w:snapToGrid w:val="0"/>
      <w:jc w:val="left"/>
    </w:pPr>
    <w:rPr>
      <w:sz w:val="18"/>
    </w:rPr>
  </w:style>
  <w:style w:type="paragraph" w:styleId="24">
    <w:name w:val="toc 2"/>
    <w:basedOn w:val="1"/>
    <w:next w:val="1"/>
    <w:qFormat/>
    <w:uiPriority w:val="39"/>
    <w:pPr>
      <w:ind w:left="420" w:leftChars="200"/>
    </w:pPr>
  </w:style>
  <w:style w:type="paragraph" w:styleId="25">
    <w:name w:val="Normal (Web)"/>
    <w:basedOn w:val="1"/>
    <w:qFormat/>
    <w:uiPriority w:val="99"/>
    <w:pPr>
      <w:widowControl/>
      <w:spacing w:before="100" w:after="100"/>
      <w:jc w:val="left"/>
    </w:pPr>
    <w:rPr>
      <w:rFonts w:ascii="宋体" w:hAnsi="宋体"/>
      <w:kern w:val="0"/>
      <w:sz w:val="24"/>
    </w:rPr>
  </w:style>
  <w:style w:type="paragraph" w:styleId="26">
    <w:name w:val="Title"/>
    <w:basedOn w:val="1"/>
    <w:next w:val="1"/>
    <w:qFormat/>
    <w:uiPriority w:val="0"/>
    <w:pPr>
      <w:spacing w:before="240" w:after="60"/>
      <w:jc w:val="center"/>
      <w:outlineLvl w:val="0"/>
    </w:pPr>
    <w:rPr>
      <w:rFonts w:ascii="Cambria" w:hAnsi="Cambria"/>
      <w:b/>
      <w:bCs/>
      <w:szCs w:val="32"/>
    </w:rPr>
  </w:style>
  <w:style w:type="paragraph" w:styleId="27">
    <w:name w:val="annotation subject"/>
    <w:basedOn w:val="10"/>
    <w:next w:val="10"/>
    <w:link w:val="44"/>
    <w:qFormat/>
    <w:uiPriority w:val="0"/>
    <w:rPr>
      <w:b/>
      <w:bCs/>
      <w:szCs w:val="20"/>
    </w:rPr>
  </w:style>
  <w:style w:type="paragraph" w:styleId="28">
    <w:name w:val="Body Text First Indent"/>
    <w:basedOn w:val="12"/>
    <w:next w:val="1"/>
    <w:unhideWhenUsed/>
    <w:qFormat/>
    <w:uiPriority w:val="0"/>
    <w:pPr>
      <w:ind w:firstLine="420" w:firstLineChars="100"/>
    </w:pPr>
  </w:style>
  <w:style w:type="paragraph" w:styleId="29">
    <w:name w:val="Body Text First Indent 2"/>
    <w:basedOn w:val="14"/>
    <w:qFormat/>
    <w:uiPriority w:val="0"/>
    <w:pPr>
      <w:spacing w:line="560" w:lineRule="exact"/>
      <w:ind w:firstLine="420" w:firstLineChars="200"/>
    </w:pPr>
    <w:rPr>
      <w:rFonts w:ascii="等线" w:hAnsi="等线" w:eastAsia="方正仿宋_GB2312"/>
      <w:sz w:val="32"/>
      <w:szCs w:val="22"/>
    </w:rPr>
  </w:style>
  <w:style w:type="table" w:styleId="31">
    <w:name w:val="Table Grid"/>
    <w:basedOn w:val="30"/>
    <w:qFormat/>
    <w:uiPriority w:val="99"/>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33">
    <w:name w:val="Strong"/>
    <w:qFormat/>
    <w:uiPriority w:val="0"/>
    <w:rPr>
      <w:b/>
    </w:rPr>
  </w:style>
  <w:style w:type="character" w:styleId="34">
    <w:name w:val="page number"/>
    <w:qFormat/>
    <w:uiPriority w:val="0"/>
  </w:style>
  <w:style w:type="character" w:styleId="35">
    <w:name w:val="line number"/>
    <w:basedOn w:val="32"/>
    <w:qFormat/>
    <w:uiPriority w:val="0"/>
  </w:style>
  <w:style w:type="character" w:styleId="36">
    <w:name w:val="Hyperlink"/>
    <w:unhideWhenUsed/>
    <w:qFormat/>
    <w:uiPriority w:val="99"/>
    <w:rPr>
      <w:color w:val="0000FF"/>
      <w:u w:val="single"/>
    </w:rPr>
  </w:style>
  <w:style w:type="character" w:styleId="37">
    <w:name w:val="annotation reference"/>
    <w:unhideWhenUsed/>
    <w:qFormat/>
    <w:uiPriority w:val="0"/>
    <w:rPr>
      <w:sz w:val="21"/>
      <w:szCs w:val="21"/>
    </w:rPr>
  </w:style>
  <w:style w:type="character" w:styleId="38">
    <w:name w:val="footnote reference"/>
    <w:qFormat/>
    <w:uiPriority w:val="0"/>
    <w:rPr>
      <w:vertAlign w:val="superscript"/>
    </w:rPr>
  </w:style>
  <w:style w:type="character" w:customStyle="1" w:styleId="39">
    <w:name w:val="标题 2 字符"/>
    <w:link w:val="5"/>
    <w:qFormat/>
    <w:uiPriority w:val="0"/>
    <w:rPr>
      <w:rFonts w:ascii="Cambria" w:hAnsi="Cambria" w:eastAsia="仿宋"/>
      <w:b/>
      <w:bCs/>
      <w:kern w:val="2"/>
      <w:sz w:val="32"/>
      <w:szCs w:val="32"/>
    </w:rPr>
  </w:style>
  <w:style w:type="character" w:customStyle="1" w:styleId="40">
    <w:name w:val="标题 1 字符"/>
    <w:link w:val="4"/>
    <w:qFormat/>
    <w:uiPriority w:val="0"/>
    <w:rPr>
      <w:rFonts w:eastAsia="黑体"/>
      <w:bCs/>
      <w:kern w:val="44"/>
      <w:sz w:val="32"/>
      <w:szCs w:val="44"/>
    </w:rPr>
  </w:style>
  <w:style w:type="character" w:customStyle="1" w:styleId="41">
    <w:name w:val="批注文字 字符"/>
    <w:link w:val="10"/>
    <w:qFormat/>
    <w:uiPriority w:val="99"/>
    <w:rPr>
      <w:kern w:val="2"/>
      <w:sz w:val="21"/>
      <w:szCs w:val="24"/>
    </w:rPr>
  </w:style>
  <w:style w:type="character" w:customStyle="1" w:styleId="42">
    <w:name w:val="页脚 字符"/>
    <w:link w:val="19"/>
    <w:qFormat/>
    <w:uiPriority w:val="99"/>
    <w:rPr>
      <w:kern w:val="2"/>
      <w:sz w:val="18"/>
      <w:szCs w:val="18"/>
    </w:rPr>
  </w:style>
  <w:style w:type="character" w:customStyle="1" w:styleId="43">
    <w:name w:val="脚注文本 字符"/>
    <w:link w:val="23"/>
    <w:qFormat/>
    <w:uiPriority w:val="99"/>
    <w:rPr>
      <w:kern w:val="2"/>
      <w:sz w:val="18"/>
    </w:rPr>
  </w:style>
  <w:style w:type="character" w:customStyle="1" w:styleId="44">
    <w:name w:val="批注主题 字符"/>
    <w:link w:val="27"/>
    <w:qFormat/>
    <w:uiPriority w:val="0"/>
    <w:rPr>
      <w:b/>
      <w:bCs/>
      <w:kern w:val="2"/>
      <w:sz w:val="21"/>
      <w:szCs w:val="24"/>
    </w:rPr>
  </w:style>
  <w:style w:type="paragraph" w:customStyle="1" w:styleId="45">
    <w:name w:val="Heading1"/>
    <w:basedOn w:val="1"/>
    <w:next w:val="1"/>
    <w:qFormat/>
    <w:uiPriority w:val="0"/>
    <w:pPr>
      <w:keepNext/>
      <w:keepLines/>
      <w:spacing w:line="576" w:lineRule="auto"/>
      <w:jc w:val="left"/>
      <w:textAlignment w:val="baseline"/>
    </w:pPr>
    <w:rPr>
      <w:rFonts w:eastAsia="Times New Roman"/>
      <w:b/>
      <w:bCs/>
      <w:kern w:val="44"/>
      <w:sz w:val="44"/>
      <w:szCs w:val="44"/>
    </w:rPr>
  </w:style>
  <w:style w:type="paragraph" w:customStyle="1" w:styleId="46">
    <w:name w:val="NormalIndent"/>
    <w:basedOn w:val="1"/>
    <w:unhideWhenUsed/>
    <w:qFormat/>
    <w:uiPriority w:val="0"/>
    <w:pPr>
      <w:ind w:firstLine="420" w:firstLineChars="200"/>
    </w:pPr>
    <w:rPr>
      <w:rFonts w:hint="eastAsia"/>
      <w:sz w:val="22"/>
    </w:rPr>
  </w:style>
  <w:style w:type="paragraph" w:customStyle="1" w:styleId="47">
    <w:name w:val="Default"/>
    <w:next w:val="1"/>
    <w:qFormat/>
    <w:uiPriority w:val="0"/>
    <w:pPr>
      <w:widowControl w:val="0"/>
      <w:autoSpaceDE w:val="0"/>
      <w:autoSpaceDN w:val="0"/>
      <w:adjustRightInd w:val="0"/>
    </w:pPr>
    <w:rPr>
      <w:rFonts w:ascii="黑体" w:hAnsi="等线" w:eastAsia="黑体" w:cs="宋体"/>
      <w:color w:val="000000"/>
      <w:sz w:val="24"/>
      <w:szCs w:val="24"/>
      <w:lang w:val="en-US" w:eastAsia="zh-CN" w:bidi="ar-SA"/>
    </w:rPr>
  </w:style>
  <w:style w:type="paragraph" w:customStyle="1" w:styleId="48">
    <w:name w:val="Fließtext"/>
    <w:basedOn w:val="1"/>
    <w:qFormat/>
    <w:uiPriority w:val="0"/>
    <w:pPr>
      <w:overflowPunct w:val="0"/>
      <w:autoSpaceDE w:val="0"/>
      <w:autoSpaceDN w:val="0"/>
      <w:adjustRightInd w:val="0"/>
      <w:textAlignment w:val="baseline"/>
    </w:pPr>
    <w:rPr>
      <w:kern w:val="28"/>
    </w:rPr>
  </w:style>
  <w:style w:type="paragraph" w:customStyle="1" w:styleId="49">
    <w:name w:val="标题3"/>
    <w:basedOn w:val="1"/>
    <w:qFormat/>
    <w:uiPriority w:val="0"/>
    <w:pPr>
      <w:spacing w:line="360" w:lineRule="auto"/>
      <w:ind w:firstLine="482" w:firstLineChars="200"/>
    </w:pPr>
    <w:rPr>
      <w:rFonts w:ascii="方正仿宋_GB2312" w:eastAsia="方正仿宋_GB2312"/>
      <w:b/>
      <w:kern w:val="0"/>
      <w:sz w:val="24"/>
    </w:rPr>
  </w:style>
  <w:style w:type="paragraph" w:customStyle="1" w:styleId="50">
    <w:name w:val="_Style 45"/>
    <w:unhideWhenUsed/>
    <w:qFormat/>
    <w:uiPriority w:val="99"/>
    <w:rPr>
      <w:rFonts w:ascii="Times New Roman" w:hAnsi="Times New Roman" w:eastAsia="宋体" w:cs="Times New Roman"/>
      <w:kern w:val="2"/>
      <w:sz w:val="21"/>
      <w:lang w:val="en-US" w:eastAsia="zh-CN" w:bidi="ar-SA"/>
    </w:rPr>
  </w:style>
  <w:style w:type="paragraph" w:customStyle="1" w:styleId="51">
    <w:name w:val="TOC 标题1"/>
    <w:basedOn w:val="4"/>
    <w:next w:val="1"/>
    <w:unhideWhenUsed/>
    <w:qFormat/>
    <w:uiPriority w:val="39"/>
    <w:pPr>
      <w:widowControl/>
      <w:spacing w:before="240" w:line="259" w:lineRule="auto"/>
      <w:jc w:val="left"/>
      <w:outlineLvl w:val="9"/>
    </w:pPr>
    <w:rPr>
      <w:rFonts w:asciiTheme="majorHAnsi" w:hAnsiTheme="majorHAnsi" w:eastAsiaTheme="majorEastAsia" w:cstheme="majorBidi"/>
      <w:bCs w:val="0"/>
      <w:color w:val="2E75B6" w:themeColor="accent1" w:themeShade="BF"/>
      <w:kern w:val="0"/>
      <w:szCs w:val="32"/>
    </w:rPr>
  </w:style>
  <w:style w:type="character" w:customStyle="1" w:styleId="52">
    <w:name w:val="15"/>
    <w:basedOn w:val="32"/>
    <w:qFormat/>
    <w:uiPriority w:val="0"/>
    <w:rPr>
      <w:rFonts w:hint="default" w:ascii="Calibri" w:hAnsi="Calibri"/>
      <w:sz w:val="21"/>
      <w:szCs w:val="21"/>
    </w:rPr>
  </w:style>
  <w:style w:type="character" w:customStyle="1" w:styleId="53">
    <w:name w:val="16"/>
    <w:basedOn w:val="32"/>
    <w:qFormat/>
    <w:uiPriority w:val="0"/>
    <w:rPr>
      <w:rFonts w:hint="default" w:ascii="Times New Roman" w:hAnsi="Times New Roman" w:cs="Times New Roman"/>
      <w:sz w:val="21"/>
      <w:szCs w:val="21"/>
    </w:rPr>
  </w:style>
  <w:style w:type="character" w:customStyle="1" w:styleId="54">
    <w:name w:val="标题 4 字符"/>
    <w:link w:val="7"/>
    <w:qFormat/>
    <w:uiPriority w:val="0"/>
    <w:rPr>
      <w:rFonts w:ascii="Cambria" w:hAnsi="Cambria"/>
      <w:b/>
      <w:bCs/>
      <w:sz w:val="28"/>
      <w:szCs w:val="28"/>
    </w:rPr>
  </w:style>
  <w:style w:type="paragraph" w:customStyle="1" w:styleId="55">
    <w:name w:val="修订1"/>
    <w:hidden/>
    <w:unhideWhenUsed/>
    <w:qFormat/>
    <w:uiPriority w:val="99"/>
    <w:rPr>
      <w:rFonts w:ascii="Times New Roman" w:hAnsi="Times New Roman" w:eastAsia="宋体" w:cs="Times New Roman"/>
      <w:kern w:val="2"/>
      <w:sz w:val="21"/>
      <w:lang w:val="en-US" w:eastAsia="zh-CN" w:bidi="ar-SA"/>
    </w:rPr>
  </w:style>
  <w:style w:type="paragraph" w:customStyle="1" w:styleId="56">
    <w:name w:val="修订2"/>
    <w:hidden/>
    <w:unhideWhenUsed/>
    <w:qFormat/>
    <w:uiPriority w:val="99"/>
    <w:rPr>
      <w:rFonts w:ascii="Times New Roman" w:hAnsi="Times New Roman" w:eastAsia="宋体" w:cs="Times New Roman"/>
      <w:kern w:val="2"/>
      <w:sz w:val="21"/>
      <w:lang w:val="en-US" w:eastAsia="zh-CN" w:bidi="ar-SA"/>
    </w:rPr>
  </w:style>
  <w:style w:type="character" w:customStyle="1" w:styleId="57">
    <w:name w:val="批注框文本 字符"/>
    <w:basedOn w:val="32"/>
    <w:link w:val="18"/>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69</Pages>
  <Words>2385</Words>
  <Characters>2505</Characters>
  <Lines>1</Lines>
  <Paragraphs>1</Paragraphs>
  <TotalTime>95</TotalTime>
  <ScaleCrop>false</ScaleCrop>
  <LinksUpToDate>false</LinksUpToDate>
  <CharactersWithSpaces>2696</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2026-06-22T10:23:00Z</dcterms:created>
  <dc:creator>greatwall</dc:creator>
  <cp:lastModifiedBy>uos</cp:lastModifiedBy>
  <cp:lastPrinted>2026-06-04T18:33:00Z</cp:lastPrinted>
  <dcterms:modified xsi:type="dcterms:W3CDTF">2026-07-28T15:48:24Z</dcterms:modified>
  <dc:title>内部资料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365BC62416444454AAF4626A0123DB5B</vt:lpwstr>
  </property>
  <property fmtid="{D5CDD505-2E9C-101B-9397-08002B2CF9AE}" pid="4" name="KSOTemplateDocerSaveRecord">
    <vt:lpwstr>eyJoZGlkIjoiZDJkMzQ2MjE2NDU3NmYwNGRmMDI2ZWViMWI5OWNhNjUiLCJ1c2VySWQiOiI0NDUyOTk1ODAifQ==</vt:lpwstr>
  </property>
  <property fmtid="{D5CDD505-2E9C-101B-9397-08002B2CF9AE}" pid="5" name="woTemplateTypoMode" linkTarget="0">
    <vt:lpwstr/>
  </property>
  <property fmtid="{D5CDD505-2E9C-101B-9397-08002B2CF9AE}" pid="6" name="woTemplate" linkTarget="0">
    <vt:i4>0</vt:i4>
  </property>
</Properties>
</file>