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8" w:lineRule="exact"/>
        <w:jc w:val="center"/>
        <w:rPr>
          <w:rFonts w:ascii="微软雅黑" w:hAnsi="微软雅黑" w:eastAsia="微软雅黑"/>
          <w:sz w:val="44"/>
          <w:szCs w:val="44"/>
        </w:rPr>
      </w:pPr>
    </w:p>
    <w:p>
      <w:pPr>
        <w:spacing w:after="0"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三亚市“十五五”水务规划</w:t>
      </w:r>
    </w:p>
    <w:p>
      <w:pPr>
        <w:spacing w:after="0" w:line="578" w:lineRule="exact"/>
        <w:jc w:val="center"/>
        <w:rPr>
          <w:rFonts w:ascii="Times New Roman" w:hAnsi="Times New Roman" w:eastAsia="微软雅黑"/>
          <w:sz w:val="44"/>
          <w:szCs w:val="44"/>
        </w:rPr>
      </w:pPr>
      <w:r>
        <w:rPr>
          <w:rFonts w:hint="default" w:ascii="Times New Roman" w:hAnsi="Times New Roman" w:eastAsia="方正小标宋简体" w:cs="Times New Roman"/>
          <w:sz w:val="44"/>
          <w:szCs w:val="44"/>
        </w:rPr>
        <w:t>（2026—2030年）</w:t>
      </w: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jc w:val="center"/>
        <w:rPr>
          <w:rFonts w:ascii="Times New Roman" w:hAnsi="Times New Roman" w:eastAsia="仿宋_GB2312"/>
          <w:sz w:val="32"/>
        </w:rPr>
      </w:pPr>
    </w:p>
    <w:p>
      <w:pPr>
        <w:spacing w:after="0" w:line="578" w:lineRule="exact"/>
        <w:ind w:firstLine="640"/>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417" w:gutter="0"/>
          <w:pgNumType w:start="1"/>
          <w:cols w:space="425" w:num="1"/>
          <w:docGrid w:type="lines" w:linePitch="312" w:charSpace="0"/>
        </w:sectPr>
      </w:pPr>
      <w:bookmarkStart w:id="148" w:name="_GoBack"/>
      <w:bookmarkEnd w:id="148"/>
    </w:p>
    <w:p>
      <w:pPr>
        <w:spacing w:after="0" w:line="578" w:lineRule="exact"/>
        <w:jc w:val="center"/>
        <w:rPr>
          <w:rFonts w:ascii="微软雅黑" w:hAnsi="微软雅黑" w:eastAsia="微软雅黑"/>
          <w:sz w:val="44"/>
          <w:szCs w:val="44"/>
        </w:rPr>
      </w:pPr>
      <w:r>
        <w:rPr>
          <w:rFonts w:hint="eastAsia" w:ascii="黑体" w:hAnsi="黑体" w:eastAsia="黑体" w:cs="黑体"/>
          <w:sz w:val="44"/>
          <w:szCs w:val="44"/>
        </w:rPr>
        <w:t>前  言</w:t>
      </w:r>
    </w:p>
    <w:p>
      <w:pPr>
        <w:spacing w:after="0" w:line="578" w:lineRule="exact"/>
        <w:jc w:val="center"/>
        <w:rPr>
          <w:rFonts w:ascii="微软雅黑" w:hAnsi="微软雅黑" w:eastAsia="微软雅黑"/>
          <w:sz w:val="44"/>
          <w:szCs w:val="44"/>
        </w:rPr>
      </w:pPr>
    </w:p>
    <w:p>
      <w:pPr>
        <w:spacing w:after="0" w:line="578"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w:t>
      </w:r>
      <w:r>
        <w:rPr>
          <w:rFonts w:ascii="Times New Roman" w:hAnsi="Times New Roman" w:eastAsia="仿宋_GB2312"/>
          <w:sz w:val="32"/>
          <w:szCs w:val="28"/>
        </w:rPr>
        <w:t>十五五</w:t>
      </w:r>
      <w:r>
        <w:rPr>
          <w:rFonts w:hint="eastAsia" w:ascii="Times New Roman" w:hAnsi="Times New Roman" w:eastAsia="仿宋_GB2312"/>
          <w:sz w:val="32"/>
          <w:szCs w:val="28"/>
        </w:rPr>
        <w:t>”</w:t>
      </w:r>
      <w:r>
        <w:rPr>
          <w:rFonts w:ascii="Times New Roman" w:hAnsi="Times New Roman" w:eastAsia="仿宋_GB2312"/>
          <w:sz w:val="32"/>
          <w:szCs w:val="28"/>
        </w:rPr>
        <w:t>规划是我国迈向2035年基本实现</w:t>
      </w:r>
      <w:r>
        <w:rPr>
          <w:rFonts w:hint="eastAsia" w:ascii="Times New Roman" w:hAnsi="Times New Roman" w:eastAsia="仿宋_GB2312"/>
          <w:sz w:val="32"/>
          <w:szCs w:val="28"/>
        </w:rPr>
        <w:t>社会主义</w:t>
      </w:r>
      <w:r>
        <w:rPr>
          <w:rFonts w:ascii="Times New Roman" w:hAnsi="Times New Roman" w:eastAsia="仿宋_GB2312"/>
          <w:sz w:val="32"/>
          <w:szCs w:val="28"/>
        </w:rPr>
        <w:t>现代化的重要衔接规划，对于指导2026</w:t>
      </w:r>
      <w:r>
        <w:rPr>
          <w:rFonts w:hint="eastAsia" w:ascii="仿宋_GB2312" w:hAnsi="仿宋_GB2312" w:eastAsia="仿宋_GB2312" w:cs="仿宋_GB2312"/>
          <w:sz w:val="32"/>
          <w:szCs w:val="28"/>
        </w:rPr>
        <w:t>—</w:t>
      </w:r>
      <w:r>
        <w:rPr>
          <w:rFonts w:ascii="Times New Roman" w:hAnsi="Times New Roman" w:eastAsia="仿宋_GB2312"/>
          <w:sz w:val="32"/>
          <w:szCs w:val="28"/>
        </w:rPr>
        <w:t>2030年乃至更长时间的经济社会高质量发展具有重要意义。</w:t>
      </w:r>
      <w:r>
        <w:rPr>
          <w:rFonts w:hint="eastAsia" w:ascii="Times New Roman" w:hAnsi="Times New Roman" w:eastAsia="仿宋_GB2312"/>
          <w:sz w:val="32"/>
          <w:szCs w:val="28"/>
        </w:rPr>
        <w:t>习近平总书记在党的二十届四中全会上强调，“越是扩大开放，越要统筹发展和安全，牢牢守住安全底线”。水安全是国家安全的基石，水利部明确提出需深刻认识“十五五”时期是基本实现社会主义现代化夯实基础、全面发力的关键时期，要牢牢把握我国发展环境面临的深刻复杂变化，以及长期向好的支撑条件和基本趋势，围绕全面建成社会主义现代化强国、实现第二个百年奋斗目标，以中国式现代化全面推进中华民族伟大复兴的中心任务，深入实施国家“江河战略”，统筹水灾害、水资源、水生态、水环境治理，推动水利高质量发展，为确保基本实现社会主义现代化取得决定性进展作出水利贡献。</w:t>
      </w:r>
    </w:p>
    <w:p>
      <w:pPr>
        <w:spacing w:after="0" w:line="578"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w:t>
      </w:r>
      <w:r>
        <w:rPr>
          <w:rFonts w:ascii="Times New Roman" w:hAnsi="Times New Roman" w:eastAsia="仿宋_GB2312"/>
          <w:sz w:val="32"/>
          <w:szCs w:val="28"/>
        </w:rPr>
        <w:t>十五五</w:t>
      </w:r>
      <w:r>
        <w:rPr>
          <w:rFonts w:hint="eastAsia" w:ascii="Times New Roman" w:hAnsi="Times New Roman" w:eastAsia="仿宋_GB2312"/>
          <w:sz w:val="32"/>
          <w:szCs w:val="28"/>
        </w:rPr>
        <w:t>”</w:t>
      </w:r>
      <w:r>
        <w:rPr>
          <w:rFonts w:ascii="Times New Roman" w:hAnsi="Times New Roman" w:eastAsia="仿宋_GB2312"/>
          <w:sz w:val="32"/>
          <w:szCs w:val="28"/>
        </w:rPr>
        <w:t>时期，是海南自由贸易港在全岛封关运作新起点上全面深化改革开放、实现高质量发展的关键五年</w:t>
      </w:r>
      <w:r>
        <w:rPr>
          <w:rFonts w:hint="eastAsia" w:ascii="Times New Roman" w:hAnsi="Times New Roman" w:eastAsia="仿宋_GB2312"/>
          <w:sz w:val="32"/>
          <w:szCs w:val="28"/>
        </w:rPr>
        <w:t>。三亚市作为全省“三极一带一区”区域协调发展总体格局中的南部重要增长极，应遵循“节水优先、空间均衡、系统治理、两手发力”治水思路</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坚持以《全面推进江河保护治理的意见》等国家顶层设计为根本遵循，紧密围绕海南自贸港建设、三亚经济圈一体化发展以及国家南繁科研育种基地保障等重大战略需求，精准对接全省“45432”特色化产业体系，以韧性水安全守护园区与产业链，以优质水资源保障四大主导产业发展，以健康水生态支撑绿色产业培育，以智慧水管理服务人才与技术创新岛建设，</w:t>
      </w:r>
      <w:r>
        <w:rPr>
          <w:rFonts w:ascii="Times New Roman" w:hAnsi="Times New Roman" w:eastAsia="仿宋_GB2312"/>
          <w:sz w:val="32"/>
          <w:szCs w:val="28"/>
        </w:rPr>
        <w:t>将风险防控理念贯穿于水务发展各领域和全过程，聚力打造“一标杆、五个区”，构建与三亚世界知名宜居宜游宜业现代化滨海旅游城市、中国特色自由贸易港建设新标杆地位相匹配的现代化水安全保障体系</w:t>
      </w:r>
      <w:r>
        <w:rPr>
          <w:rFonts w:hint="eastAsia" w:ascii="Times New Roman" w:hAnsi="Times New Roman" w:eastAsia="仿宋_GB2312"/>
          <w:sz w:val="32"/>
          <w:szCs w:val="28"/>
        </w:rPr>
        <w:t>，在把海南自贸港打造成为引领我国新时代对外开放的重要门户中挑大梁、当先锋，加快推进三亚改革开放和经济社会高质量发展。</w:t>
      </w:r>
    </w:p>
    <w:p>
      <w:pPr>
        <w:spacing w:after="0" w:line="578"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根据上述目标，结合《中共中央关于制定国民经济和社会发展第十五个五年规划的建议》《中共海南省委关于制定国民经济和社会发展第十五个五年规划的建议》《三亚市国民经济和社会发展第十五个五年规划纲要》等上位规划要求，三亚市政府、三亚市水务局组织编制《三亚市“十五五”水务规划》，提出我市今后五年水务发展总体思路、目标任务、建设重点和改革创新举措，通过科学决策、民主决策、依法决策凝聚治水共识，为指导三亚市未来水务工作的开展提供行动纲领。</w:t>
      </w:r>
    </w:p>
    <w:p>
      <w:pPr>
        <w:spacing w:after="0" w:line="578"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本规划实施期为2026年</w:t>
      </w:r>
      <w:r>
        <w:rPr>
          <w:rFonts w:hint="eastAsia" w:ascii="仿宋_GB2312" w:hAnsi="仿宋_GB2312" w:eastAsia="仿宋_GB2312" w:cs="仿宋_GB2312"/>
          <w:sz w:val="32"/>
          <w:szCs w:val="28"/>
        </w:rPr>
        <w:t>—</w:t>
      </w:r>
      <w:r>
        <w:rPr>
          <w:rFonts w:hint="eastAsia" w:ascii="Times New Roman" w:hAnsi="Times New Roman" w:eastAsia="仿宋_GB2312"/>
          <w:sz w:val="32"/>
          <w:szCs w:val="28"/>
        </w:rPr>
        <w:t>2030年。</w:t>
      </w:r>
    </w:p>
    <w:p>
      <w:pPr>
        <w:spacing w:after="0" w:line="578" w:lineRule="exact"/>
        <w:ind w:firstLine="640" w:firstLineChars="200"/>
        <w:rPr>
          <w:rFonts w:ascii="Times New Roman" w:hAnsi="Times New Roman" w:eastAsia="仿宋_GB2312"/>
          <w:sz w:val="32"/>
          <w:szCs w:val="22"/>
        </w:rPr>
      </w:pPr>
    </w:p>
    <w:p>
      <w:pPr>
        <w:spacing w:after="0" w:line="578" w:lineRule="exact"/>
        <w:ind w:firstLine="640"/>
        <w:sectPr>
          <w:footerReference r:id="rId11" w:type="default"/>
          <w:pgSz w:w="11906" w:h="16838"/>
          <w:pgMar w:top="2098" w:right="1474" w:bottom="1985" w:left="1588" w:header="851" w:footer="992" w:gutter="0"/>
          <w:cols w:space="425" w:num="1"/>
          <w:docGrid w:type="lines" w:linePitch="435" w:charSpace="0"/>
        </w:sectPr>
      </w:pPr>
    </w:p>
    <w:sdt>
      <w:sdtPr>
        <w:rPr>
          <w:rFonts w:ascii="Times New Roman" w:hAnsi="Times New Roman"/>
          <w:sz w:val="24"/>
          <w:szCs w:val="22"/>
          <w:lang w:val="zh-CN"/>
        </w:rPr>
        <w:id w:val="147458412"/>
        <w:docPartObj>
          <w:docPartGallery w:val="Table of Contents"/>
          <w:docPartUnique/>
        </w:docPartObj>
      </w:sdtPr>
      <w:sdtEndPr>
        <w:rPr>
          <w:rFonts w:ascii="Times New Roman" w:hAnsi="Times New Roman" w:eastAsia="仿宋_GB2312"/>
          <w:sz w:val="32"/>
          <w:szCs w:val="22"/>
          <w:lang w:val="zh-CN"/>
        </w:rPr>
      </w:sdtEndPr>
      <w:sdtContent>
        <w:p>
          <w:pPr>
            <w:spacing w:after="0" w:line="578" w:lineRule="exact"/>
            <w:jc w:val="center"/>
            <w:rPr>
              <w:rFonts w:ascii="Times New Roman" w:hAnsi="Times New Roman" w:eastAsia="仿宋_GB2312"/>
              <w:sz w:val="32"/>
              <w:szCs w:val="22"/>
            </w:rPr>
          </w:pPr>
          <w:r>
            <w:rPr>
              <w:rFonts w:hint="eastAsia" w:ascii="微软雅黑" w:hAnsi="微软雅黑" w:eastAsia="微软雅黑"/>
              <w:sz w:val="44"/>
              <w:szCs w:val="44"/>
            </w:rPr>
            <w:t>目  录</w:t>
          </w:r>
        </w:p>
        <w:p>
          <w:pPr>
            <w:tabs>
              <w:tab w:val="right" w:leader="dot" w:pos="8844"/>
            </w:tabs>
            <w:spacing w:after="0" w:line="578" w:lineRule="exact"/>
            <w:ind w:firstLine="560" w:firstLineChars="200"/>
            <w:rPr>
              <w:rFonts w:ascii="黑体" w:hAnsi="黑体" w:eastAsia="黑体" w:cs="黑体"/>
              <w:sz w:val="32"/>
              <w:szCs w:val="22"/>
            </w:rPr>
          </w:pP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TOC \o "1-3" \h \z \u </w:instrText>
          </w:r>
          <w:r>
            <w:rPr>
              <w:rFonts w:ascii="Times New Roman" w:hAnsi="Times New Roman" w:eastAsia="仿宋_GB2312"/>
              <w:sz w:val="28"/>
              <w:szCs w:val="28"/>
            </w:rPr>
            <w:fldChar w:fldCharType="separate"/>
          </w:r>
          <w:r>
            <w:fldChar w:fldCharType="begin"/>
          </w:r>
          <w:r>
            <w:instrText xml:space="preserve"> HYPERLINK \l "_Toc1172845737" </w:instrText>
          </w:r>
          <w:r>
            <w:fldChar w:fldCharType="separate"/>
          </w:r>
          <w:r>
            <w:rPr>
              <w:rFonts w:hint="eastAsia" w:ascii="黑体" w:hAnsi="黑体" w:eastAsia="黑体" w:cs="黑体"/>
              <w:sz w:val="32"/>
              <w:szCs w:val="28"/>
            </w:rPr>
            <w:t>一、 三亚市水资源及开发利用现状</w:t>
          </w:r>
          <w:r>
            <w:rPr>
              <w:rFonts w:hint="eastAsia" w:ascii="黑体" w:hAnsi="黑体" w:eastAsia="黑体" w:cs="黑体"/>
              <w:sz w:val="32"/>
              <w:szCs w:val="22"/>
            </w:rPr>
            <w:tab/>
          </w:r>
          <w:r>
            <w:rPr>
              <w:rFonts w:ascii="Times New Roman" w:hAnsi="Times New Roman" w:eastAsia="黑体"/>
              <w:sz w:val="32"/>
              <w:szCs w:val="22"/>
            </w:rPr>
            <w:fldChar w:fldCharType="begin"/>
          </w:r>
          <w:r>
            <w:rPr>
              <w:rFonts w:ascii="Times New Roman" w:hAnsi="Times New Roman" w:eastAsia="黑体"/>
              <w:sz w:val="32"/>
              <w:szCs w:val="22"/>
            </w:rPr>
            <w:instrText xml:space="preserve"> PAGEREF _Toc1172845737 </w:instrText>
          </w:r>
          <w:r>
            <w:rPr>
              <w:rFonts w:ascii="Times New Roman" w:hAnsi="Times New Roman" w:eastAsia="黑体"/>
              <w:sz w:val="32"/>
              <w:szCs w:val="22"/>
            </w:rPr>
            <w:fldChar w:fldCharType="separate"/>
          </w:r>
          <w:r>
            <w:rPr>
              <w:rFonts w:ascii="Times New Roman" w:hAnsi="Times New Roman" w:eastAsia="黑体"/>
              <w:sz w:val="32"/>
              <w:szCs w:val="22"/>
            </w:rPr>
            <w:t>1</w:t>
          </w:r>
          <w:r>
            <w:rPr>
              <w:rFonts w:ascii="Times New Roman" w:hAnsi="Times New Roman" w:eastAsia="黑体"/>
              <w:sz w:val="32"/>
              <w:szCs w:val="22"/>
            </w:rPr>
            <w:fldChar w:fldCharType="end"/>
          </w:r>
          <w:r>
            <w:rPr>
              <w:rFonts w:ascii="Times New Roman" w:hAnsi="Times New Roman" w:eastAsia="黑体"/>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"_Toc584240366"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一</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自然地理</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_Toc584240366 </w:instrText>
          </w:r>
          <w:r>
            <w:rPr>
              <w:rFonts w:ascii="Times New Roman" w:hAnsi="Times New Roman" w:eastAsia="仿宋_GB2312"/>
              <w:sz w:val="32"/>
              <w:szCs w:val="22"/>
            </w:rPr>
            <w:fldChar w:fldCharType="separate"/>
          </w:r>
          <w:r>
            <w:rPr>
              <w:rFonts w:ascii="Times New Roman" w:hAnsi="Times New Roman" w:eastAsia="仿宋_GB2312"/>
              <w:sz w:val="32"/>
              <w:szCs w:val="22"/>
            </w:rPr>
            <w:t>1</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"_Toc1085669801"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二</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水资源状况</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_Toc1085669801 </w:instrText>
          </w:r>
          <w:r>
            <w:rPr>
              <w:rFonts w:ascii="Times New Roman" w:hAnsi="Times New Roman" w:eastAsia="仿宋_GB2312"/>
              <w:sz w:val="32"/>
              <w:szCs w:val="22"/>
            </w:rPr>
            <w:fldChar w:fldCharType="separate"/>
          </w:r>
          <w:r>
            <w:rPr>
              <w:rFonts w:ascii="Times New Roman" w:hAnsi="Times New Roman" w:eastAsia="仿宋_GB2312"/>
              <w:sz w:val="32"/>
              <w:szCs w:val="22"/>
            </w:rPr>
            <w:t>2</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"_Toc1543706653"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三</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水资源开发利用</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_Toc1543706653 </w:instrText>
          </w:r>
          <w:r>
            <w:rPr>
              <w:rFonts w:ascii="Times New Roman" w:hAnsi="Times New Roman" w:eastAsia="仿宋_GB2312"/>
              <w:sz w:val="32"/>
              <w:szCs w:val="22"/>
            </w:rPr>
            <w:fldChar w:fldCharType="separate"/>
          </w:r>
          <w:r>
            <w:rPr>
              <w:rFonts w:ascii="Times New Roman" w:hAnsi="Times New Roman" w:eastAsia="仿宋_GB2312"/>
              <w:sz w:val="32"/>
              <w:szCs w:val="22"/>
            </w:rPr>
            <w:t>2</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firstLine="420" w:firstLineChars="200"/>
            <w:rPr>
              <w:rFonts w:ascii="Times New Roman" w:hAnsi="Times New Roman" w:eastAsia="仿宋_GB2312"/>
              <w:sz w:val="32"/>
              <w:szCs w:val="22"/>
            </w:rPr>
          </w:pPr>
          <w:r>
            <w:fldChar w:fldCharType="begin"/>
          </w:r>
          <w:r>
            <w:instrText xml:space="preserve"> HYPERLINK \l "_Toc692141536" </w:instrText>
          </w:r>
          <w:r>
            <w:fldChar w:fldCharType="separate"/>
          </w:r>
          <w:r>
            <w:rPr>
              <w:rFonts w:hint="eastAsia" w:ascii="黑体" w:hAnsi="黑体" w:eastAsia="黑体" w:cs="黑体"/>
              <w:sz w:val="32"/>
              <w:szCs w:val="22"/>
            </w:rPr>
            <w:t>二、 “十四五”水务发展成效</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_Toc692141536 </w:instrText>
          </w:r>
          <w:r>
            <w:rPr>
              <w:rFonts w:ascii="Times New Roman" w:hAnsi="Times New Roman" w:eastAsia="仿宋_GB2312"/>
              <w:sz w:val="32"/>
              <w:szCs w:val="22"/>
            </w:rPr>
            <w:fldChar w:fldCharType="separate"/>
          </w:r>
          <w:r>
            <w:rPr>
              <w:rFonts w:ascii="Times New Roman" w:hAnsi="Times New Roman" w:eastAsia="仿宋_GB2312"/>
              <w:sz w:val="32"/>
              <w:szCs w:val="22"/>
            </w:rPr>
            <w:t>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"_Toc1418761981"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一</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防洪减灾能力显著提升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_Toc1418761981 </w:instrText>
          </w:r>
          <w:r>
            <w:rPr>
              <w:rFonts w:ascii="Times New Roman" w:hAnsi="Times New Roman" w:eastAsia="仿宋_GB2312"/>
              <w:sz w:val="32"/>
              <w:szCs w:val="22"/>
            </w:rPr>
            <w:fldChar w:fldCharType="separate"/>
          </w:r>
          <w:r>
            <w:rPr>
              <w:rFonts w:ascii="Times New Roman" w:hAnsi="Times New Roman" w:eastAsia="仿宋_GB2312"/>
              <w:sz w:val="32"/>
              <w:szCs w:val="22"/>
            </w:rPr>
            <w:t>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"_Toc1295596646"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二</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节水型社会建设有序推进</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_Toc1295596646 </w:instrText>
          </w:r>
          <w:r>
            <w:rPr>
              <w:rFonts w:ascii="Times New Roman" w:hAnsi="Times New Roman" w:eastAsia="仿宋_GB2312"/>
              <w:sz w:val="32"/>
              <w:szCs w:val="22"/>
            </w:rPr>
            <w:fldChar w:fldCharType="separate"/>
          </w:r>
          <w:r>
            <w:rPr>
              <w:rFonts w:ascii="Times New Roman" w:hAnsi="Times New Roman" w:eastAsia="仿宋_GB2312"/>
              <w:sz w:val="32"/>
              <w:szCs w:val="22"/>
            </w:rPr>
            <w:t>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"_Toc733678238"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三</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城乡供水保障能力持续提高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_Toc733678238 </w:instrText>
          </w:r>
          <w:r>
            <w:rPr>
              <w:rFonts w:ascii="Times New Roman" w:hAnsi="Times New Roman" w:eastAsia="仿宋_GB2312"/>
              <w:sz w:val="32"/>
              <w:szCs w:val="22"/>
            </w:rPr>
            <w:fldChar w:fldCharType="separate"/>
          </w:r>
          <w:r>
            <w:rPr>
              <w:rFonts w:ascii="Times New Roman" w:hAnsi="Times New Roman" w:eastAsia="仿宋_GB2312"/>
              <w:sz w:val="32"/>
              <w:szCs w:val="22"/>
            </w:rPr>
            <w:t>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"_Toc424571111"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四</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水生态环境质量持续提升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_Toc424571111 </w:instrText>
          </w:r>
          <w:r>
            <w:rPr>
              <w:rFonts w:ascii="Times New Roman" w:hAnsi="Times New Roman" w:eastAsia="仿宋_GB2312"/>
              <w:sz w:val="32"/>
              <w:szCs w:val="22"/>
            </w:rPr>
            <w:fldChar w:fldCharType="separate"/>
          </w:r>
          <w:r>
            <w:rPr>
              <w:rFonts w:ascii="Times New Roman" w:hAnsi="Times New Roman" w:eastAsia="仿宋_GB2312"/>
              <w:sz w:val="32"/>
              <w:szCs w:val="22"/>
            </w:rPr>
            <w:t>6</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"_Toc1696250093"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五</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现代化灌区建设初见成效</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_Toc1696250093 </w:instrText>
          </w:r>
          <w:r>
            <w:rPr>
              <w:rFonts w:ascii="Times New Roman" w:hAnsi="Times New Roman" w:eastAsia="仿宋_GB2312"/>
              <w:sz w:val="32"/>
              <w:szCs w:val="22"/>
            </w:rPr>
            <w:fldChar w:fldCharType="separate"/>
          </w:r>
          <w:r>
            <w:rPr>
              <w:rFonts w:ascii="Times New Roman" w:hAnsi="Times New Roman" w:eastAsia="仿宋_GB2312"/>
              <w:sz w:val="32"/>
              <w:szCs w:val="22"/>
            </w:rPr>
            <w:t>6</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"_Toc577396836"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六</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水务治理能力体系加快健全</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_Toc577396836 </w:instrText>
          </w:r>
          <w:r>
            <w:rPr>
              <w:rFonts w:ascii="Times New Roman" w:hAnsi="Times New Roman" w:eastAsia="仿宋_GB2312"/>
              <w:sz w:val="32"/>
              <w:szCs w:val="22"/>
            </w:rPr>
            <w:fldChar w:fldCharType="separate"/>
          </w:r>
          <w:r>
            <w:rPr>
              <w:rFonts w:ascii="Times New Roman" w:hAnsi="Times New Roman" w:eastAsia="仿宋_GB2312"/>
              <w:sz w:val="32"/>
              <w:szCs w:val="22"/>
            </w:rPr>
            <w:t>6</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"_Toc470709996"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七</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水务信息化体系逐步完善</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_Toc470709996 </w:instrText>
          </w:r>
          <w:r>
            <w:rPr>
              <w:rFonts w:ascii="Times New Roman" w:hAnsi="Times New Roman" w:eastAsia="仿宋_GB2312"/>
              <w:sz w:val="32"/>
              <w:szCs w:val="22"/>
            </w:rPr>
            <w:fldChar w:fldCharType="separate"/>
          </w:r>
          <w:r>
            <w:rPr>
              <w:rFonts w:ascii="Times New Roman" w:hAnsi="Times New Roman" w:eastAsia="仿宋_GB2312"/>
              <w:sz w:val="32"/>
              <w:szCs w:val="22"/>
            </w:rPr>
            <w:t>7</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firstLine="420" w:firstLineChars="200"/>
            <w:rPr>
              <w:rFonts w:ascii="Times New Roman" w:hAnsi="Times New Roman" w:eastAsia="仿宋_GB2312"/>
              <w:sz w:val="32"/>
              <w:szCs w:val="22"/>
            </w:rPr>
          </w:pPr>
          <w:r>
            <w:fldChar w:fldCharType="begin"/>
          </w:r>
          <w:r>
            <w:instrText xml:space="preserve"> HYPERLINK \l "_Toc1430510891" </w:instrText>
          </w:r>
          <w:r>
            <w:fldChar w:fldCharType="separate"/>
          </w:r>
          <w:r>
            <w:rPr>
              <w:rFonts w:hint="eastAsia" w:ascii="黑体" w:hAnsi="黑体" w:eastAsia="黑体" w:cs="黑体"/>
              <w:sz w:val="32"/>
              <w:szCs w:val="22"/>
            </w:rPr>
            <w:t>三、 总体思路</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_Toc1430510891 </w:instrText>
          </w:r>
          <w:r>
            <w:rPr>
              <w:rFonts w:ascii="Times New Roman" w:hAnsi="Times New Roman" w:eastAsia="仿宋_GB2312"/>
              <w:sz w:val="32"/>
              <w:szCs w:val="22"/>
            </w:rPr>
            <w:fldChar w:fldCharType="separate"/>
          </w:r>
          <w:r>
            <w:rPr>
              <w:rFonts w:ascii="Times New Roman" w:hAnsi="Times New Roman" w:eastAsia="仿宋_GB2312"/>
              <w:sz w:val="32"/>
              <w:szCs w:val="22"/>
            </w:rPr>
            <w:t>11</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"_Toc1716822244"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一</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指导思想</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_Toc1716822244 </w:instrText>
          </w:r>
          <w:r>
            <w:rPr>
              <w:rFonts w:ascii="Times New Roman" w:hAnsi="Times New Roman" w:eastAsia="仿宋_GB2312"/>
              <w:sz w:val="32"/>
              <w:szCs w:val="22"/>
            </w:rPr>
            <w:fldChar w:fldCharType="separate"/>
          </w:r>
          <w:r>
            <w:rPr>
              <w:rFonts w:ascii="Times New Roman" w:hAnsi="Times New Roman" w:eastAsia="仿宋_GB2312"/>
              <w:sz w:val="32"/>
              <w:szCs w:val="22"/>
            </w:rPr>
            <w:t>11</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"_Toc1369599242"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二</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基本原则</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_Toc1369599242 </w:instrText>
          </w:r>
          <w:r>
            <w:rPr>
              <w:rFonts w:ascii="Times New Roman" w:hAnsi="Times New Roman" w:eastAsia="仿宋_GB2312"/>
              <w:sz w:val="32"/>
              <w:szCs w:val="22"/>
            </w:rPr>
            <w:fldChar w:fldCharType="separate"/>
          </w:r>
          <w:r>
            <w:rPr>
              <w:rFonts w:ascii="Times New Roman" w:hAnsi="Times New Roman" w:eastAsia="仿宋_GB2312"/>
              <w:sz w:val="32"/>
              <w:szCs w:val="22"/>
            </w:rPr>
            <w:t>11</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"_Toc1434796408"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三</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发展目标及指标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_Toc1434796408 </w:instrText>
          </w:r>
          <w:r>
            <w:rPr>
              <w:rFonts w:ascii="Times New Roman" w:hAnsi="Times New Roman" w:eastAsia="仿宋_GB2312"/>
              <w:sz w:val="32"/>
              <w:szCs w:val="22"/>
            </w:rPr>
            <w:fldChar w:fldCharType="separate"/>
          </w:r>
          <w:r>
            <w:rPr>
              <w:rFonts w:ascii="Times New Roman" w:hAnsi="Times New Roman" w:eastAsia="仿宋_GB2312"/>
              <w:sz w:val="32"/>
              <w:szCs w:val="22"/>
            </w:rPr>
            <w:t>13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firstLine="420" w:firstLineChars="200"/>
            <w:rPr>
              <w:rFonts w:ascii="Times New Roman" w:hAnsi="Times New Roman" w:eastAsia="仿宋_GB2312"/>
              <w:sz w:val="32"/>
              <w:szCs w:val="22"/>
            </w:rPr>
          </w:pPr>
          <w:r>
            <w:fldChar w:fldCharType="begin"/>
          </w:r>
          <w:r>
            <w:instrText xml:space="preserve"> HYPERLINK \l "_Toc1476515199" </w:instrText>
          </w:r>
          <w:r>
            <w:fldChar w:fldCharType="separate"/>
          </w:r>
          <w:r>
            <w:rPr>
              <w:rFonts w:hint="eastAsia" w:ascii="黑体" w:hAnsi="黑体" w:eastAsia="黑体" w:cs="黑体"/>
              <w:sz w:val="32"/>
              <w:szCs w:val="22"/>
            </w:rPr>
            <w:t>四、 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_Toc1476515199 </w:instrText>
          </w:r>
          <w:r>
            <w:rPr>
              <w:rFonts w:ascii="Times New Roman" w:hAnsi="Times New Roman" w:eastAsia="仿宋_GB2312"/>
              <w:sz w:val="32"/>
              <w:szCs w:val="22"/>
            </w:rPr>
            <w:fldChar w:fldCharType="separate"/>
          </w:r>
          <w:r>
            <w:rPr>
              <w:rFonts w:ascii="Times New Roman" w:hAnsi="Times New Roman" w:eastAsia="仿宋_GB2312"/>
              <w:sz w:val="32"/>
              <w:szCs w:val="22"/>
            </w:rPr>
            <w:t>17</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"_Toc69855902"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一</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构建现代化防洪体系</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_Toc69855902 </w:instrText>
          </w:r>
          <w:r>
            <w:rPr>
              <w:rFonts w:ascii="Times New Roman" w:hAnsi="Times New Roman" w:eastAsia="仿宋_GB2312"/>
              <w:sz w:val="32"/>
              <w:szCs w:val="22"/>
            </w:rPr>
            <w:fldChar w:fldCharType="separate"/>
          </w:r>
          <w:r>
            <w:rPr>
              <w:rFonts w:ascii="Times New Roman" w:hAnsi="Times New Roman" w:eastAsia="仿宋_GB2312"/>
              <w:sz w:val="32"/>
              <w:szCs w:val="22"/>
            </w:rPr>
            <w:t>17</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"_Toc827582100" </w:instrText>
          </w:r>
          <w:r>
            <w:fldChar w:fldCharType="separate"/>
          </w:r>
          <w:r>
            <w:rPr>
              <w:rFonts w:hint="eastAsia" w:ascii="Times New Roman" w:hAnsi="Times New Roman" w:eastAsia="仿宋_GB2312"/>
              <w:sz w:val="32"/>
              <w:szCs w:val="22"/>
            </w:rPr>
            <w:t>1.</w:t>
          </w:r>
          <w:r>
            <w:rPr>
              <w:rFonts w:ascii="Times New Roman" w:hAnsi="Times New Roman" w:eastAsia="仿宋_GB2312"/>
              <w:sz w:val="32"/>
              <w:szCs w:val="22"/>
            </w:rPr>
            <w:t>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_Toc827582100 </w:instrText>
          </w:r>
          <w:r>
            <w:rPr>
              <w:rFonts w:ascii="Times New Roman" w:hAnsi="Times New Roman" w:eastAsia="仿宋_GB2312"/>
              <w:sz w:val="32"/>
              <w:szCs w:val="22"/>
            </w:rPr>
            <w:fldChar w:fldCharType="separate"/>
          </w:r>
          <w:r>
            <w:rPr>
              <w:rFonts w:ascii="Times New Roman" w:hAnsi="Times New Roman" w:eastAsia="仿宋_GB2312"/>
              <w:sz w:val="32"/>
              <w:szCs w:val="22"/>
            </w:rPr>
            <w:t>17</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"_Toc1482435767" </w:instrText>
          </w:r>
          <w:r>
            <w:fldChar w:fldCharType="separate"/>
          </w:r>
          <w:r>
            <w:rPr>
              <w:rFonts w:ascii="Times New Roman" w:hAnsi="Times New Roman" w:eastAsia="仿宋_GB2312"/>
              <w:sz w:val="32"/>
              <w:szCs w:val="22"/>
            </w:rPr>
            <w:t>2.</w:t>
          </w:r>
          <w:r>
            <w:rPr>
              <w:rFonts w:hint="eastAsia" w:ascii="仿宋_GB2312" w:hAnsi="仿宋_GB2312" w:eastAsia="仿宋_GB2312" w:cs="仿宋_GB2312"/>
              <w:sz w:val="32"/>
              <w:szCs w:val="22"/>
            </w:rPr>
            <w:t>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_Toc1482435767 </w:instrText>
          </w:r>
          <w:r>
            <w:rPr>
              <w:rFonts w:ascii="Times New Roman" w:hAnsi="Times New Roman" w:eastAsia="仿宋_GB2312"/>
              <w:sz w:val="32"/>
              <w:szCs w:val="22"/>
            </w:rPr>
            <w:fldChar w:fldCharType="separate"/>
          </w:r>
          <w:r>
            <w:rPr>
              <w:rFonts w:ascii="Times New Roman" w:hAnsi="Times New Roman" w:eastAsia="仿宋_GB2312"/>
              <w:sz w:val="32"/>
              <w:szCs w:val="22"/>
            </w:rPr>
            <w:t>17</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"_Toc1867180169" </w:instrText>
          </w:r>
          <w:r>
            <w:fldChar w:fldCharType="separate"/>
          </w:r>
          <w:r>
            <w:rPr>
              <w:rFonts w:ascii="Times New Roman" w:hAnsi="Times New Roman" w:eastAsia="仿宋_GB2312"/>
              <w:sz w:val="32"/>
              <w:szCs w:val="22"/>
            </w:rPr>
            <w:t>3.</w:t>
          </w:r>
          <w:r>
            <w:rPr>
              <w:rFonts w:hint="eastAsia" w:ascii="仿宋_GB2312" w:hAnsi="仿宋_GB2312" w:eastAsia="仿宋_GB2312" w:cs="仿宋_GB2312"/>
              <w:sz w:val="32"/>
              <w:szCs w:val="22"/>
            </w:rPr>
            <w:t>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_Toc1867180169 </w:instrText>
          </w:r>
          <w:r>
            <w:rPr>
              <w:rFonts w:ascii="Times New Roman" w:hAnsi="Times New Roman" w:eastAsia="仿宋_GB2312"/>
              <w:sz w:val="32"/>
              <w:szCs w:val="22"/>
            </w:rPr>
            <w:fldChar w:fldCharType="separate"/>
          </w:r>
          <w:r>
            <w:rPr>
              <w:rFonts w:ascii="Times New Roman" w:hAnsi="Times New Roman" w:eastAsia="仿宋_GB2312"/>
              <w:sz w:val="32"/>
              <w:szCs w:val="22"/>
            </w:rPr>
            <w:t>18</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"_Toc1930654656"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二</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强化水资源节约集约利用</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_Toc1930654656 </w:instrText>
          </w:r>
          <w:r>
            <w:rPr>
              <w:rFonts w:ascii="Times New Roman" w:hAnsi="Times New Roman" w:eastAsia="仿宋_GB2312"/>
              <w:sz w:val="32"/>
              <w:szCs w:val="22"/>
            </w:rPr>
            <w:fldChar w:fldCharType="separate"/>
          </w:r>
          <w:r>
            <w:rPr>
              <w:rFonts w:ascii="Times New Roman" w:hAnsi="Times New Roman" w:eastAsia="仿宋_GB2312"/>
              <w:sz w:val="32"/>
              <w:szCs w:val="22"/>
            </w:rPr>
            <w:t>23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"_Toc536396905" </w:instrText>
          </w:r>
          <w:r>
            <w:fldChar w:fldCharType="separate"/>
          </w:r>
          <w:r>
            <w:rPr>
              <w:rFonts w:ascii="Times New Roman" w:hAnsi="Times New Roman" w:eastAsia="仿宋_GB2312"/>
              <w:sz w:val="32"/>
              <w:szCs w:val="22"/>
            </w:rPr>
            <w:t>1.</w:t>
          </w:r>
          <w:r>
            <w:rPr>
              <w:rFonts w:hint="eastAsia" w:ascii="仿宋_GB2312" w:hAnsi="仿宋_GB2312" w:eastAsia="仿宋_GB2312" w:cs="仿宋_GB2312"/>
              <w:sz w:val="32"/>
              <w:szCs w:val="22"/>
            </w:rPr>
            <w:t>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_Toc536396905 </w:instrText>
          </w:r>
          <w:r>
            <w:rPr>
              <w:rFonts w:ascii="Times New Roman" w:hAnsi="Times New Roman" w:eastAsia="仿宋_GB2312"/>
              <w:sz w:val="32"/>
              <w:szCs w:val="22"/>
            </w:rPr>
            <w:fldChar w:fldCharType="separate"/>
          </w:r>
          <w:r>
            <w:rPr>
              <w:rFonts w:ascii="Times New Roman" w:hAnsi="Times New Roman" w:eastAsia="仿宋_GB2312"/>
              <w:sz w:val="32"/>
              <w:szCs w:val="22"/>
            </w:rPr>
            <w:t>23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"_Toc399602650" </w:instrText>
          </w:r>
          <w:r>
            <w:fldChar w:fldCharType="separate"/>
          </w:r>
          <w:r>
            <w:rPr>
              <w:rFonts w:ascii="Times New Roman" w:hAnsi="Times New Roman" w:eastAsia="仿宋_GB2312"/>
              <w:sz w:val="32"/>
              <w:szCs w:val="22"/>
            </w:rPr>
            <w:t>2.</w:t>
          </w:r>
          <w:r>
            <w:rPr>
              <w:rFonts w:hint="eastAsia" w:ascii="仿宋_GB2312" w:hAnsi="仿宋_GB2312" w:eastAsia="仿宋_GB2312" w:cs="仿宋_GB2312"/>
              <w:sz w:val="32"/>
              <w:szCs w:val="22"/>
            </w:rPr>
            <w:t>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_Toc399602650 </w:instrText>
          </w:r>
          <w:r>
            <w:rPr>
              <w:rFonts w:ascii="Times New Roman" w:hAnsi="Times New Roman" w:eastAsia="仿宋_GB2312"/>
              <w:sz w:val="32"/>
              <w:szCs w:val="22"/>
            </w:rPr>
            <w:fldChar w:fldCharType="separate"/>
          </w:r>
          <w:r>
            <w:rPr>
              <w:rFonts w:ascii="Times New Roman" w:hAnsi="Times New Roman" w:eastAsia="仿宋_GB2312"/>
              <w:sz w:val="32"/>
              <w:szCs w:val="22"/>
            </w:rPr>
            <w:t>23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"_Toc1470350184" </w:instrText>
          </w:r>
          <w:r>
            <w:fldChar w:fldCharType="separate"/>
          </w:r>
          <w:r>
            <w:rPr>
              <w:rFonts w:ascii="Times New Roman" w:hAnsi="Times New Roman" w:eastAsia="仿宋_GB2312"/>
              <w:sz w:val="32"/>
              <w:szCs w:val="22"/>
            </w:rPr>
            <w:t>3.</w:t>
          </w:r>
          <w:r>
            <w:rPr>
              <w:rFonts w:hint="eastAsia" w:ascii="仿宋_GB2312" w:hAnsi="仿宋_GB2312" w:eastAsia="仿宋_GB2312" w:cs="仿宋_GB2312"/>
              <w:sz w:val="32"/>
              <w:szCs w:val="22"/>
            </w:rPr>
            <w:t>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_Toc1470350184 </w:instrText>
          </w:r>
          <w:r>
            <w:rPr>
              <w:rFonts w:ascii="Times New Roman" w:hAnsi="Times New Roman" w:eastAsia="仿宋_GB2312"/>
              <w:sz w:val="32"/>
              <w:szCs w:val="22"/>
            </w:rPr>
            <w:fldChar w:fldCharType="separate"/>
          </w:r>
          <w:r>
            <w:rPr>
              <w:rFonts w:ascii="Times New Roman" w:hAnsi="Times New Roman" w:eastAsia="仿宋_GB2312"/>
              <w:sz w:val="32"/>
              <w:szCs w:val="22"/>
            </w:rPr>
            <w:t>23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"_Toc1354135354"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三</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提高城乡水安全保障</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_Toc1354135354 </w:instrText>
          </w:r>
          <w:r>
            <w:rPr>
              <w:rFonts w:ascii="Times New Roman" w:hAnsi="Times New Roman" w:eastAsia="仿宋_GB2312"/>
              <w:sz w:val="32"/>
              <w:szCs w:val="22"/>
            </w:rPr>
            <w:fldChar w:fldCharType="separate"/>
          </w:r>
          <w:r>
            <w:rPr>
              <w:rFonts w:ascii="Times New Roman" w:hAnsi="Times New Roman" w:eastAsia="仿宋_GB2312"/>
              <w:sz w:val="32"/>
              <w:szCs w:val="22"/>
            </w:rPr>
            <w:t>25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"_Toc800581078" </w:instrText>
          </w:r>
          <w:r>
            <w:fldChar w:fldCharType="separate"/>
          </w:r>
          <w:r>
            <w:rPr>
              <w:rFonts w:hint="eastAsia" w:ascii="Times New Roman" w:hAnsi="Times New Roman" w:eastAsia="仿宋_GB2312"/>
              <w:sz w:val="32"/>
              <w:szCs w:val="22"/>
            </w:rPr>
            <w:t>1.面临挑战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_Toc800581078 </w:instrText>
          </w:r>
          <w:r>
            <w:rPr>
              <w:rFonts w:ascii="Times New Roman" w:hAnsi="Times New Roman" w:eastAsia="仿宋_GB2312"/>
              <w:sz w:val="32"/>
              <w:szCs w:val="22"/>
            </w:rPr>
            <w:fldChar w:fldCharType="separate"/>
          </w:r>
          <w:r>
            <w:rPr>
              <w:rFonts w:ascii="Times New Roman" w:hAnsi="Times New Roman" w:eastAsia="仿宋_GB2312"/>
              <w:sz w:val="32"/>
              <w:szCs w:val="22"/>
            </w:rPr>
            <w:t>25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"_Toc1652848772" </w:instrText>
          </w:r>
          <w:r>
            <w:fldChar w:fldCharType="separate"/>
          </w:r>
          <w:r>
            <w:rPr>
              <w:rFonts w:hint="eastAsia" w:ascii="Times New Roman" w:hAnsi="Times New Roman" w:eastAsia="仿宋_GB2312"/>
              <w:sz w:val="32"/>
              <w:szCs w:val="22"/>
            </w:rPr>
            <w:t>2.发展机遇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_Toc1652848772 </w:instrText>
          </w:r>
          <w:r>
            <w:rPr>
              <w:rFonts w:ascii="Times New Roman" w:hAnsi="Times New Roman" w:eastAsia="仿宋_GB2312"/>
              <w:sz w:val="32"/>
              <w:szCs w:val="22"/>
            </w:rPr>
            <w:fldChar w:fldCharType="separate"/>
          </w:r>
          <w:r>
            <w:rPr>
              <w:rFonts w:ascii="Times New Roman" w:hAnsi="Times New Roman" w:eastAsia="仿宋_GB2312"/>
              <w:sz w:val="32"/>
              <w:szCs w:val="22"/>
            </w:rPr>
            <w:t>25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"_Toc1415689521" </w:instrText>
          </w:r>
          <w:r>
            <w:fldChar w:fldCharType="separate"/>
          </w:r>
          <w:r>
            <w:rPr>
              <w:rFonts w:hint="eastAsia" w:ascii="Times New Roman" w:hAnsi="Times New Roman" w:eastAsia="仿宋_GB2312"/>
              <w:sz w:val="32"/>
              <w:szCs w:val="22"/>
            </w:rPr>
            <w:t>3.重点任务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_Toc1415689521 </w:instrText>
          </w:r>
          <w:r>
            <w:rPr>
              <w:rFonts w:ascii="Times New Roman" w:hAnsi="Times New Roman" w:eastAsia="仿宋_GB2312"/>
              <w:sz w:val="32"/>
              <w:szCs w:val="22"/>
            </w:rPr>
            <w:fldChar w:fldCharType="separate"/>
          </w:r>
          <w:r>
            <w:rPr>
              <w:rFonts w:ascii="Times New Roman" w:hAnsi="Times New Roman" w:eastAsia="仿宋_GB2312"/>
              <w:sz w:val="32"/>
              <w:szCs w:val="22"/>
            </w:rPr>
            <w:t>25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"_Toc1153165320"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四</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复苏河湖生态环境</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_Toc1153165320 </w:instrText>
          </w:r>
          <w:r>
            <w:rPr>
              <w:rFonts w:ascii="Times New Roman" w:hAnsi="Times New Roman" w:eastAsia="仿宋_GB2312"/>
              <w:sz w:val="32"/>
              <w:szCs w:val="22"/>
            </w:rPr>
            <w:fldChar w:fldCharType="separate"/>
          </w:r>
          <w:r>
            <w:rPr>
              <w:rFonts w:ascii="Times New Roman" w:hAnsi="Times New Roman" w:eastAsia="仿宋_GB2312"/>
              <w:sz w:val="32"/>
              <w:szCs w:val="22"/>
            </w:rPr>
            <w:t>28</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"_Toc69123851" </w:instrText>
          </w:r>
          <w:r>
            <w:fldChar w:fldCharType="separate"/>
          </w:r>
          <w:r>
            <w:rPr>
              <w:rFonts w:hint="eastAsia" w:ascii="Times New Roman" w:hAnsi="Times New Roman" w:eastAsia="仿宋_GB2312"/>
              <w:sz w:val="32"/>
              <w:szCs w:val="22"/>
            </w:rPr>
            <w:t>1. 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_Toc69123851 </w:instrText>
          </w:r>
          <w:r>
            <w:rPr>
              <w:rFonts w:ascii="Times New Roman" w:hAnsi="Times New Roman" w:eastAsia="仿宋_GB2312"/>
              <w:sz w:val="32"/>
              <w:szCs w:val="22"/>
            </w:rPr>
            <w:fldChar w:fldCharType="separate"/>
          </w:r>
          <w:r>
            <w:rPr>
              <w:rFonts w:ascii="Times New Roman" w:hAnsi="Times New Roman" w:eastAsia="仿宋_GB2312"/>
              <w:sz w:val="32"/>
              <w:szCs w:val="22"/>
            </w:rPr>
            <w:t>28</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"_Toc441051610" </w:instrText>
          </w:r>
          <w:r>
            <w:fldChar w:fldCharType="separate"/>
          </w:r>
          <w:r>
            <w:rPr>
              <w:rFonts w:hint="eastAsia" w:ascii="Times New Roman" w:hAnsi="Times New Roman" w:eastAsia="仿宋_GB2312"/>
              <w:sz w:val="32"/>
              <w:szCs w:val="22"/>
            </w:rPr>
            <w:t>2. 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_Toc441051610 </w:instrText>
          </w:r>
          <w:r>
            <w:rPr>
              <w:rFonts w:ascii="Times New Roman" w:hAnsi="Times New Roman" w:eastAsia="仿宋_GB2312"/>
              <w:sz w:val="32"/>
              <w:szCs w:val="22"/>
            </w:rPr>
            <w:fldChar w:fldCharType="separate"/>
          </w:r>
          <w:r>
            <w:rPr>
              <w:rFonts w:ascii="Times New Roman" w:hAnsi="Times New Roman" w:eastAsia="仿宋_GB2312"/>
              <w:sz w:val="32"/>
              <w:szCs w:val="22"/>
            </w:rPr>
            <w:t>29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"_Toc1737405686" </w:instrText>
          </w:r>
          <w:r>
            <w:fldChar w:fldCharType="separate"/>
          </w:r>
          <w:r>
            <w:rPr>
              <w:rFonts w:hint="eastAsia" w:ascii="Times New Roman" w:hAnsi="Times New Roman" w:eastAsia="仿宋_GB2312"/>
              <w:sz w:val="32"/>
              <w:szCs w:val="22"/>
            </w:rPr>
            <w:t>3. 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_Toc1737405686 </w:instrText>
          </w:r>
          <w:r>
            <w:rPr>
              <w:rFonts w:ascii="Times New Roman" w:hAnsi="Times New Roman" w:eastAsia="仿宋_GB2312"/>
              <w:sz w:val="32"/>
              <w:szCs w:val="22"/>
            </w:rPr>
            <w:fldChar w:fldCharType="separate"/>
          </w:r>
          <w:r>
            <w:rPr>
              <w:rFonts w:ascii="Times New Roman" w:hAnsi="Times New Roman" w:eastAsia="仿宋_GB2312"/>
              <w:sz w:val="32"/>
              <w:szCs w:val="22"/>
            </w:rPr>
            <w:t>29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"_Toc1154793652"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五</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完善现代农业水利保障设施</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_Toc1154793652 </w:instrText>
          </w:r>
          <w:r>
            <w:rPr>
              <w:rFonts w:ascii="Times New Roman" w:hAnsi="Times New Roman" w:eastAsia="仿宋_GB2312"/>
              <w:sz w:val="32"/>
              <w:szCs w:val="22"/>
            </w:rPr>
            <w:fldChar w:fldCharType="separate"/>
          </w:r>
          <w:r>
            <w:rPr>
              <w:rFonts w:ascii="Times New Roman" w:hAnsi="Times New Roman" w:eastAsia="仿宋_GB2312"/>
              <w:sz w:val="32"/>
              <w:szCs w:val="22"/>
            </w:rPr>
            <w:t>33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"_Toc1984758263" </w:instrText>
          </w:r>
          <w:r>
            <w:fldChar w:fldCharType="separate"/>
          </w:r>
          <w:r>
            <w:rPr>
              <w:rFonts w:hint="eastAsia" w:ascii="Times New Roman" w:hAnsi="Times New Roman" w:eastAsia="仿宋_GB2312"/>
              <w:sz w:val="32"/>
              <w:szCs w:val="22"/>
            </w:rPr>
            <w:t>1. 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_Toc1984758263 </w:instrText>
          </w:r>
          <w:r>
            <w:rPr>
              <w:rFonts w:ascii="Times New Roman" w:hAnsi="Times New Roman" w:eastAsia="仿宋_GB2312"/>
              <w:sz w:val="32"/>
              <w:szCs w:val="22"/>
            </w:rPr>
            <w:fldChar w:fldCharType="separate"/>
          </w:r>
          <w:r>
            <w:rPr>
              <w:rFonts w:ascii="Times New Roman" w:hAnsi="Times New Roman" w:eastAsia="仿宋_GB2312"/>
              <w:sz w:val="32"/>
              <w:szCs w:val="22"/>
            </w:rPr>
            <w:t>33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"_Toc282063574" </w:instrText>
          </w:r>
          <w:r>
            <w:fldChar w:fldCharType="separate"/>
          </w:r>
          <w:r>
            <w:rPr>
              <w:rFonts w:hint="eastAsia" w:ascii="Times New Roman" w:hAnsi="Times New Roman" w:eastAsia="仿宋_GB2312"/>
              <w:sz w:val="32"/>
              <w:szCs w:val="22"/>
            </w:rPr>
            <w:t>2. 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_Toc282063574 </w:instrText>
          </w:r>
          <w:r>
            <w:rPr>
              <w:rFonts w:ascii="Times New Roman" w:hAnsi="Times New Roman" w:eastAsia="仿宋_GB2312"/>
              <w:sz w:val="32"/>
              <w:szCs w:val="22"/>
            </w:rPr>
            <w:fldChar w:fldCharType="separate"/>
          </w:r>
          <w:r>
            <w:rPr>
              <w:rFonts w:ascii="Times New Roman" w:hAnsi="Times New Roman" w:eastAsia="仿宋_GB2312"/>
              <w:sz w:val="32"/>
              <w:szCs w:val="22"/>
            </w:rPr>
            <w:t>34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"_Toc426071986" </w:instrText>
          </w:r>
          <w:r>
            <w:fldChar w:fldCharType="separate"/>
          </w:r>
          <w:r>
            <w:rPr>
              <w:rFonts w:hint="eastAsia" w:ascii="Times New Roman" w:hAnsi="Times New Roman" w:eastAsia="仿宋_GB2312"/>
              <w:sz w:val="32"/>
              <w:szCs w:val="22"/>
            </w:rPr>
            <w:t>3. 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_Toc426071986 </w:instrText>
          </w:r>
          <w:r>
            <w:rPr>
              <w:rFonts w:ascii="Times New Roman" w:hAnsi="Times New Roman" w:eastAsia="仿宋_GB2312"/>
              <w:sz w:val="32"/>
              <w:szCs w:val="22"/>
            </w:rPr>
            <w:fldChar w:fldCharType="separate"/>
          </w:r>
          <w:r>
            <w:rPr>
              <w:rFonts w:ascii="Times New Roman" w:hAnsi="Times New Roman" w:eastAsia="仿宋_GB2312"/>
              <w:sz w:val="32"/>
              <w:szCs w:val="22"/>
            </w:rPr>
            <w:t>34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"_Toc1132871261"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六</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全面提高水治理水平</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_Toc1132871261 </w:instrText>
          </w:r>
          <w:r>
            <w:rPr>
              <w:rFonts w:ascii="Times New Roman" w:hAnsi="Times New Roman" w:eastAsia="仿宋_GB2312"/>
              <w:sz w:val="32"/>
              <w:szCs w:val="22"/>
            </w:rPr>
            <w:fldChar w:fldCharType="separate"/>
          </w:r>
          <w:r>
            <w:rPr>
              <w:rFonts w:ascii="Times New Roman" w:hAnsi="Times New Roman" w:eastAsia="仿宋_GB2312"/>
              <w:sz w:val="32"/>
              <w:szCs w:val="22"/>
            </w:rPr>
            <w:t>35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"_Toc1015741812" </w:instrText>
          </w:r>
          <w:r>
            <w:fldChar w:fldCharType="separate"/>
          </w:r>
          <w:r>
            <w:rPr>
              <w:rFonts w:hint="eastAsia" w:ascii="Times New Roman" w:hAnsi="Times New Roman" w:eastAsia="仿宋_GB2312"/>
              <w:sz w:val="32"/>
              <w:szCs w:val="22"/>
            </w:rPr>
            <w:t>1.面临挑战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_Toc1015741812 </w:instrText>
          </w:r>
          <w:r>
            <w:rPr>
              <w:rFonts w:ascii="Times New Roman" w:hAnsi="Times New Roman" w:eastAsia="仿宋_GB2312"/>
              <w:sz w:val="32"/>
              <w:szCs w:val="22"/>
            </w:rPr>
            <w:fldChar w:fldCharType="separate"/>
          </w:r>
          <w:r>
            <w:rPr>
              <w:rFonts w:ascii="Times New Roman" w:hAnsi="Times New Roman" w:eastAsia="仿宋_GB2312"/>
              <w:sz w:val="32"/>
              <w:szCs w:val="22"/>
            </w:rPr>
            <w:t>35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"_Toc850643097" </w:instrText>
          </w:r>
          <w:r>
            <w:fldChar w:fldCharType="separate"/>
          </w:r>
          <w:r>
            <w:rPr>
              <w:rFonts w:hint="eastAsia" w:ascii="Times New Roman" w:hAnsi="Times New Roman" w:eastAsia="仿宋_GB2312"/>
              <w:sz w:val="32"/>
              <w:szCs w:val="22"/>
            </w:rPr>
            <w:t>2.发展机遇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_Toc850643097 </w:instrText>
          </w:r>
          <w:r>
            <w:rPr>
              <w:rFonts w:ascii="Times New Roman" w:hAnsi="Times New Roman" w:eastAsia="仿宋_GB2312"/>
              <w:sz w:val="32"/>
              <w:szCs w:val="22"/>
            </w:rPr>
            <w:fldChar w:fldCharType="separate"/>
          </w:r>
          <w:r>
            <w:rPr>
              <w:rFonts w:ascii="Times New Roman" w:hAnsi="Times New Roman" w:eastAsia="仿宋_GB2312"/>
              <w:sz w:val="32"/>
              <w:szCs w:val="22"/>
            </w:rPr>
            <w:t>36</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"_Toc681637706" </w:instrText>
          </w:r>
          <w:r>
            <w:fldChar w:fldCharType="separate"/>
          </w:r>
          <w:r>
            <w:rPr>
              <w:rFonts w:hint="eastAsia" w:ascii="Times New Roman" w:hAnsi="Times New Roman" w:eastAsia="仿宋_GB2312"/>
              <w:sz w:val="32"/>
              <w:szCs w:val="22"/>
            </w:rPr>
            <w:t>3.重点任务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_Toc681637706 </w:instrText>
          </w:r>
          <w:r>
            <w:rPr>
              <w:rFonts w:ascii="Times New Roman" w:hAnsi="Times New Roman" w:eastAsia="仿宋_GB2312"/>
              <w:sz w:val="32"/>
              <w:szCs w:val="22"/>
            </w:rPr>
            <w:fldChar w:fldCharType="separate"/>
          </w:r>
          <w:r>
            <w:rPr>
              <w:rFonts w:ascii="Times New Roman" w:hAnsi="Times New Roman" w:eastAsia="仿宋_GB2312"/>
              <w:sz w:val="32"/>
              <w:szCs w:val="22"/>
            </w:rPr>
            <w:t>36</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"_Toc1593138648"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七</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水治理数字赋能提优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_Toc1593138648 </w:instrText>
          </w:r>
          <w:r>
            <w:rPr>
              <w:rFonts w:ascii="Times New Roman" w:hAnsi="Times New Roman" w:eastAsia="仿宋_GB2312"/>
              <w:sz w:val="32"/>
              <w:szCs w:val="22"/>
            </w:rPr>
            <w:fldChar w:fldCharType="separate"/>
          </w:r>
          <w:r>
            <w:rPr>
              <w:rFonts w:ascii="Times New Roman" w:hAnsi="Times New Roman" w:eastAsia="仿宋_GB2312"/>
              <w:sz w:val="32"/>
              <w:szCs w:val="22"/>
            </w:rPr>
            <w:t>39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"_Toc1321353093" </w:instrText>
          </w:r>
          <w:r>
            <w:fldChar w:fldCharType="separate"/>
          </w:r>
          <w:r>
            <w:rPr>
              <w:rFonts w:hint="eastAsia" w:ascii="Times New Roman" w:hAnsi="Times New Roman" w:eastAsia="仿宋_GB2312"/>
              <w:sz w:val="32"/>
              <w:szCs w:val="22"/>
            </w:rPr>
            <w:t>1.面临挑战</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_Toc1321353093 </w:instrText>
          </w:r>
          <w:r>
            <w:rPr>
              <w:rFonts w:ascii="Times New Roman" w:hAnsi="Times New Roman" w:eastAsia="仿宋_GB2312"/>
              <w:sz w:val="32"/>
              <w:szCs w:val="22"/>
            </w:rPr>
            <w:fldChar w:fldCharType="separate"/>
          </w:r>
          <w:r>
            <w:rPr>
              <w:rFonts w:ascii="Times New Roman" w:hAnsi="Times New Roman" w:eastAsia="仿宋_GB2312"/>
              <w:sz w:val="32"/>
              <w:szCs w:val="22"/>
            </w:rPr>
            <w:t>39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"_Toc2112148598" </w:instrText>
          </w:r>
          <w:r>
            <w:fldChar w:fldCharType="separate"/>
          </w:r>
          <w:r>
            <w:rPr>
              <w:rFonts w:hint="eastAsia" w:ascii="Times New Roman" w:hAnsi="Times New Roman" w:eastAsia="仿宋_GB2312"/>
              <w:sz w:val="32"/>
              <w:szCs w:val="22"/>
            </w:rPr>
            <w:t>2.发展机遇</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_Toc2112148598 </w:instrText>
          </w:r>
          <w:r>
            <w:rPr>
              <w:rFonts w:ascii="Times New Roman" w:hAnsi="Times New Roman" w:eastAsia="仿宋_GB2312"/>
              <w:sz w:val="32"/>
              <w:szCs w:val="22"/>
            </w:rPr>
            <w:fldChar w:fldCharType="separate"/>
          </w:r>
          <w:r>
            <w:rPr>
              <w:rFonts w:ascii="Times New Roman" w:hAnsi="Times New Roman" w:eastAsia="仿宋_GB2312"/>
              <w:sz w:val="32"/>
              <w:szCs w:val="22"/>
            </w:rPr>
            <w:t>39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840" w:leftChars="400" w:firstLine="420" w:firstLineChars="200"/>
            <w:rPr>
              <w:rFonts w:ascii="Times New Roman" w:hAnsi="Times New Roman" w:eastAsia="仿宋_GB2312"/>
              <w:sz w:val="32"/>
              <w:szCs w:val="22"/>
            </w:rPr>
          </w:pPr>
          <w:r>
            <w:fldChar w:fldCharType="begin"/>
          </w:r>
          <w:r>
            <w:instrText xml:space="preserve"> HYPERLINK \l "_Toc1162477244" </w:instrText>
          </w:r>
          <w:r>
            <w:fldChar w:fldCharType="separate"/>
          </w:r>
          <w:r>
            <w:rPr>
              <w:rFonts w:hint="eastAsia" w:ascii="Times New Roman" w:hAnsi="Times New Roman" w:eastAsia="仿宋_GB2312"/>
              <w:sz w:val="32"/>
              <w:szCs w:val="22"/>
            </w:rPr>
            <w:t>3.重点任务</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_Toc1162477244 </w:instrText>
          </w:r>
          <w:r>
            <w:rPr>
              <w:rFonts w:ascii="Times New Roman" w:hAnsi="Times New Roman" w:eastAsia="仿宋_GB2312"/>
              <w:sz w:val="32"/>
              <w:szCs w:val="22"/>
            </w:rPr>
            <w:fldChar w:fldCharType="separate"/>
          </w:r>
          <w:r>
            <w:rPr>
              <w:rFonts w:ascii="Times New Roman" w:hAnsi="Times New Roman" w:eastAsia="仿宋_GB2312"/>
              <w:sz w:val="32"/>
              <w:szCs w:val="22"/>
            </w:rPr>
            <w:t>39</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firstLine="420" w:firstLineChars="200"/>
            <w:rPr>
              <w:rFonts w:ascii="Times New Roman" w:hAnsi="Times New Roman" w:eastAsia="仿宋_GB2312"/>
              <w:sz w:val="32"/>
              <w:szCs w:val="22"/>
            </w:rPr>
          </w:pPr>
          <w:r>
            <w:fldChar w:fldCharType="begin"/>
          </w:r>
          <w:r>
            <w:instrText xml:space="preserve"> HYPERLINK \l "_Toc543468688" </w:instrText>
          </w:r>
          <w:r>
            <w:fldChar w:fldCharType="separate"/>
          </w:r>
          <w:r>
            <w:rPr>
              <w:rFonts w:hint="eastAsia" w:ascii="黑体" w:hAnsi="黑体" w:eastAsia="黑体" w:cs="黑体"/>
              <w:sz w:val="32"/>
              <w:szCs w:val="22"/>
            </w:rPr>
            <w:t>五、 保障措施</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_Toc543468688 </w:instrText>
          </w:r>
          <w:r>
            <w:rPr>
              <w:rFonts w:ascii="Times New Roman" w:hAnsi="Times New Roman" w:eastAsia="仿宋_GB2312"/>
              <w:sz w:val="32"/>
              <w:szCs w:val="22"/>
            </w:rPr>
            <w:fldChar w:fldCharType="separate"/>
          </w:r>
          <w:r>
            <w:rPr>
              <w:rFonts w:ascii="Times New Roman" w:hAnsi="Times New Roman" w:eastAsia="仿宋_GB2312"/>
              <w:sz w:val="32"/>
              <w:szCs w:val="22"/>
            </w:rPr>
            <w:t>42</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"_Toc1399461358"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一</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加强组织领导，落实工作责任</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_Toc1399461358 </w:instrText>
          </w:r>
          <w:r>
            <w:rPr>
              <w:rFonts w:ascii="Times New Roman" w:hAnsi="Times New Roman" w:eastAsia="仿宋_GB2312"/>
              <w:sz w:val="32"/>
              <w:szCs w:val="22"/>
            </w:rPr>
            <w:fldChar w:fldCharType="separate"/>
          </w:r>
          <w:r>
            <w:rPr>
              <w:rFonts w:ascii="Times New Roman" w:hAnsi="Times New Roman" w:eastAsia="仿宋_GB2312"/>
              <w:sz w:val="32"/>
              <w:szCs w:val="22"/>
            </w:rPr>
            <w:t>42</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"_Toc491508796"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二</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完善配套制度，推进依法治水</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_Toc491508796 </w:instrText>
          </w:r>
          <w:r>
            <w:rPr>
              <w:rFonts w:ascii="Times New Roman" w:hAnsi="Times New Roman" w:eastAsia="仿宋_GB2312"/>
              <w:sz w:val="32"/>
              <w:szCs w:val="22"/>
            </w:rPr>
            <w:fldChar w:fldCharType="separate"/>
          </w:r>
          <w:r>
            <w:rPr>
              <w:rFonts w:ascii="Times New Roman" w:hAnsi="Times New Roman" w:eastAsia="仿宋_GB2312"/>
              <w:sz w:val="32"/>
              <w:szCs w:val="22"/>
            </w:rPr>
            <w:t>42</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"_Toc613324590"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三</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创新投入机制，拓宽融资渠道</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_Toc613324590 </w:instrText>
          </w:r>
          <w:r>
            <w:rPr>
              <w:rFonts w:ascii="Times New Roman" w:hAnsi="Times New Roman" w:eastAsia="仿宋_GB2312"/>
              <w:sz w:val="32"/>
              <w:szCs w:val="22"/>
            </w:rPr>
            <w:fldChar w:fldCharType="separate"/>
          </w:r>
          <w:r>
            <w:rPr>
              <w:rFonts w:ascii="Times New Roman" w:hAnsi="Times New Roman" w:eastAsia="仿宋_GB2312"/>
              <w:sz w:val="32"/>
              <w:szCs w:val="22"/>
            </w:rPr>
            <w:t>43</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"_Toc79559811"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四</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提高科技含量，夯实科技支撑</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_Toc79559811 </w:instrText>
          </w:r>
          <w:r>
            <w:rPr>
              <w:rFonts w:ascii="Times New Roman" w:hAnsi="Times New Roman" w:eastAsia="仿宋_GB2312"/>
              <w:sz w:val="32"/>
              <w:szCs w:val="22"/>
            </w:rPr>
            <w:fldChar w:fldCharType="separate"/>
          </w:r>
          <w:r>
            <w:rPr>
              <w:rFonts w:ascii="Times New Roman" w:hAnsi="Times New Roman" w:eastAsia="仿宋_GB2312"/>
              <w:sz w:val="32"/>
              <w:szCs w:val="22"/>
            </w:rPr>
            <w:t>44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"_Toc1973944563"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五</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强化人才支撑，筑牢发展根基</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_Toc1973944563 </w:instrText>
          </w:r>
          <w:r>
            <w:rPr>
              <w:rFonts w:ascii="Times New Roman" w:hAnsi="Times New Roman" w:eastAsia="仿宋_GB2312"/>
              <w:sz w:val="32"/>
              <w:szCs w:val="22"/>
            </w:rPr>
            <w:fldChar w:fldCharType="separate"/>
          </w:r>
          <w:r>
            <w:rPr>
              <w:rFonts w:ascii="Times New Roman" w:hAnsi="Times New Roman" w:eastAsia="仿宋_GB2312"/>
              <w:sz w:val="32"/>
              <w:szCs w:val="22"/>
            </w:rPr>
            <w:t>44</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tabs>
              <w:tab w:val="right" w:leader="dot" w:pos="8844"/>
            </w:tabs>
            <w:spacing w:after="0" w:line="578" w:lineRule="exact"/>
            <w:ind w:left="420" w:leftChars="200" w:firstLine="420" w:firstLineChars="200"/>
            <w:rPr>
              <w:rFonts w:ascii="Times New Roman" w:hAnsi="Times New Roman" w:eastAsia="仿宋_GB2312"/>
              <w:sz w:val="32"/>
              <w:szCs w:val="22"/>
            </w:rPr>
          </w:pPr>
          <w:r>
            <w:fldChar w:fldCharType="begin"/>
          </w:r>
          <w:r>
            <w:instrText xml:space="preserve"> HYPERLINK \l "_Toc333021111" </w:instrText>
          </w:r>
          <w:r>
            <w:fldChar w:fldCharType="separate"/>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六</w:t>
          </w:r>
          <w:r>
            <w:rPr>
              <w:rFonts w:hint="eastAsia" w:ascii="楷体_GB2312" w:hAnsi="楷体_GB2312" w:eastAsia="楷体_GB2312" w:cs="楷体_GB2312"/>
              <w:sz w:val="32"/>
              <w:szCs w:val="22"/>
              <w:lang w:eastAsia="zh-CN"/>
            </w:rPr>
            <w:t>）</w:t>
          </w:r>
          <w:r>
            <w:rPr>
              <w:rFonts w:hint="eastAsia" w:ascii="楷体_GB2312" w:hAnsi="楷体_GB2312" w:eastAsia="楷体_GB2312" w:cs="楷体_GB2312"/>
              <w:sz w:val="32"/>
              <w:szCs w:val="22"/>
            </w:rPr>
            <w:t xml:space="preserve"> 加强宣传教育，促进公众参与</w:t>
          </w:r>
          <w:r>
            <w:rPr>
              <w:rFonts w:ascii="Times New Roman" w:hAnsi="Times New Roman" w:eastAsia="仿宋_GB2312"/>
              <w:sz w:val="32"/>
              <w:szCs w:val="22"/>
            </w:rPr>
            <w:tab/>
          </w:r>
          <w:r>
            <w:rPr>
              <w:rFonts w:ascii="Times New Roman" w:hAnsi="Times New Roman" w:eastAsia="仿宋_GB2312"/>
              <w:sz w:val="32"/>
              <w:szCs w:val="22"/>
            </w:rPr>
            <w:fldChar w:fldCharType="begin"/>
          </w:r>
          <w:r>
            <w:rPr>
              <w:rFonts w:ascii="Times New Roman" w:hAnsi="Times New Roman" w:eastAsia="仿宋_GB2312"/>
              <w:sz w:val="32"/>
              <w:szCs w:val="22"/>
            </w:rPr>
            <w:instrText xml:space="preserve"> PAGEREF _Toc333021111 </w:instrText>
          </w:r>
          <w:r>
            <w:rPr>
              <w:rFonts w:ascii="Times New Roman" w:hAnsi="Times New Roman" w:eastAsia="仿宋_GB2312"/>
              <w:sz w:val="32"/>
              <w:szCs w:val="22"/>
            </w:rPr>
            <w:fldChar w:fldCharType="separate"/>
          </w:r>
          <w:r>
            <w:rPr>
              <w:rFonts w:ascii="Times New Roman" w:hAnsi="Times New Roman" w:eastAsia="仿宋_GB2312"/>
              <w:sz w:val="32"/>
              <w:szCs w:val="22"/>
            </w:rPr>
            <w:t>45</w:t>
          </w:r>
          <w:r>
            <w:rPr>
              <w:rFonts w:ascii="Times New Roman" w:hAnsi="Times New Roman" w:eastAsia="仿宋_GB2312"/>
              <w:sz w:val="32"/>
              <w:szCs w:val="22"/>
            </w:rPr>
            <w:fldChar w:fldCharType="end"/>
          </w:r>
          <w:r>
            <w:rPr>
              <w:rFonts w:ascii="Times New Roman" w:hAnsi="Times New Roman" w:eastAsia="仿宋_GB2312"/>
              <w:sz w:val="32"/>
              <w:szCs w:val="22"/>
            </w:rPr>
            <w:fldChar w:fldCharType="end"/>
          </w:r>
        </w:p>
        <w:p>
          <w:pPr>
            <w:spacing w:after="0" w:line="578" w:lineRule="exact"/>
            <w:rPr>
              <w:rFonts w:ascii="Times New Roman" w:hAnsi="Times New Roman" w:eastAsia="仿宋_GB2312"/>
              <w:sz w:val="32"/>
              <w:szCs w:val="22"/>
            </w:rPr>
          </w:pPr>
          <w:r>
            <w:rPr>
              <w:rFonts w:ascii="Times New Roman" w:hAnsi="Times New Roman" w:eastAsia="仿宋_GB2312"/>
              <w:sz w:val="32"/>
              <w:szCs w:val="28"/>
              <w:lang w:val="zh-CN"/>
            </w:rPr>
            <w:fldChar w:fldCharType="end"/>
          </w:r>
        </w:p>
      </w:sdtContent>
    </w:sdt>
    <w:p>
      <w:pPr>
        <w:spacing w:after="0" w:line="578" w:lineRule="exact"/>
        <w:ind w:firstLine="640" w:firstLineChars="200"/>
        <w:rPr>
          <w:rFonts w:ascii="Times New Roman" w:hAnsi="Times New Roman" w:eastAsia="黑体"/>
          <w:sz w:val="32"/>
          <w:szCs w:val="32"/>
        </w:rPr>
      </w:pPr>
    </w:p>
    <w:p>
      <w:pPr>
        <w:spacing w:after="0" w:line="578" w:lineRule="exact"/>
        <w:ind w:firstLine="640"/>
        <w:rPr>
          <w:rFonts w:eastAsia="黑体"/>
          <w:szCs w:val="32"/>
        </w:rPr>
        <w:sectPr>
          <w:headerReference r:id="rId12" w:type="default"/>
          <w:footerReference r:id="rId13" w:type="default"/>
          <w:pgSz w:w="11906" w:h="16838"/>
          <w:pgMar w:top="2098" w:right="1474" w:bottom="1985" w:left="1588" w:header="851" w:footer="1417" w:gutter="0"/>
          <w:cols w:space="425" w:num="1"/>
          <w:docGrid w:type="lines" w:linePitch="435" w:charSpace="0"/>
        </w:sectPr>
      </w:pPr>
    </w:p>
    <w:p>
      <w:pPr>
        <w:numPr>
          <w:ilvl w:val="0"/>
          <w:numId w:val="1"/>
        </w:numPr>
        <w:spacing w:after="0" w:line="578" w:lineRule="exact"/>
        <w:ind w:left="0" w:firstLine="640" w:firstLineChars="200"/>
        <w:outlineLvl w:val="0"/>
        <w:rPr>
          <w:rFonts w:ascii="Times New Roman" w:hAnsi="Times New Roman" w:eastAsia="黑体"/>
          <w:sz w:val="32"/>
          <w:szCs w:val="28"/>
        </w:rPr>
      </w:pPr>
      <w:bookmarkStart w:id="0" w:name="_Toc1172845737"/>
      <w:bookmarkStart w:id="1" w:name="_Toc209790007"/>
      <w:r>
        <w:rPr>
          <w:rFonts w:hint="eastAsia" w:ascii="Times New Roman" w:hAnsi="Times New Roman" w:eastAsia="黑体"/>
          <w:sz w:val="32"/>
          <w:szCs w:val="28"/>
        </w:rPr>
        <w:t>三亚市水资源及开发利用现状</w:t>
      </w:r>
      <w:bookmarkEnd w:id="0"/>
      <w:bookmarkEnd w:id="1"/>
    </w:p>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2" w:name="_Toc584240366"/>
      <w:r>
        <w:rPr>
          <w:rFonts w:hint="eastAsia" w:ascii="楷体_GB2312" w:hAnsi="楷体_GB2312" w:eastAsia="楷体_GB2312" w:cs="楷体_GB2312"/>
          <w:sz w:val="32"/>
          <w:szCs w:val="30"/>
        </w:rPr>
        <w:t>自然地理</w:t>
      </w:r>
      <w:bookmarkEnd w:id="2"/>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三亚市位于海南岛南端，东经108°56′30″～109°48′28″，北纬18°09′34″～18°37′27″，东邻陵水县，西接乐东县，北毗保亭县，南临南海，东西长91.6km，南北宽51km。全境北靠高山，南临大海，地势自北向南逐渐倾斜，形成一个狭长状的多角形。</w:t>
      </w:r>
      <w:r>
        <w:rPr>
          <w:rFonts w:hint="eastAsia" w:ascii="Times New Roman" w:hAnsi="Times New Roman" w:eastAsia="仿宋_GB2312"/>
          <w:sz w:val="32"/>
          <w:szCs w:val="22"/>
        </w:rPr>
        <w:t>全市</w:t>
      </w:r>
      <w:r>
        <w:rPr>
          <w:rFonts w:ascii="Times New Roman" w:hAnsi="Times New Roman" w:eastAsia="仿宋_GB2312"/>
          <w:sz w:val="32"/>
          <w:szCs w:val="22"/>
        </w:rPr>
        <w:t>行政区总面积5110.95km</w:t>
      </w:r>
      <w:r>
        <w:rPr>
          <w:rFonts w:ascii="Times New Roman" w:hAnsi="Times New Roman" w:eastAsia="仿宋_GB2312"/>
          <w:sz w:val="32"/>
          <w:szCs w:val="22"/>
          <w:vertAlign w:val="superscript"/>
        </w:rPr>
        <w:t>2</w:t>
      </w:r>
      <w:r>
        <w:rPr>
          <w:rFonts w:ascii="Times New Roman" w:hAnsi="Times New Roman" w:eastAsia="仿宋_GB2312"/>
          <w:sz w:val="32"/>
          <w:szCs w:val="22"/>
        </w:rPr>
        <w:t>，</w:t>
      </w:r>
      <w:r>
        <w:rPr>
          <w:rFonts w:hint="eastAsia" w:ascii="Times New Roman" w:hAnsi="Times New Roman" w:eastAsia="仿宋_GB2312"/>
          <w:sz w:val="32"/>
          <w:szCs w:val="22"/>
        </w:rPr>
        <w:t>其中海岸线向海一侧近岸海域面积</w:t>
      </w:r>
      <w:r>
        <w:rPr>
          <w:rFonts w:ascii="Times New Roman" w:hAnsi="Times New Roman" w:eastAsia="仿宋_GB2312"/>
          <w:sz w:val="32"/>
          <w:szCs w:val="22"/>
        </w:rPr>
        <w:t>3220.02km</w:t>
      </w:r>
      <w:r>
        <w:rPr>
          <w:rFonts w:ascii="Times New Roman" w:hAnsi="Times New Roman" w:eastAsia="仿宋_GB2312"/>
          <w:sz w:val="32"/>
          <w:szCs w:val="22"/>
          <w:vertAlign w:val="superscript"/>
        </w:rPr>
        <w:t>2</w:t>
      </w:r>
      <w:r>
        <w:rPr>
          <w:rFonts w:ascii="Times New Roman" w:hAnsi="Times New Roman" w:eastAsia="仿宋_GB2312"/>
          <w:sz w:val="32"/>
          <w:szCs w:val="22"/>
        </w:rPr>
        <w:t>，</w:t>
      </w:r>
      <w:r>
        <w:rPr>
          <w:rFonts w:hint="eastAsia" w:ascii="Times New Roman" w:hAnsi="Times New Roman" w:eastAsia="仿宋_GB2312"/>
          <w:sz w:val="32"/>
          <w:szCs w:val="22"/>
        </w:rPr>
        <w:t>海岸线向陆一侧陆域面积1890.93</w:t>
      </w:r>
      <w:r>
        <w:rPr>
          <w:rFonts w:ascii="Times New Roman" w:hAnsi="Times New Roman" w:eastAsia="仿宋_GB2312"/>
          <w:sz w:val="32"/>
          <w:szCs w:val="22"/>
        </w:rPr>
        <w:t>km</w:t>
      </w:r>
      <w:r>
        <w:rPr>
          <w:rFonts w:ascii="Times New Roman" w:hAnsi="Times New Roman" w:eastAsia="仿宋_GB2312"/>
          <w:sz w:val="32"/>
          <w:szCs w:val="22"/>
          <w:vertAlign w:val="superscript"/>
        </w:rPr>
        <w:t>2</w:t>
      </w:r>
      <w:r>
        <w:rPr>
          <w:rFonts w:ascii="Times New Roman" w:hAnsi="Times New Roman" w:eastAsia="仿宋_GB2312"/>
          <w:sz w:val="32"/>
          <w:szCs w:val="22"/>
        </w:rPr>
        <w:t>，下辖崖州区、天涯区、吉阳区、海棠区，单独设立三亚市育才生态区管理委员会。海岸线长度26</w:t>
      </w:r>
      <w:r>
        <w:rPr>
          <w:rFonts w:hint="eastAsia" w:ascii="Times New Roman" w:hAnsi="Times New Roman" w:eastAsia="仿宋_GB2312"/>
          <w:sz w:val="32"/>
          <w:szCs w:val="22"/>
        </w:rPr>
        <w:t>4</w:t>
      </w:r>
      <w:r>
        <w:rPr>
          <w:rFonts w:ascii="Times New Roman" w:hAnsi="Times New Roman" w:eastAsia="仿宋_GB2312"/>
          <w:sz w:val="32"/>
          <w:szCs w:val="22"/>
        </w:rPr>
        <w:t>.</w:t>
      </w:r>
      <w:r>
        <w:rPr>
          <w:rFonts w:hint="eastAsia" w:ascii="Times New Roman" w:hAnsi="Times New Roman" w:eastAsia="仿宋_GB2312"/>
          <w:sz w:val="32"/>
          <w:szCs w:val="22"/>
        </w:rPr>
        <w:t>42</w:t>
      </w:r>
      <w:r>
        <w:rPr>
          <w:rFonts w:ascii="Times New Roman" w:hAnsi="Times New Roman" w:eastAsia="仿宋_GB2312"/>
          <w:sz w:val="32"/>
          <w:szCs w:val="22"/>
        </w:rPr>
        <w:t>km，大小港湾个数19个，主要岛屿68个。主要港口有三亚港、榆林港、南山港、铁炉港、六道港等，主要海湾有三亚湾、海棠湾、亚龙湾、崖州湾、大东海湾、月亮湾等，面积较大的有西瑁洲岛</w:t>
      </w:r>
      <w:r>
        <w:rPr>
          <w:rFonts w:hint="eastAsia" w:ascii="Times New Roman" w:hAnsi="Times New Roman" w:eastAsia="仿宋_GB2312"/>
          <w:sz w:val="32"/>
          <w:szCs w:val="22"/>
        </w:rPr>
        <w:t>2.68</w:t>
      </w:r>
      <w:r>
        <w:rPr>
          <w:rFonts w:ascii="Times New Roman" w:hAnsi="Times New Roman" w:eastAsia="仿宋_GB2312"/>
          <w:sz w:val="32"/>
          <w:szCs w:val="22"/>
        </w:rPr>
        <w:t>km</w:t>
      </w:r>
      <w:r>
        <w:rPr>
          <w:rFonts w:ascii="Times New Roman" w:hAnsi="Times New Roman" w:eastAsia="仿宋_GB2312"/>
          <w:sz w:val="32"/>
          <w:szCs w:val="22"/>
          <w:vertAlign w:val="superscript"/>
        </w:rPr>
        <w:t>2</w:t>
      </w:r>
      <w:r>
        <w:rPr>
          <w:rFonts w:ascii="Times New Roman" w:hAnsi="Times New Roman" w:eastAsia="仿宋_GB2312"/>
          <w:sz w:val="32"/>
          <w:szCs w:val="22"/>
        </w:rPr>
        <w:t>，蜈支洲岛1.</w:t>
      </w:r>
      <w:r>
        <w:rPr>
          <w:rFonts w:hint="eastAsia" w:ascii="Times New Roman" w:hAnsi="Times New Roman" w:eastAsia="仿宋_GB2312"/>
          <w:sz w:val="32"/>
          <w:szCs w:val="22"/>
        </w:rPr>
        <w:t>48</w:t>
      </w:r>
      <w:r>
        <w:rPr>
          <w:rFonts w:ascii="Times New Roman" w:hAnsi="Times New Roman" w:eastAsia="仿宋_GB2312"/>
          <w:sz w:val="32"/>
          <w:szCs w:val="22"/>
        </w:rPr>
        <w:t>km</w:t>
      </w:r>
      <w:r>
        <w:rPr>
          <w:rFonts w:ascii="Times New Roman" w:hAnsi="Times New Roman" w:eastAsia="仿宋_GB2312"/>
          <w:sz w:val="32"/>
          <w:szCs w:val="22"/>
          <w:vertAlign w:val="superscript"/>
        </w:rPr>
        <w:t>2</w:t>
      </w:r>
      <w:r>
        <w:rPr>
          <w:rFonts w:ascii="Times New Roman" w:hAnsi="Times New Roman" w:eastAsia="仿宋_GB2312"/>
          <w:sz w:val="32"/>
          <w:szCs w:val="22"/>
        </w:rPr>
        <w:t>。</w:t>
      </w:r>
    </w:p>
    <w:p>
      <w:pPr>
        <w:spacing w:after="0" w:line="578" w:lineRule="exact"/>
        <w:jc w:val="center"/>
        <w:rPr>
          <w:rFonts w:ascii="Times New Roman" w:hAnsi="Times New Roman" w:eastAsia="黑体"/>
          <w:sz w:val="24"/>
          <w:szCs w:val="21"/>
        </w:rPr>
      </w:pPr>
      <w:r>
        <w:rPr>
          <w:rFonts w:ascii="Times New Roman" w:hAnsi="Times New Roman" w:eastAsia="黑体"/>
          <w:sz w:val="24"/>
          <w:szCs w:val="21"/>
        </w:rPr>
        <w:drawing>
          <wp:anchor distT="0" distB="0" distL="114300" distR="114300" simplePos="0" relativeHeight="251661312" behindDoc="0" locked="0" layoutInCell="1" allowOverlap="1">
            <wp:simplePos x="0" y="0"/>
            <wp:positionH relativeFrom="column">
              <wp:posOffset>20320</wp:posOffset>
            </wp:positionH>
            <wp:positionV relativeFrom="paragraph">
              <wp:posOffset>0</wp:posOffset>
            </wp:positionV>
            <wp:extent cx="5615940" cy="3159125"/>
            <wp:effectExtent l="0" t="0" r="3810" b="3810"/>
            <wp:wrapSquare wrapText="bothSides"/>
            <wp:docPr id="71152943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1529433" name="图片 2"/>
                    <pic:cNvPicPr>
                      <a:picLocks noChangeAspect="true" noChangeArrowheads="true"/>
                    </pic:cNvPicPr>
                  </pic:nvPicPr>
                  <pic:blipFill>
                    <a:blip r:embed="rId18">
                      <a:extLst>
                        <a:ext uri="{28A0092B-C50C-407E-A947-70E740481C1C}">
                          <a14:useLocalDpi xmlns:a14="http://schemas.microsoft.com/office/drawing/2010/main" val="false"/>
                        </a:ext>
                      </a:extLst>
                    </a:blip>
                    <a:srcRect/>
                    <a:stretch>
                      <a:fillRect/>
                    </a:stretch>
                  </pic:blipFill>
                  <pic:spPr>
                    <a:xfrm>
                      <a:off x="0" y="0"/>
                      <a:ext cx="5615940" cy="3159044"/>
                    </a:xfrm>
                    <a:prstGeom prst="rect">
                      <a:avLst/>
                    </a:prstGeom>
                    <a:noFill/>
                    <a:ln>
                      <a:noFill/>
                    </a:ln>
                  </pic:spPr>
                </pic:pic>
              </a:graphicData>
            </a:graphic>
          </wp:anchor>
        </w:drawing>
      </w:r>
      <w:r>
        <w:rPr>
          <w:rFonts w:ascii="Times New Roman" w:hAnsi="Times New Roman" w:eastAsia="黑体"/>
          <w:sz w:val="24"/>
          <w:szCs w:val="21"/>
        </w:rPr>
        <w:t>图1.1 三亚市区位图</w:t>
      </w:r>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新认定省级特色产业小镇7个。城市建成区绿地面积2173.57公顷，绿地率38.1%，建成区绿化覆盖率42.3%，造林面积146公顷。</w:t>
      </w:r>
    </w:p>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3" w:name="_Toc1085669801"/>
      <w:r>
        <w:rPr>
          <w:rFonts w:hint="eastAsia" w:ascii="楷体_GB2312" w:hAnsi="楷体_GB2312" w:eastAsia="楷体_GB2312" w:cs="楷体_GB2312"/>
          <w:sz w:val="32"/>
          <w:szCs w:val="30"/>
        </w:rPr>
        <w:t>水资源状况</w:t>
      </w:r>
      <w:bookmarkEnd w:id="3"/>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三亚市多年平均年降水量29.</w:t>
      </w:r>
      <w:r>
        <w:rPr>
          <w:rFonts w:ascii="Times New Roman" w:hAnsi="Times New Roman" w:eastAsia="仿宋_GB2312"/>
          <w:sz w:val="32"/>
          <w:szCs w:val="22"/>
        </w:rPr>
        <w:t>9</w:t>
      </w:r>
      <w:r>
        <w:rPr>
          <w:rFonts w:hint="eastAsia" w:ascii="Times New Roman" w:hAnsi="Times New Roman" w:eastAsia="仿宋_GB2312"/>
          <w:sz w:val="32"/>
          <w:szCs w:val="22"/>
        </w:rPr>
        <w:t>亿m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（折合降水深1556.</w:t>
      </w:r>
      <w:r>
        <w:rPr>
          <w:rFonts w:ascii="Times New Roman" w:hAnsi="Times New Roman" w:eastAsia="仿宋_GB2312"/>
          <w:sz w:val="32"/>
          <w:szCs w:val="22"/>
        </w:rPr>
        <w:t>4</w:t>
      </w:r>
      <w:r>
        <w:rPr>
          <w:rFonts w:hint="eastAsia" w:ascii="Times New Roman" w:hAnsi="Times New Roman" w:eastAsia="仿宋_GB2312"/>
          <w:sz w:val="32"/>
          <w:szCs w:val="22"/>
        </w:rPr>
        <w:t>mm），多年平均降水量空间分布总体呈现山区大于平原，北多南少，东多西少的特征，水资源总量为14.38亿m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w:t>
      </w:r>
    </w:p>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4" w:name="_Toc1543706653"/>
      <w:r>
        <w:rPr>
          <w:rFonts w:hint="eastAsia" w:ascii="楷体_GB2312" w:hAnsi="楷体_GB2312" w:eastAsia="楷体_GB2312" w:cs="楷体_GB2312"/>
          <w:sz w:val="32"/>
          <w:szCs w:val="30"/>
        </w:rPr>
        <w:t>水资源开发利用</w:t>
      </w:r>
      <w:bookmarkEnd w:id="4"/>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三亚市共有水库9</w:t>
      </w:r>
      <w:r>
        <w:rPr>
          <w:rFonts w:hint="eastAsia" w:ascii="Times New Roman" w:hAnsi="Times New Roman" w:eastAsia="仿宋_GB2312"/>
          <w:sz w:val="32"/>
          <w:szCs w:val="22"/>
        </w:rPr>
        <w:t>1</w:t>
      </w:r>
      <w:r>
        <w:rPr>
          <w:rFonts w:ascii="Times New Roman" w:hAnsi="Times New Roman" w:eastAsia="仿宋_GB2312"/>
          <w:sz w:val="32"/>
          <w:szCs w:val="22"/>
        </w:rPr>
        <w:t>座，按水库等级划分：大（2）型水库1座、中型水库6座、小（1）型水库</w:t>
      </w:r>
      <w:r>
        <w:rPr>
          <w:rFonts w:hint="eastAsia" w:ascii="Times New Roman" w:hAnsi="Times New Roman" w:eastAsia="仿宋_GB2312"/>
          <w:sz w:val="32"/>
          <w:szCs w:val="22"/>
        </w:rPr>
        <w:t>26</w:t>
      </w:r>
      <w:r>
        <w:rPr>
          <w:rFonts w:ascii="Times New Roman" w:hAnsi="Times New Roman" w:eastAsia="仿宋_GB2312"/>
          <w:sz w:val="32"/>
          <w:szCs w:val="22"/>
        </w:rPr>
        <w:t>座、小（2）型水库</w:t>
      </w:r>
      <w:r>
        <w:rPr>
          <w:rFonts w:hint="eastAsia" w:ascii="Times New Roman" w:hAnsi="Times New Roman" w:eastAsia="仿宋_GB2312"/>
          <w:sz w:val="32"/>
          <w:szCs w:val="22"/>
        </w:rPr>
        <w:t>58</w:t>
      </w:r>
      <w:r>
        <w:rPr>
          <w:rFonts w:ascii="Times New Roman" w:hAnsi="Times New Roman" w:eastAsia="仿宋_GB2312"/>
          <w:sz w:val="32"/>
          <w:szCs w:val="22"/>
        </w:rPr>
        <w:t>座；</w:t>
      </w:r>
      <w:r>
        <w:rPr>
          <w:rFonts w:hint="eastAsia" w:ascii="Times New Roman" w:hAnsi="Times New Roman" w:eastAsia="仿宋_GB2312"/>
          <w:sz w:val="32"/>
          <w:szCs w:val="22"/>
        </w:rPr>
        <w:t>按行政区划分：海棠区15座、吉阳区17座、天涯区27座、崖州区13座、育才生态区19座。91</w:t>
      </w:r>
      <w:r>
        <w:rPr>
          <w:rFonts w:ascii="Times New Roman" w:hAnsi="Times New Roman" w:eastAsia="仿宋_GB2312"/>
          <w:sz w:val="32"/>
          <w:szCs w:val="22"/>
        </w:rPr>
        <w:t>座水库</w:t>
      </w:r>
      <w:r>
        <w:rPr>
          <w:rFonts w:hint="eastAsia" w:ascii="Times New Roman" w:hAnsi="Times New Roman" w:eastAsia="仿宋_GB2312"/>
          <w:sz w:val="32"/>
          <w:szCs w:val="22"/>
        </w:rPr>
        <w:t>（含大中型水库）</w:t>
      </w:r>
      <w:r>
        <w:rPr>
          <w:rFonts w:ascii="Times New Roman" w:hAnsi="Times New Roman" w:eastAsia="仿宋_GB2312"/>
          <w:sz w:val="32"/>
          <w:szCs w:val="22"/>
        </w:rPr>
        <w:t>总库容7.3亿m</w:t>
      </w:r>
      <w:r>
        <w:rPr>
          <w:rFonts w:ascii="Times New Roman" w:hAnsi="Times New Roman" w:eastAsia="仿宋_GB2312"/>
          <w:sz w:val="32"/>
          <w:szCs w:val="22"/>
          <w:vertAlign w:val="superscript"/>
        </w:rPr>
        <w:t>3</w:t>
      </w:r>
      <w:r>
        <w:rPr>
          <w:rFonts w:ascii="Times New Roman" w:hAnsi="Times New Roman" w:eastAsia="仿宋_GB2312"/>
          <w:sz w:val="32"/>
          <w:szCs w:val="22"/>
        </w:rPr>
        <w:t>，总</w:t>
      </w:r>
      <w:r>
        <w:rPr>
          <w:rFonts w:hint="eastAsia" w:ascii="Times New Roman" w:hAnsi="Times New Roman" w:eastAsia="仿宋_GB2312"/>
          <w:sz w:val="32"/>
          <w:szCs w:val="22"/>
        </w:rPr>
        <w:t>防洪库容</w:t>
      </w:r>
      <w:r>
        <w:rPr>
          <w:rFonts w:ascii="Times New Roman" w:hAnsi="Times New Roman" w:eastAsia="仿宋_GB2312"/>
          <w:sz w:val="32"/>
          <w:szCs w:val="22"/>
        </w:rPr>
        <w:t>1.48亿m</w:t>
      </w:r>
      <w:r>
        <w:rPr>
          <w:rFonts w:ascii="Times New Roman" w:hAnsi="Times New Roman" w:eastAsia="仿宋_GB2312"/>
          <w:sz w:val="32"/>
          <w:szCs w:val="22"/>
          <w:vertAlign w:val="superscript"/>
        </w:rPr>
        <w:t>3</w:t>
      </w:r>
      <w:r>
        <w:rPr>
          <w:rFonts w:hint="eastAsia" w:ascii="Times New Roman" w:hAnsi="Times New Roman" w:eastAsia="仿宋_GB2312"/>
          <w:sz w:val="32"/>
          <w:szCs w:val="22"/>
        </w:rPr>
        <w:t>，</w:t>
      </w:r>
      <w:r>
        <w:rPr>
          <w:rFonts w:ascii="Times New Roman" w:hAnsi="Times New Roman" w:eastAsia="仿宋_GB2312"/>
          <w:sz w:val="32"/>
          <w:szCs w:val="22"/>
        </w:rPr>
        <w:t>总兴利库容5.</w:t>
      </w:r>
      <w:r>
        <w:rPr>
          <w:rFonts w:hint="eastAsia" w:ascii="Times New Roman" w:hAnsi="Times New Roman" w:eastAsia="仿宋_GB2312"/>
          <w:sz w:val="32"/>
          <w:szCs w:val="22"/>
        </w:rPr>
        <w:t>1</w:t>
      </w:r>
      <w:r>
        <w:rPr>
          <w:rFonts w:ascii="Times New Roman" w:hAnsi="Times New Roman" w:eastAsia="仿宋_GB2312"/>
          <w:sz w:val="32"/>
          <w:szCs w:val="22"/>
        </w:rPr>
        <w:t>亿m</w:t>
      </w:r>
      <w:r>
        <w:rPr>
          <w:rFonts w:ascii="Times New Roman" w:hAnsi="Times New Roman" w:eastAsia="仿宋_GB2312"/>
          <w:sz w:val="32"/>
          <w:szCs w:val="22"/>
          <w:vertAlign w:val="superscript"/>
        </w:rPr>
        <w:t>3</w:t>
      </w:r>
      <w:r>
        <w:rPr>
          <w:rFonts w:ascii="Times New Roman" w:hAnsi="Times New Roman" w:eastAsia="仿宋_GB2312"/>
          <w:sz w:val="32"/>
          <w:szCs w:val="22"/>
        </w:rPr>
        <w:t>。除水库外，三亚市用于农业灌溉的规模山塘共有41座，分布在各区</w:t>
      </w:r>
      <w:r>
        <w:rPr>
          <w:rFonts w:hint="eastAsia" w:ascii="Times New Roman" w:hAnsi="Times New Roman" w:eastAsia="仿宋_GB2312"/>
          <w:sz w:val="32"/>
          <w:szCs w:val="22"/>
        </w:rPr>
        <w:t>（育才生态区）</w:t>
      </w:r>
      <w:r>
        <w:rPr>
          <w:rFonts w:ascii="Times New Roman" w:hAnsi="Times New Roman" w:eastAsia="仿宋_GB2312"/>
          <w:sz w:val="32"/>
          <w:szCs w:val="22"/>
        </w:rPr>
        <w:t>的山塘24座，农场山塘17座。山塘总库容200万余m</w:t>
      </w:r>
      <w:r>
        <w:rPr>
          <w:rFonts w:ascii="Times New Roman" w:hAnsi="Times New Roman" w:eastAsia="仿宋_GB2312"/>
          <w:sz w:val="32"/>
          <w:szCs w:val="22"/>
          <w:vertAlign w:val="superscript"/>
        </w:rPr>
        <w:t>3</w:t>
      </w:r>
      <w:r>
        <w:rPr>
          <w:rFonts w:ascii="Times New Roman" w:hAnsi="Times New Roman" w:eastAsia="仿宋_GB2312"/>
          <w:sz w:val="32"/>
          <w:szCs w:val="22"/>
        </w:rPr>
        <w:t>，灌溉面积2600余亩，是三亚市山区耕地灌溉水源的有力补充。</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2025年，三亚市全市总供水量</w:t>
      </w:r>
      <w:r>
        <w:rPr>
          <w:rFonts w:ascii="Times New Roman" w:hAnsi="Times New Roman" w:eastAsia="仿宋_GB2312"/>
          <w:sz w:val="32"/>
          <w:szCs w:val="22"/>
        </w:rPr>
        <w:t>35202</w:t>
      </w:r>
      <w:r>
        <w:rPr>
          <w:rFonts w:hint="eastAsia" w:ascii="Times New Roman" w:hAnsi="Times New Roman" w:eastAsia="仿宋_GB2312"/>
          <w:sz w:val="32"/>
          <w:szCs w:val="22"/>
        </w:rPr>
        <w:t>万m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，占当年水资源总量16.73%，其中地表水源占87.16%、地下水源占0.10%、其他水源（非常规水源）占12.74%。</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2025年，三亚市全市用水总量</w:t>
      </w:r>
      <w:r>
        <w:rPr>
          <w:rFonts w:ascii="Times New Roman" w:hAnsi="Times New Roman" w:eastAsia="仿宋_GB2312"/>
          <w:sz w:val="32"/>
          <w:szCs w:val="22"/>
        </w:rPr>
        <w:t>35202</w:t>
      </w:r>
      <w:r>
        <w:rPr>
          <w:rFonts w:hint="eastAsia" w:ascii="Times New Roman" w:hAnsi="Times New Roman" w:eastAsia="仿宋_GB2312"/>
          <w:sz w:val="32"/>
          <w:szCs w:val="22"/>
        </w:rPr>
        <w:t>万m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，其中生活用水占54.1%，工业用水占1.4%，农业用水占30.9%，生态环境补水占13.6%。</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2025年，三亚市人均水资源量</w:t>
      </w:r>
      <w:r>
        <w:rPr>
          <w:rFonts w:ascii="Times New Roman" w:hAnsi="Times New Roman" w:eastAsia="仿宋_GB2312"/>
          <w:sz w:val="32"/>
          <w:szCs w:val="22"/>
        </w:rPr>
        <w:t>1852.1</w:t>
      </w:r>
      <w:r>
        <w:rPr>
          <w:rFonts w:hint="eastAsia" w:ascii="Times New Roman" w:hAnsi="Times New Roman" w:eastAsia="仿宋_GB2312"/>
          <w:sz w:val="32"/>
          <w:szCs w:val="22"/>
        </w:rPr>
        <w:t>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；万元GDP用水量34.05m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；万元工业增加值用水量9.99m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；农田灌溉水有效利用系数为0.627；居民生活人均用水量267.1L/人·d。</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2025年，三亚市城镇（含居民生活、三产、工业、建筑业）污水排放总量</w:t>
      </w:r>
      <w:r>
        <w:rPr>
          <w:rFonts w:ascii="Times New Roman" w:hAnsi="Times New Roman" w:eastAsia="仿宋_GB2312"/>
          <w:sz w:val="32"/>
          <w:szCs w:val="22"/>
        </w:rPr>
        <w:t>14892.94</w:t>
      </w:r>
      <w:r>
        <w:rPr>
          <w:rFonts w:hint="eastAsia" w:ascii="Times New Roman" w:hAnsi="Times New Roman" w:eastAsia="仿宋_GB2312"/>
          <w:sz w:val="32"/>
          <w:szCs w:val="22"/>
        </w:rPr>
        <w:t>万m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w:t>
      </w:r>
    </w:p>
    <w:p>
      <w:pPr>
        <w:spacing w:after="0" w:line="578" w:lineRule="exact"/>
        <w:ind w:firstLine="640"/>
        <w:sectPr>
          <w:footerReference r:id="rId14" w:type="default"/>
          <w:pgSz w:w="11906" w:h="16838"/>
          <w:pgMar w:top="2098" w:right="1474" w:bottom="1985" w:left="1588" w:header="851" w:footer="1417" w:gutter="0"/>
          <w:pgNumType w:start="1"/>
          <w:cols w:space="425" w:num="1"/>
          <w:docGrid w:type="lines" w:linePitch="435" w:charSpace="0"/>
        </w:sectPr>
      </w:pPr>
    </w:p>
    <w:p>
      <w:pPr>
        <w:numPr>
          <w:ilvl w:val="0"/>
          <w:numId w:val="1"/>
        </w:numPr>
        <w:spacing w:after="0" w:line="578" w:lineRule="exact"/>
        <w:ind w:left="0" w:firstLine="640" w:firstLineChars="200"/>
        <w:outlineLvl w:val="0"/>
        <w:rPr>
          <w:rFonts w:ascii="Times New Roman" w:hAnsi="Times New Roman" w:eastAsia="黑体"/>
          <w:sz w:val="32"/>
          <w:szCs w:val="32"/>
        </w:rPr>
      </w:pPr>
      <w:bookmarkStart w:id="5" w:name="_Toc692141536"/>
      <w:bookmarkStart w:id="6" w:name="_Toc209790011"/>
      <w:r>
        <w:rPr>
          <w:rFonts w:hint="eastAsia" w:ascii="Times New Roman" w:hAnsi="Times New Roman" w:eastAsia="黑体"/>
          <w:sz w:val="32"/>
          <w:szCs w:val="32"/>
        </w:rPr>
        <w:t>“十四五”水务发展成效</w:t>
      </w:r>
      <w:bookmarkEnd w:id="5"/>
      <w:bookmarkEnd w:id="6"/>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三亚市紧密围绕自由贸易港建设和高质量发展要求，通过巩固城乡供水安全体系、推进节水型城市建设、补齐防洪减灾工程短板、实施灌区续建配套与现代化改造、强化水资源保护与水生态修复，持续提升水安全保障能力与服务水平。</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7" w:name="_Toc1418761981"/>
      <w:r>
        <w:rPr>
          <w:rFonts w:hint="eastAsia" w:ascii="楷体_GB2312" w:hAnsi="楷体_GB2312" w:eastAsia="楷体_GB2312" w:cs="楷体_GB2312"/>
          <w:sz w:val="32"/>
          <w:szCs w:val="30"/>
        </w:rPr>
        <w:t>防洪减灾能力显著提升</w:t>
      </w:r>
      <w:bookmarkEnd w:id="7"/>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三亚市水务局以习近平总书记关于防洪减灾的系列重要讲话和指示批示精神为指导，积极构建三亚市防洪减灾体系。成功防御“蝴蝶”“潭美”“摩羯”等21个直接或间接影响三亚市的台风和热带风暴，有力保证各水利设施度汛安全，保障人民生命财产安全。逐步实施宁远河、三亚西河、藤桥西河、大茅水等综合治理工程，累计治理河长24.75km，使沿河重要城镇防洪标准达到10</w:t>
      </w:r>
      <w:r>
        <w:rPr>
          <w:rFonts w:hint="eastAsia" w:ascii="仿宋_GB2312" w:hAnsi="仿宋_GB2312" w:eastAsia="仿宋_GB2312" w:cs="仿宋_GB2312"/>
          <w:sz w:val="32"/>
          <w:szCs w:val="22"/>
        </w:rPr>
        <w:t>—</w:t>
      </w:r>
      <w:r>
        <w:rPr>
          <w:rFonts w:hint="eastAsia" w:ascii="Times New Roman" w:hAnsi="Times New Roman" w:eastAsia="仿宋_GB2312"/>
          <w:sz w:val="32"/>
          <w:szCs w:val="22"/>
        </w:rPr>
        <w:t>50年一遇。全市84宗小型水库完成通坝公路、通信设施、视频监控、雨水情测报系统及管理房等配套建设，完善预警预报体系，为防汛指挥部门提供实时、可视化决策条件，科学、高效调配应急资源。率先启动大隆、抱古、三陵水库现代化水库管理矩阵试点工作，提升水库运行管理水平，确保水库安全运行和效益充分发挥。利用中央、省级水利资金及市级预算资金，实施水库维修工程，解决水库度汛隐患问题，持续结合防汛工作加强水库维修，确保小隐患早处置、早消除。</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8" w:name="_Toc1295596646"/>
      <w:r>
        <w:rPr>
          <w:rFonts w:hint="eastAsia" w:ascii="楷体_GB2312" w:hAnsi="楷体_GB2312" w:eastAsia="楷体_GB2312" w:cs="楷体_GB2312"/>
          <w:sz w:val="32"/>
          <w:szCs w:val="30"/>
        </w:rPr>
        <w:t>节水型社会建设有序推进</w:t>
      </w:r>
      <w:bookmarkEnd w:id="8"/>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三亚市全面落实《国家节水行动方案》和《海南省节水行动实施方案》，2021年出台《三亚市城市节约用水规划》，2024年出台《三亚市建设项目节水设施管理办法》《三亚市城乡供水和节约用水管理办法》。通过强化制度机制，城市用水效率和精细化管理水平显著提升，节水制度体系不断健全。推进农业水价综合改革，累计完成13.74万亩面积改革任务，实现耕地灌溉面积范围内改革全覆盖，相关经验入选水利部农业水价综合改革典型案例。节水型社会建设成效显著，2021年三亚市被省水务厅授予“省级节水型城市”称号，2023年三亚市成功申报国家节水型城市。</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9" w:name="_Toc733678238"/>
      <w:r>
        <w:rPr>
          <w:rFonts w:hint="eastAsia" w:ascii="楷体_GB2312" w:hAnsi="楷体_GB2312" w:eastAsia="楷体_GB2312" w:cs="楷体_GB2312"/>
          <w:sz w:val="32"/>
          <w:szCs w:val="30"/>
        </w:rPr>
        <w:t>城乡供水保障能力持续提高</w:t>
      </w:r>
      <w:bookmarkEnd w:id="9"/>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完成建成中部水厂工程一期建设，新增供水能力5万吨/日（土建规模20万吨/日），全市供水能力达到68.2万吨/天，供水余量由5%提高至12%。印发《三亚市二次供水技术导则》《三亚市城市二次供水管理办法》，同步推进二次供水设施节能改造及管理机制改革，对951个住宅小区供水系统完成摸查评估，饮用水质量及安全保障能力显著提升；积极落实水利部加快推动农村供水高质量发展的意见，在全省率先打通城乡供水管网“最后一公里”，实现城乡供水服务同网、同质、同价、同服务，完成农村集中供水管网延伸工程72项，新敷设农村输配水管网累计超580km，新建及改造供水厂站14处，新增农村管网压力调节设备与计量点106个，规模化供水工程服务农村人口比例达到100%。</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10" w:name="_Toc424571111"/>
      <w:r>
        <w:rPr>
          <w:rFonts w:hint="eastAsia" w:ascii="楷体_GB2312" w:hAnsi="楷体_GB2312" w:eastAsia="楷体_GB2312" w:cs="楷体_GB2312"/>
          <w:sz w:val="32"/>
          <w:szCs w:val="30"/>
        </w:rPr>
        <w:t>水生态环境质量持续提升</w:t>
      </w:r>
      <w:bookmarkEnd w:id="10"/>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三亚市持续开展城镇生活污水处理设施建设及改造，新建、扩建人才城等5座水质净化厂，新增生活污水处理能力7.25万m³/d，全市水质净化厂累计达到17座，总处理能力47.25万m³/d，城镇生活污水处理率及污泥无害化处置率均达到100%，再生水利用率由23.56%提升至25%以上。加快提升农村生活污水处理水平，依托农村生活污水治理工程EPCO项目、美丽乡村项目配套等推动农村生活污水处理设施建设，全市农村生活污水治理率达到92.72%。稳步推动水土流失治理，全市水土流失面积由75.67平方公里减少为68.92平方公里，水土保持率由2020年的96.05%提高到2025年末的96.41%，2022年提前达到海南省拟定的2025年三亚市水土保持率96.20%的目标。有序推进小水电站清理整治，完成宁远河、藤桥河、三亚河3条河流生态流量保障实施方案编制，河湖生态系统的健康稳定得到进一步保障。</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11" w:name="_Toc1696250093"/>
      <w:r>
        <w:rPr>
          <w:rFonts w:hint="eastAsia" w:ascii="楷体_GB2312" w:hAnsi="楷体_GB2312" w:eastAsia="楷体_GB2312" w:cs="楷体_GB2312"/>
          <w:sz w:val="32"/>
          <w:szCs w:val="30"/>
        </w:rPr>
        <w:t>现代化灌区建设初见成效</w:t>
      </w:r>
      <w:bookmarkEnd w:id="11"/>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w:t>
      </w:r>
      <w:r>
        <w:rPr>
          <w:rFonts w:ascii="Times New Roman" w:hAnsi="Times New Roman" w:eastAsia="仿宋_GB2312"/>
          <w:sz w:val="32"/>
          <w:szCs w:val="22"/>
        </w:rPr>
        <w:t>三亚市重点推进灌区续建配套与节水改造工程</w:t>
      </w:r>
      <w:r>
        <w:rPr>
          <w:rFonts w:hint="eastAsia" w:ascii="Times New Roman" w:hAnsi="Times New Roman" w:eastAsia="仿宋_GB2312"/>
          <w:sz w:val="32"/>
          <w:szCs w:val="22"/>
        </w:rPr>
        <w:t>，完成牛腊干渠、沙牛坡干渠、那浩渠、北岭乌岸干渠等渠道清淤、护砌加固和结构性修复，完成赤田水库下游渠系改造衔接，灌区灌溉水源保障能力持续提升。</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12" w:name="_Toc577396836"/>
      <w:r>
        <w:rPr>
          <w:rFonts w:hint="eastAsia" w:ascii="楷体_GB2312" w:hAnsi="楷体_GB2312" w:eastAsia="楷体_GB2312" w:cs="楷体_GB2312"/>
          <w:sz w:val="32"/>
          <w:szCs w:val="30"/>
        </w:rPr>
        <w:t>水务治理能力体系加快健全</w:t>
      </w:r>
      <w:bookmarkEnd w:id="12"/>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三亚市坚持改革创新与法治建设并重，推动水务综合管理由“部门统管”向“流域统筹”、由“工程管理”向“制度引领”转型。水务管理体制持续优化，河湖长制管理成效显著，全市滚动更新15条市级河流“一河一策”方案编制，累计开展巡河4万余次，完成自查自纠“清五乱”问题113处，河湖长制工作考核连续5年获得优秀，三亚河、亚龙溪、龙江河等典型河流先后入选国家和省级“幸福河湖”“美丽河湖”示范名单。水务法治体系不断完善，先后出台并实施《三亚市河道管理条例》《三亚市三亚河保护管理规定》等政策文件；水务投资与项目机制创新取得突破，探索多元化资金组合和治理模式；持续深化水务领域改革创新，实施“四水合一”管理模式，将供水、污水、再生水等基础设施统一划转至市属国有企业管理，打破了部门壁垒，提高了管理效率和服务质量。2024年，三亚市水务局荣获“全国水利系统先进集体”称号。</w:t>
      </w:r>
    </w:p>
    <w:p>
      <w:pPr>
        <w:numPr>
          <w:ilvl w:val="0"/>
          <w:numId w:val="4"/>
        </w:numPr>
        <w:spacing w:after="0" w:line="578" w:lineRule="exact"/>
        <w:ind w:firstLine="640" w:firstLineChars="200"/>
        <w:outlineLvl w:val="1"/>
        <w:rPr>
          <w:rFonts w:ascii="楷体_GB2312" w:hAnsi="楷体_GB2312" w:eastAsia="楷体_GB2312" w:cs="楷体_GB2312"/>
          <w:sz w:val="32"/>
          <w:szCs w:val="30"/>
        </w:rPr>
      </w:pPr>
      <w:bookmarkStart w:id="13" w:name="_Toc470709996"/>
      <w:r>
        <w:rPr>
          <w:rFonts w:hint="eastAsia" w:ascii="楷体_GB2312" w:hAnsi="楷体_GB2312" w:eastAsia="楷体_GB2312" w:cs="楷体_GB2312"/>
          <w:sz w:val="32"/>
          <w:szCs w:val="30"/>
        </w:rPr>
        <w:t>水务信息化体系逐步完善</w:t>
      </w:r>
      <w:bookmarkEnd w:id="13"/>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截至“十四五”末期，三亚市新建和维修雨水情自动监测站点1</w:t>
      </w:r>
      <w:r>
        <w:rPr>
          <w:rFonts w:ascii="Times New Roman" w:hAnsi="Times New Roman" w:eastAsia="仿宋_GB2312"/>
          <w:sz w:val="32"/>
          <w:szCs w:val="22"/>
        </w:rPr>
        <w:t>6</w:t>
      </w:r>
      <w:r>
        <w:rPr>
          <w:rFonts w:hint="eastAsia" w:ascii="Times New Roman" w:hAnsi="Times New Roman" w:eastAsia="仿宋_GB2312"/>
          <w:sz w:val="32"/>
          <w:szCs w:val="22"/>
        </w:rPr>
        <w:t>5个，维护预警广播站点11</w:t>
      </w:r>
      <w:r>
        <w:rPr>
          <w:rFonts w:ascii="Times New Roman" w:hAnsi="Times New Roman" w:eastAsia="仿宋_GB2312"/>
          <w:sz w:val="32"/>
          <w:szCs w:val="22"/>
        </w:rPr>
        <w:t>1</w:t>
      </w:r>
      <w:r>
        <w:rPr>
          <w:rFonts w:hint="eastAsia" w:ascii="Times New Roman" w:hAnsi="Times New Roman" w:eastAsia="仿宋_GB2312"/>
          <w:sz w:val="32"/>
          <w:szCs w:val="22"/>
        </w:rPr>
        <w:t>个、视频监控站点117个，覆盖自然河湖与水网工程的监测网络已基本建成。联合中国水科院构建山洪预警系统，累计发布预警5841次山洪灾害预警，全面实现水旱灾害监测预警智能化升级。在宁远河等主要河流开展预警指标与安全泄量分析，以三亚河幸福河湖、智慧水务平台为契机，开展三亚河流域数字孪生项目建设，推动现代化水库运行管理矩阵试点建设。目前水务信息化网络与基础设施基本满足应用需求，已建成水务信息化管理平台、水雨情自动测报系统、汛期监测系统等20余个业务系统，服务于水旱灾害防御、水资源管理等业务模块。</w:t>
      </w:r>
    </w:p>
    <w:p>
      <w:pPr>
        <w:spacing w:after="0" w:line="578" w:lineRule="exact"/>
        <w:ind w:firstLine="640" w:firstLineChars="200"/>
        <w:rPr>
          <w:rFonts w:ascii="Times New Roman" w:hAnsi="Times New Roman" w:eastAsia="仿宋_GB2312"/>
          <w:sz w:val="32"/>
          <w:szCs w:val="22"/>
        </w:rPr>
      </w:pPr>
    </w:p>
    <w:p>
      <w:pPr>
        <w:spacing w:after="0" w:line="578" w:lineRule="exact"/>
        <w:ind w:firstLine="640"/>
        <w:sectPr>
          <w:pgSz w:w="11906" w:h="16838"/>
          <w:pgMar w:top="2098" w:right="1474" w:bottom="1985" w:left="1588" w:header="851" w:footer="1361" w:gutter="0"/>
          <w:cols w:space="425" w:num="1"/>
          <w:docGrid w:type="lines" w:linePitch="435" w:charSpace="0"/>
        </w:sectPr>
      </w:pPr>
    </w:p>
    <w:p>
      <w:pPr>
        <w:spacing w:after="0" w:line="578" w:lineRule="exact"/>
        <w:rPr>
          <w:rFonts w:ascii="Times New Roman" w:hAnsi="Times New Roman" w:eastAsia="黑体"/>
          <w:sz w:val="24"/>
          <w:szCs w:val="21"/>
        </w:rPr>
      </w:pPr>
      <w:r>
        <w:rPr>
          <w:rFonts w:ascii="Times New Roman" w:hAnsi="Times New Roman" w:eastAsia="黑体"/>
          <w:sz w:val="24"/>
          <w:szCs w:val="21"/>
        </w:rPr>
        <w:t>表</w:t>
      </w:r>
      <w:r>
        <w:rPr>
          <w:rFonts w:hint="eastAsia" w:ascii="Times New Roman" w:hAnsi="Times New Roman" w:eastAsia="黑体"/>
          <w:sz w:val="24"/>
          <w:szCs w:val="21"/>
        </w:rPr>
        <w:t>2-1</w:t>
      </w:r>
      <w:r>
        <w:rPr>
          <w:rFonts w:ascii="Times New Roman" w:hAnsi="Times New Roman" w:eastAsia="黑体"/>
          <w:sz w:val="24"/>
          <w:szCs w:val="21"/>
        </w:rPr>
        <w:t xml:space="preserve">                  </w:t>
      </w:r>
      <w:r>
        <w:rPr>
          <w:rFonts w:hint="eastAsia" w:ascii="Times New Roman" w:hAnsi="Times New Roman" w:eastAsia="黑体"/>
          <w:sz w:val="24"/>
          <w:szCs w:val="21"/>
        </w:rPr>
        <w:t>“</w:t>
      </w:r>
      <w:r>
        <w:rPr>
          <w:rFonts w:ascii="Times New Roman" w:hAnsi="Times New Roman" w:eastAsia="黑体"/>
          <w:sz w:val="24"/>
          <w:szCs w:val="21"/>
        </w:rPr>
        <w:t>十四五</w:t>
      </w:r>
      <w:r>
        <w:rPr>
          <w:rFonts w:hint="eastAsia" w:ascii="Times New Roman" w:hAnsi="Times New Roman" w:eastAsia="黑体"/>
          <w:sz w:val="24"/>
          <w:szCs w:val="21"/>
        </w:rPr>
        <w:t>”</w:t>
      </w:r>
      <w:r>
        <w:rPr>
          <w:rFonts w:ascii="Times New Roman" w:hAnsi="Times New Roman" w:eastAsia="黑体"/>
          <w:sz w:val="24"/>
          <w:szCs w:val="21"/>
        </w:rPr>
        <w:t>水务发展指标完成情况</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693"/>
        <w:gridCol w:w="2410"/>
        <w:gridCol w:w="1134"/>
        <w:gridCol w:w="992"/>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Merge w:val="restart"/>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序号</w:t>
            </w:r>
          </w:p>
        </w:tc>
        <w:tc>
          <w:tcPr>
            <w:tcW w:w="2693" w:type="dxa"/>
            <w:vMerge w:val="restart"/>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指标</w:t>
            </w:r>
          </w:p>
        </w:tc>
        <w:tc>
          <w:tcPr>
            <w:tcW w:w="2410" w:type="dxa"/>
            <w:vMerge w:val="restart"/>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规划</w:t>
            </w:r>
          </w:p>
          <w:p>
            <w:pPr>
              <w:spacing w:after="0" w:line="578" w:lineRule="exact"/>
              <w:jc w:val="center"/>
              <w:rPr>
                <w:rFonts w:ascii="Times New Roman" w:hAnsi="Times New Roman" w:eastAsia="仿宋_GB2312"/>
                <w:szCs w:val="21"/>
              </w:rPr>
            </w:pPr>
            <w:r>
              <w:rPr>
                <w:rFonts w:ascii="Times New Roman" w:hAnsi="Times New Roman" w:eastAsia="仿宋_GB2312"/>
                <w:szCs w:val="21"/>
              </w:rPr>
              <w:t>指标值</w:t>
            </w:r>
            <w:r>
              <w:rPr>
                <w:rFonts w:hint="eastAsia" w:ascii="Times New Roman" w:hAnsi="Times New Roman" w:eastAsia="仿宋_GB2312"/>
                <w:szCs w:val="21"/>
              </w:rPr>
              <w:t>*</w:t>
            </w:r>
          </w:p>
        </w:tc>
        <w:tc>
          <w:tcPr>
            <w:tcW w:w="2126" w:type="dxa"/>
            <w:gridSpan w:val="2"/>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实现情况</w:t>
            </w:r>
          </w:p>
        </w:tc>
        <w:tc>
          <w:tcPr>
            <w:tcW w:w="1127" w:type="dxa"/>
            <w:vMerge w:val="restart"/>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Merge w:val="continue"/>
            <w:vAlign w:val="center"/>
          </w:tcPr>
          <w:p>
            <w:pPr>
              <w:spacing w:after="0" w:line="578" w:lineRule="exact"/>
              <w:jc w:val="center"/>
              <w:rPr>
                <w:rFonts w:ascii="Times New Roman" w:hAnsi="Times New Roman" w:eastAsia="仿宋_GB2312"/>
                <w:szCs w:val="21"/>
              </w:rPr>
            </w:pPr>
          </w:p>
        </w:tc>
        <w:tc>
          <w:tcPr>
            <w:tcW w:w="2693" w:type="dxa"/>
            <w:vMerge w:val="continue"/>
            <w:vAlign w:val="center"/>
          </w:tcPr>
          <w:p>
            <w:pPr>
              <w:spacing w:after="0" w:line="578" w:lineRule="exact"/>
              <w:jc w:val="center"/>
              <w:rPr>
                <w:rFonts w:ascii="Times New Roman" w:hAnsi="Times New Roman" w:eastAsia="仿宋_GB2312"/>
                <w:szCs w:val="21"/>
              </w:rPr>
            </w:pPr>
          </w:p>
        </w:tc>
        <w:tc>
          <w:tcPr>
            <w:tcW w:w="2410" w:type="dxa"/>
            <w:vMerge w:val="continue"/>
            <w:vAlign w:val="center"/>
          </w:tcPr>
          <w:p>
            <w:pPr>
              <w:spacing w:after="0" w:line="578" w:lineRule="exact"/>
              <w:jc w:val="center"/>
              <w:rPr>
                <w:rFonts w:ascii="Times New Roman" w:hAnsi="Times New Roman" w:eastAsia="仿宋_GB2312"/>
                <w:szCs w:val="21"/>
              </w:rPr>
            </w:pP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指标值</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p>
            <w:pPr>
              <w:spacing w:after="0" w:line="578" w:lineRule="exact"/>
              <w:jc w:val="center"/>
              <w:rPr>
                <w:rFonts w:ascii="Times New Roman" w:hAnsi="Times New Roman" w:eastAsia="仿宋_GB2312"/>
                <w:szCs w:val="21"/>
              </w:rPr>
            </w:pPr>
            <w:r>
              <w:rPr>
                <w:rFonts w:ascii="Times New Roman" w:hAnsi="Times New Roman" w:eastAsia="仿宋_GB2312"/>
                <w:szCs w:val="21"/>
              </w:rPr>
              <w:t>情况</w:t>
            </w:r>
          </w:p>
        </w:tc>
        <w:tc>
          <w:tcPr>
            <w:tcW w:w="1127" w:type="dxa"/>
            <w:vMerge w:val="continue"/>
            <w:vAlign w:val="center"/>
          </w:tcPr>
          <w:p>
            <w:pPr>
              <w:spacing w:after="0" w:line="578" w:lineRule="exact"/>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用水总量控制</w:t>
            </w:r>
          </w:p>
          <w:p>
            <w:pPr>
              <w:spacing w:after="0" w:line="578" w:lineRule="exact"/>
              <w:jc w:val="center"/>
              <w:rPr>
                <w:rFonts w:ascii="Times New Roman" w:hAnsi="Times New Roman" w:eastAsia="仿宋_GB2312"/>
                <w:szCs w:val="21"/>
              </w:rPr>
            </w:pPr>
            <w:r>
              <w:rPr>
                <w:rFonts w:ascii="Times New Roman" w:hAnsi="Times New Roman" w:eastAsia="仿宋_GB2312"/>
                <w:szCs w:val="21"/>
              </w:rPr>
              <w:t>（亿立方米）</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4.007</w:t>
            </w:r>
          </w:p>
        </w:tc>
        <w:tc>
          <w:tcPr>
            <w:tcW w:w="1134" w:type="dxa"/>
            <w:vAlign w:val="center"/>
          </w:tcPr>
          <w:p>
            <w:pPr>
              <w:spacing w:after="0" w:line="578" w:lineRule="exact"/>
              <w:jc w:val="center"/>
              <w:rPr>
                <w:rFonts w:ascii="Times New Roman" w:hAnsi="Times New Roman" w:eastAsia="仿宋_GB2312"/>
                <w:szCs w:val="21"/>
              </w:rPr>
            </w:pPr>
            <w:bookmarkStart w:id="14" w:name="OLE_LINK2"/>
            <w:r>
              <w:rPr>
                <w:rFonts w:ascii="Times New Roman" w:hAnsi="Times New Roman" w:eastAsia="仿宋_GB2312"/>
                <w:szCs w:val="21"/>
              </w:rPr>
              <w:t>3.0718</w:t>
            </w:r>
            <w:bookmarkEnd w:id="14"/>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2</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万元国内生产总值用水量下降（%）</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16.6</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26.3</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3</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万元工业增加值用水量下降率（%）</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15.7</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40.7</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4</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农田灌溉水有效利用系数</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0.626</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0.627</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5</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防洪标准</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重点区域100年一遇</w:t>
            </w:r>
          </w:p>
          <w:p>
            <w:pPr>
              <w:spacing w:after="0" w:line="578" w:lineRule="exact"/>
              <w:jc w:val="center"/>
              <w:rPr>
                <w:rFonts w:ascii="Times New Roman" w:hAnsi="Times New Roman" w:eastAsia="仿宋_GB2312"/>
                <w:szCs w:val="21"/>
              </w:rPr>
            </w:pPr>
            <w:r>
              <w:rPr>
                <w:rFonts w:ascii="Times New Roman" w:hAnsi="Times New Roman" w:eastAsia="仿宋_GB2312"/>
                <w:szCs w:val="21"/>
              </w:rPr>
              <w:t>主要城镇20-50年一遇</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重点区域20-50</w:t>
            </w:r>
          </w:p>
          <w:p>
            <w:pPr>
              <w:spacing w:after="0" w:line="578" w:lineRule="exact"/>
              <w:jc w:val="center"/>
              <w:rPr>
                <w:rFonts w:ascii="Times New Roman" w:hAnsi="Times New Roman" w:eastAsia="仿宋_GB2312"/>
                <w:szCs w:val="21"/>
              </w:rPr>
            </w:pPr>
            <w:r>
              <w:rPr>
                <w:rFonts w:ascii="Times New Roman" w:hAnsi="Times New Roman" w:eastAsia="仿宋_GB2312"/>
                <w:szCs w:val="21"/>
              </w:rPr>
              <w:t>年一遇</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部分</w:t>
            </w:r>
          </w:p>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6</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新增年供水能力</w:t>
            </w:r>
          </w:p>
          <w:p>
            <w:pPr>
              <w:spacing w:after="0" w:line="578" w:lineRule="exact"/>
              <w:jc w:val="center"/>
              <w:rPr>
                <w:rFonts w:ascii="Times New Roman" w:hAnsi="Times New Roman" w:eastAsia="仿宋_GB2312"/>
                <w:szCs w:val="21"/>
              </w:rPr>
            </w:pPr>
            <w:r>
              <w:rPr>
                <w:rFonts w:ascii="Times New Roman" w:hAnsi="Times New Roman" w:eastAsia="仿宋_GB2312"/>
                <w:szCs w:val="21"/>
              </w:rPr>
              <w:t>（亿立方米）</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[0.25]</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[0.18]</w:t>
            </w:r>
          </w:p>
        </w:tc>
        <w:tc>
          <w:tcPr>
            <w:tcW w:w="992" w:type="dxa"/>
            <w:vAlign w:val="center"/>
          </w:tcPr>
          <w:p>
            <w:pPr>
              <w:spacing w:after="0" w:line="578" w:lineRule="exact"/>
              <w:jc w:val="center"/>
              <w:rPr>
                <w:rFonts w:ascii="Times New Roman" w:hAnsi="Times New Roman" w:eastAsia="仿宋_GB2312"/>
                <w:szCs w:val="21"/>
              </w:rPr>
            </w:pPr>
            <w:r>
              <w:rPr>
                <w:rFonts w:hint="eastAsia" w:ascii="Times New Roman" w:hAnsi="Times New Roman" w:eastAsia="仿宋_GB2312"/>
                <w:szCs w:val="21"/>
              </w:rPr>
              <w:t>部分</w:t>
            </w:r>
          </w:p>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7</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规模化供水工程服务农村人口比例（%）</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95</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100</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8</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城镇生活污水处理率（%）</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≥95</w:t>
            </w:r>
          </w:p>
        </w:tc>
        <w:tc>
          <w:tcPr>
            <w:tcW w:w="113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100</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9</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非常规水利用率（%）</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≥25</w:t>
            </w:r>
          </w:p>
        </w:tc>
        <w:tc>
          <w:tcPr>
            <w:tcW w:w="1134" w:type="dxa"/>
            <w:vAlign w:val="center"/>
          </w:tcPr>
          <w:p>
            <w:pPr>
              <w:spacing w:after="0" w:line="578" w:lineRule="exact"/>
              <w:jc w:val="center"/>
              <w:rPr>
                <w:rFonts w:ascii="Times New Roman" w:hAnsi="Times New Roman" w:eastAsia="仿宋_GB2312"/>
                <w:szCs w:val="21"/>
              </w:rPr>
            </w:pPr>
            <w:r>
              <w:rPr>
                <w:rFonts w:hint="eastAsia" w:ascii="Times New Roman" w:hAnsi="Times New Roman" w:eastAsia="仿宋_GB2312"/>
                <w:szCs w:val="21"/>
              </w:rPr>
              <w:t>30.1</w:t>
            </w:r>
            <w:r>
              <w:rPr>
                <w:rFonts w:ascii="Times New Roman" w:hAnsi="Times New Roman" w:eastAsia="仿宋_GB2312"/>
                <w:szCs w:val="21"/>
              </w:rPr>
              <w:t>*</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4"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10</w:t>
            </w:r>
          </w:p>
        </w:tc>
        <w:tc>
          <w:tcPr>
            <w:tcW w:w="2693"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重要河湖水域岸线监管率（%）</w:t>
            </w:r>
          </w:p>
        </w:tc>
        <w:tc>
          <w:tcPr>
            <w:tcW w:w="2410"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≥80</w:t>
            </w:r>
          </w:p>
        </w:tc>
        <w:tc>
          <w:tcPr>
            <w:tcW w:w="1134" w:type="dxa"/>
            <w:vAlign w:val="center"/>
          </w:tcPr>
          <w:p>
            <w:pPr>
              <w:spacing w:after="0" w:line="578" w:lineRule="exact"/>
              <w:jc w:val="center"/>
              <w:rPr>
                <w:rFonts w:ascii="Times New Roman" w:hAnsi="Times New Roman" w:eastAsia="仿宋_GB2312"/>
                <w:szCs w:val="21"/>
              </w:rPr>
            </w:pPr>
            <w:r>
              <w:rPr>
                <w:rFonts w:hint="eastAsia" w:ascii="Times New Roman" w:hAnsi="Times New Roman" w:eastAsia="仿宋_GB2312"/>
                <w:szCs w:val="21"/>
              </w:rPr>
              <w:t>100</w:t>
            </w:r>
          </w:p>
        </w:tc>
        <w:tc>
          <w:tcPr>
            <w:tcW w:w="992"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完成</w:t>
            </w:r>
          </w:p>
        </w:tc>
        <w:tc>
          <w:tcPr>
            <w:tcW w:w="1127" w:type="dxa"/>
            <w:vAlign w:val="center"/>
          </w:tcPr>
          <w:p>
            <w:pPr>
              <w:spacing w:after="0" w:line="578" w:lineRule="exact"/>
              <w:jc w:val="center"/>
              <w:rPr>
                <w:rFonts w:ascii="Times New Roman" w:hAnsi="Times New Roman" w:eastAsia="仿宋_GB2312"/>
                <w:szCs w:val="21"/>
              </w:rPr>
            </w:pPr>
            <w:r>
              <w:rPr>
                <w:rFonts w:ascii="Times New Roman" w:hAnsi="Times New Roman" w:eastAsia="仿宋_GB2312"/>
                <w:szCs w:val="21"/>
              </w:rPr>
              <w:t>预期性</w:t>
            </w:r>
          </w:p>
        </w:tc>
      </w:tr>
    </w:tbl>
    <w:p>
      <w:pPr>
        <w:spacing w:after="0" w:line="578" w:lineRule="exact"/>
        <w:rPr>
          <w:rFonts w:ascii="Times New Roman" w:hAnsi="Times New Roman" w:eastAsia="仿宋_GB2312"/>
          <w:sz w:val="18"/>
          <w:szCs w:val="13"/>
        </w:rPr>
      </w:pPr>
      <w:r>
        <w:rPr>
          <w:rFonts w:hint="eastAsia" w:ascii="Times New Roman" w:hAnsi="Times New Roman" w:eastAsia="仿宋_GB2312"/>
          <w:sz w:val="18"/>
          <w:szCs w:val="13"/>
        </w:rPr>
        <w:t>注：</w:t>
      </w:r>
      <w:r>
        <w:rPr>
          <w:rFonts w:ascii="Times New Roman" w:hAnsi="Times New Roman" w:eastAsia="仿宋_GB2312"/>
          <w:sz w:val="18"/>
          <w:szCs w:val="13"/>
        </w:rPr>
        <w:t>规划指标值</w:t>
      </w:r>
      <w:r>
        <w:rPr>
          <w:rFonts w:hint="eastAsia" w:ascii="Times New Roman" w:hAnsi="Times New Roman" w:eastAsia="仿宋_GB2312"/>
          <w:sz w:val="18"/>
          <w:szCs w:val="13"/>
        </w:rPr>
        <w:t>为</w:t>
      </w:r>
      <w:r>
        <w:rPr>
          <w:rFonts w:ascii="Times New Roman" w:hAnsi="Times New Roman" w:eastAsia="仿宋_GB2312"/>
          <w:sz w:val="18"/>
          <w:szCs w:val="13"/>
        </w:rPr>
        <w:t>《三亚市“十四五”水安全保障规划（2021-2025</w:t>
      </w:r>
      <w:r>
        <w:rPr>
          <w:rFonts w:hint="eastAsia" w:ascii="Times New Roman" w:hAnsi="Times New Roman" w:eastAsia="仿宋_GB2312"/>
          <w:sz w:val="18"/>
          <w:szCs w:val="13"/>
        </w:rPr>
        <w:t>年</w:t>
      </w:r>
      <w:r>
        <w:rPr>
          <w:rFonts w:ascii="Times New Roman" w:hAnsi="Times New Roman" w:eastAsia="仿宋_GB2312"/>
          <w:sz w:val="18"/>
          <w:szCs w:val="13"/>
        </w:rPr>
        <w:t>）》中</w:t>
      </w:r>
      <w:r>
        <w:rPr>
          <w:rFonts w:hint="eastAsia" w:ascii="Times New Roman" w:hAnsi="Times New Roman" w:eastAsia="仿宋_GB2312"/>
          <w:sz w:val="18"/>
          <w:szCs w:val="13"/>
        </w:rPr>
        <w:t>2025年发展</w:t>
      </w:r>
      <w:r>
        <w:rPr>
          <w:rFonts w:ascii="Times New Roman" w:hAnsi="Times New Roman" w:eastAsia="仿宋_GB2312"/>
          <w:sz w:val="18"/>
          <w:szCs w:val="13"/>
        </w:rPr>
        <w:t>指标值。</w:t>
      </w:r>
    </w:p>
    <w:p>
      <w:pPr>
        <w:spacing w:after="0" w:line="578" w:lineRule="exact"/>
        <w:rPr>
          <w:rFonts w:ascii="Times New Roman" w:hAnsi="Times New Roman" w:eastAsia="仿宋_GB2312"/>
          <w:sz w:val="18"/>
          <w:szCs w:val="13"/>
        </w:rPr>
      </w:pPr>
      <w:r>
        <w:rPr>
          <w:rFonts w:ascii="Times New Roman" w:hAnsi="Times New Roman" w:eastAsia="仿宋_GB2312"/>
          <w:szCs w:val="21"/>
        </w:rPr>
        <w:t>*</w:t>
      </w:r>
      <w:r>
        <w:rPr>
          <w:rFonts w:hint="eastAsia" w:ascii="Times New Roman" w:hAnsi="Times New Roman" w:eastAsia="仿宋_GB2312"/>
          <w:sz w:val="18"/>
          <w:szCs w:val="13"/>
        </w:rPr>
        <w:t>非常规水利用率指标值为2</w:t>
      </w:r>
      <w:r>
        <w:rPr>
          <w:rFonts w:ascii="Times New Roman" w:hAnsi="Times New Roman" w:eastAsia="仿宋_GB2312"/>
          <w:sz w:val="18"/>
          <w:szCs w:val="13"/>
        </w:rPr>
        <w:t>025</w:t>
      </w:r>
      <w:r>
        <w:rPr>
          <w:rFonts w:hint="eastAsia" w:ascii="Times New Roman" w:hAnsi="Times New Roman" w:eastAsia="仿宋_GB2312"/>
          <w:sz w:val="18"/>
          <w:szCs w:val="13"/>
        </w:rPr>
        <w:t>年三亚市再生水利用率。</w:t>
      </w:r>
    </w:p>
    <w:p>
      <w:pPr>
        <w:spacing w:after="0" w:line="578" w:lineRule="exact"/>
        <w:rPr>
          <w:rFonts w:ascii="Times New Roman" w:hAnsi="Times New Roman" w:eastAsia="仿宋_GB2312"/>
          <w:sz w:val="32"/>
          <w:szCs w:val="22"/>
        </w:rPr>
      </w:pPr>
    </w:p>
    <w:p>
      <w:pPr>
        <w:spacing w:after="0" w:line="578" w:lineRule="exact"/>
        <w:ind w:firstLine="130" w:firstLineChars="62"/>
        <w:sectPr>
          <w:pgSz w:w="11906" w:h="16838"/>
          <w:pgMar w:top="2098" w:right="1474" w:bottom="1985" w:left="1588" w:header="851" w:footer="1361" w:gutter="0"/>
          <w:cols w:space="425" w:num="1"/>
          <w:docGrid w:type="lines" w:linePitch="435" w:charSpace="0"/>
        </w:sectPr>
      </w:pPr>
    </w:p>
    <w:p>
      <w:pPr>
        <w:numPr>
          <w:ilvl w:val="0"/>
          <w:numId w:val="1"/>
        </w:numPr>
        <w:spacing w:after="0" w:line="578" w:lineRule="exact"/>
        <w:ind w:left="0" w:firstLine="640" w:firstLineChars="200"/>
        <w:outlineLvl w:val="0"/>
        <w:rPr>
          <w:rFonts w:ascii="Times New Roman" w:hAnsi="Times New Roman" w:eastAsia="黑体"/>
          <w:sz w:val="32"/>
          <w:szCs w:val="32"/>
        </w:rPr>
      </w:pPr>
      <w:bookmarkStart w:id="15" w:name="_Toc1430510891"/>
      <w:r>
        <w:rPr>
          <w:rFonts w:hint="eastAsia" w:ascii="Times New Roman" w:hAnsi="Times New Roman" w:eastAsia="黑体"/>
          <w:sz w:val="32"/>
          <w:szCs w:val="32"/>
        </w:rPr>
        <w:t>总体思路</w:t>
      </w:r>
      <w:bookmarkEnd w:id="15"/>
    </w:p>
    <w:p>
      <w:pPr>
        <w:numPr>
          <w:ilvl w:val="0"/>
          <w:numId w:val="5"/>
        </w:numPr>
        <w:spacing w:after="0" w:line="578" w:lineRule="exact"/>
        <w:ind w:firstLine="640" w:firstLineChars="200"/>
        <w:outlineLvl w:val="1"/>
        <w:rPr>
          <w:rFonts w:ascii="楷体_GB2312" w:hAnsi="楷体_GB2312" w:eastAsia="楷体_GB2312" w:cs="楷体_GB2312"/>
          <w:sz w:val="32"/>
          <w:szCs w:val="30"/>
        </w:rPr>
      </w:pPr>
      <w:bookmarkStart w:id="16" w:name="_Toc1716822244"/>
      <w:r>
        <w:rPr>
          <w:rFonts w:hint="eastAsia" w:ascii="楷体_GB2312" w:hAnsi="楷体_GB2312" w:eastAsia="楷体_GB2312" w:cs="楷体_GB2312"/>
          <w:sz w:val="32"/>
          <w:szCs w:val="30"/>
        </w:rPr>
        <w:t>指导思想</w:t>
      </w:r>
      <w:bookmarkEnd w:id="16"/>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以习近平新时代中国特色社会主义思想为指导，全面贯彻党的二十大</w:t>
      </w:r>
      <w:r>
        <w:rPr>
          <w:rFonts w:hint="eastAsia" w:ascii="Times New Roman" w:hAnsi="Times New Roman" w:eastAsia="仿宋_GB2312"/>
          <w:sz w:val="32"/>
          <w:szCs w:val="22"/>
          <w:lang w:eastAsia="zh-CN"/>
        </w:rPr>
        <w:t>和</w:t>
      </w:r>
      <w:r>
        <w:rPr>
          <w:rFonts w:hint="eastAsia" w:ascii="Times New Roman" w:hAnsi="Times New Roman" w:eastAsia="仿宋_GB2312"/>
          <w:sz w:val="32"/>
          <w:szCs w:val="22"/>
        </w:rPr>
        <w:t>二十届四中全会</w:t>
      </w:r>
      <w:r>
        <w:rPr>
          <w:rFonts w:ascii="Times New Roman" w:hAnsi="Times New Roman" w:eastAsia="仿宋_GB2312"/>
          <w:sz w:val="32"/>
          <w:szCs w:val="22"/>
        </w:rPr>
        <w:t>精神，深入落实习近平总书记关于海南工作的系列重要讲话和指示批示精神，立足新发展阶段，贯彻新发展理念，构建新发展格局，</w:t>
      </w:r>
      <w:r>
        <w:rPr>
          <w:rFonts w:hint="eastAsia" w:ascii="Times New Roman" w:hAnsi="Times New Roman" w:eastAsia="仿宋_GB2312"/>
          <w:sz w:val="32"/>
          <w:szCs w:val="22"/>
        </w:rPr>
        <w:t>牢牢把握“统筹发展和安全”的根本要求，</w:t>
      </w:r>
      <w:r>
        <w:rPr>
          <w:rFonts w:ascii="Times New Roman" w:hAnsi="Times New Roman" w:eastAsia="仿宋_GB2312"/>
          <w:sz w:val="32"/>
          <w:szCs w:val="22"/>
        </w:rPr>
        <w:t>遵循</w:t>
      </w:r>
      <w:r>
        <w:rPr>
          <w:rFonts w:hint="eastAsia" w:ascii="Times New Roman" w:hAnsi="Times New Roman" w:eastAsia="仿宋_GB2312"/>
          <w:sz w:val="32"/>
          <w:szCs w:val="22"/>
        </w:rPr>
        <w:t>“</w:t>
      </w:r>
      <w:r>
        <w:rPr>
          <w:rFonts w:ascii="Times New Roman" w:hAnsi="Times New Roman" w:eastAsia="仿宋_GB2312"/>
          <w:sz w:val="32"/>
          <w:szCs w:val="22"/>
        </w:rPr>
        <w:t>节水优先、空间均衡、系统治理、两手发力</w:t>
      </w:r>
      <w:r>
        <w:rPr>
          <w:rFonts w:hint="eastAsia" w:ascii="Times New Roman" w:hAnsi="Times New Roman" w:eastAsia="仿宋_GB2312"/>
          <w:sz w:val="32"/>
          <w:szCs w:val="22"/>
        </w:rPr>
        <w:t>”</w:t>
      </w:r>
      <w:r>
        <w:rPr>
          <w:rFonts w:ascii="Times New Roman" w:hAnsi="Times New Roman" w:eastAsia="仿宋_GB2312"/>
          <w:sz w:val="32"/>
          <w:szCs w:val="22"/>
        </w:rPr>
        <w:t>治水思路，</w:t>
      </w:r>
      <w:r>
        <w:rPr>
          <w:rFonts w:hint="eastAsia" w:ascii="Times New Roman" w:hAnsi="Times New Roman" w:eastAsia="仿宋_GB2312"/>
          <w:sz w:val="32"/>
          <w:szCs w:val="22"/>
        </w:rPr>
        <w:t>坚持以《全面推进江河保护治理的意见》等国家顶层设计为根本遵循，紧密围绕海南自贸港建设、三亚经济圈一体化发展以及国家南繁科研育种基地保障等重大战略需求，围绕“安全、优质、生态、智慧”四大维度，构建与三亚世界知名宜居宜游宜业现代化滨海旅游城市、中国特色自由贸易港建设新标杆地位相匹配的“韧性水安全、优质水资源，健康水生态、智慧水管理”现代化水安全保障体系。</w:t>
      </w:r>
    </w:p>
    <w:p>
      <w:pPr>
        <w:numPr>
          <w:ilvl w:val="0"/>
          <w:numId w:val="5"/>
        </w:numPr>
        <w:spacing w:after="0" w:line="578" w:lineRule="exact"/>
        <w:ind w:firstLine="640" w:firstLineChars="200"/>
        <w:outlineLvl w:val="1"/>
        <w:rPr>
          <w:rFonts w:ascii="楷体_GB2312" w:hAnsi="楷体_GB2312" w:eastAsia="楷体_GB2312" w:cs="楷体_GB2312"/>
          <w:sz w:val="32"/>
          <w:szCs w:val="30"/>
        </w:rPr>
      </w:pPr>
      <w:bookmarkStart w:id="17" w:name="_Toc1369599242"/>
      <w:r>
        <w:rPr>
          <w:rFonts w:hint="eastAsia" w:ascii="楷体_GB2312" w:hAnsi="楷体_GB2312" w:eastAsia="楷体_GB2312" w:cs="楷体_GB2312"/>
          <w:sz w:val="32"/>
          <w:szCs w:val="30"/>
        </w:rPr>
        <w:t>基本原则</w:t>
      </w:r>
      <w:bookmarkEnd w:id="17"/>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战略引领，服务全局。紧紧围绕国家、海南省重大战略需求，将水务发展置于三亚打造现代化热带滨海城市和自贸港新标杆的全局中谋划，以水安全的可靠保障、水资源的可持续利用、水生态的自然健康、水管理的高效智慧，战略性支撑三亚经济社会高质量发展。重点聚焦自贸港封关运作后可能面临的水安全新风险、新挑战，前瞻布局，主动作为，服务好“三区一中心”战略定位。</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系统治理、韧性可靠。树立“山水林田湖草沙”生命共同体理念，遵循流域规律，统筹上下游、左右岸、干支流。坚决贯彻统筹发展和安全的要求，将增强风险防控能力作为系统治理的出发点和落脚点。坚持工程措施与非工程措施相结合，构建“洪、涝、潮”协同防治体系和“本地水、外调水、非常规水”多源互济的供水保障网络，全面提升水系统应对极端气候和突发风险的韧性，牢牢守住水安全底线。</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节水优先、高效循环。立足热带海岛城市水资源禀赋实际，将节水作为解决三亚水问题的根本性措施，全面落实水资源刚性约束，强化用水总量和强度双控。推动农业、工业、生活等领域深度节水，促进工业节水减排、农业节水增效、城镇节水降损，加强非常规水利用，构建水资源高效循环利用体系，倒逼产业结构优化和绿色低碳转型，培育水务新质生产力。</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生态安全、人水和谐。践行“绿水青山就是金山银山”理念，坚守河湖生态保护红线。将生态优先理念贯穿于防洪、供水、治理等各环节，加强河湖水域岸线空间管控，保障河湖生态流量，系统推进水环境治理与水生态修复，建设生态型水利工程，筑牢热带滨海城市的生态安全基底，助力国家生态文明试验区建设。</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改革创新、智慧赋能。紧扣自贸港制度集成创新要求，深化水务重点领域改革，破除体制机制障碍。充分发挥市场在资源配置中的决定性作用和更好发挥政府作用，激发社会资本参与活力。大力推进智慧水务建设，以数字孪生水网为抓手，提升水务感知、预警、调度、管理的智能化水平，赋能水务治理体系现代化。</w:t>
      </w:r>
    </w:p>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18" w:name="_Toc1434796408"/>
      <w:r>
        <w:rPr>
          <w:rFonts w:hint="eastAsia" w:ascii="楷体_GB2312" w:hAnsi="楷体_GB2312" w:eastAsia="楷体_GB2312" w:cs="楷体_GB2312"/>
          <w:sz w:val="32"/>
          <w:szCs w:val="30"/>
        </w:rPr>
        <w:t>发展目标及指标</w:t>
      </w:r>
      <w:bookmarkEnd w:id="18"/>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到2030年，基本建成与三亚中国特色自由贸易港标杆城市地位相匹配的“安全、优质、生态、智慧”现代化水安全保障体系，让“水清岸绿、河通湖畅、安全韧性的水美三亚”成为城市最鲜明的底色，让人民群众的“水安全感、水幸福感、水获得感</w:t>
      </w:r>
      <w:r>
        <w:rPr>
          <w:rFonts w:ascii="Times New Roman" w:hAnsi="Times New Roman" w:eastAsia="仿宋_GB2312"/>
          <w:sz w:val="32"/>
          <w:szCs w:val="22"/>
        </w:rPr>
        <w:t>”</w:t>
      </w:r>
      <w:r>
        <w:rPr>
          <w:rFonts w:hint="eastAsia" w:ascii="Times New Roman" w:hAnsi="Times New Roman" w:eastAsia="仿宋_GB2312"/>
          <w:sz w:val="32"/>
          <w:szCs w:val="22"/>
        </w:rPr>
        <w:t>得到全方位提升。构建现代化防洪体系，补齐防洪短板，提高应对极端天气的韧性和风险防控能力；严格水资源刚性约束，节水型生产和生活方式基本建立，水资源配置格局与自贸港发展需求高度适配；提高城乡水安全保障，多源互补、城乡一体的供水网络格局全面形成，供水系统韧性和应急保障能力全面增强；复苏河湖生态环境，污水收集处理效能全面提升，重要河湖生态流量（水量）得到稳定保障，以优质的水生态环境保障民生福祉；完善现代农业水利保障设施，现代化灌区体系基本建成，有力支撑南繁育种及热带特色高效农业发展；水治理数字赋能提优，全市水务“一体化”平台纳入智慧城市建设，水务数字化、网络化、智能化水平全面提升。</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构建现代化防洪体系，中</w:t>
      </w:r>
      <w:r>
        <w:rPr>
          <w:rFonts w:ascii="Times New Roman" w:hAnsi="Times New Roman" w:eastAsia="仿宋_GB2312"/>
          <w:sz w:val="32"/>
          <w:szCs w:val="22"/>
        </w:rPr>
        <w:t>心城区河道防洪标准达到50-100年一遇，其他区域防洪标准达到20-50年一遇</w:t>
      </w:r>
      <w:r>
        <w:rPr>
          <w:rFonts w:hint="eastAsia" w:ascii="Times New Roman" w:hAnsi="Times New Roman" w:eastAsia="仿宋_GB2312"/>
          <w:sz w:val="32"/>
          <w:szCs w:val="22"/>
        </w:rPr>
        <w:t>。</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强化水资源节约集约利用，用水总量控制在</w:t>
      </w:r>
      <w:r>
        <w:rPr>
          <w:rFonts w:ascii="Times New Roman" w:hAnsi="Times New Roman" w:eastAsia="仿宋_GB2312"/>
          <w:sz w:val="32"/>
          <w:szCs w:val="22"/>
        </w:rPr>
        <w:t>4.381</w:t>
      </w:r>
      <w:r>
        <w:rPr>
          <w:rFonts w:hint="eastAsia" w:ascii="Times New Roman" w:hAnsi="Times New Roman" w:eastAsia="仿宋_GB2312"/>
          <w:sz w:val="32"/>
          <w:szCs w:val="22"/>
        </w:rPr>
        <w:t>亿m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以内，“十五五”期间万元国内生产总值用水量下降率、万元工业增加值用水量下降率完成海南省下达要求。</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提高城乡水安全保障，新增供水能力36.5万m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/d，规模化供水工程服务农村人口比例保持100%。</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复苏河湖生态环境，城镇生活污水处理率保持100%，农村生活污水基本完成治理，</w:t>
      </w:r>
      <w:r>
        <w:rPr>
          <w:rFonts w:ascii="Times New Roman" w:hAnsi="Times New Roman" w:eastAsia="仿宋_GB2312"/>
          <w:sz w:val="32"/>
          <w:szCs w:val="22"/>
        </w:rPr>
        <w:t>重要河湖控制断面生态流量达标率</w:t>
      </w:r>
      <w:r>
        <w:rPr>
          <w:rFonts w:hint="eastAsia" w:ascii="Times New Roman" w:hAnsi="Times New Roman" w:eastAsia="仿宋_GB2312"/>
          <w:sz w:val="32"/>
          <w:szCs w:val="22"/>
        </w:rPr>
        <w:t>达到100%，水土保持率提升至96.46%。</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完善现代农业水利保障设施，农田灌溉水有效利用系数完成海南省下达要求。</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水治理数字赋能提优，建成全市水务信息“一体化”平台并接入省级平台，</w:t>
      </w:r>
      <w:r>
        <w:rPr>
          <w:rFonts w:ascii="Times New Roman" w:hAnsi="Times New Roman" w:eastAsia="仿宋_GB2312"/>
          <w:sz w:val="32"/>
          <w:szCs w:val="22"/>
        </w:rPr>
        <w:t>重大水利工程数字化率</w:t>
      </w:r>
      <w:r>
        <w:rPr>
          <w:rFonts w:hint="eastAsia" w:ascii="Times New Roman" w:hAnsi="Times New Roman" w:eastAsia="仿宋_GB2312"/>
          <w:sz w:val="32"/>
          <w:szCs w:val="22"/>
        </w:rPr>
        <w:t>达到70%。</w:t>
      </w:r>
    </w:p>
    <w:p>
      <w:pPr>
        <w:spacing w:after="0" w:line="578" w:lineRule="exact"/>
        <w:sectPr>
          <w:pgSz w:w="11906" w:h="16838"/>
          <w:pgMar w:top="2098" w:right="1474" w:bottom="1985" w:left="1588" w:header="851" w:footer="1361" w:gutter="0"/>
          <w:cols w:space="425" w:num="1"/>
          <w:docGrid w:type="lines" w:linePitch="435" w:charSpace="0"/>
        </w:sectPr>
      </w:pPr>
    </w:p>
    <w:p>
      <w:pPr>
        <w:spacing w:after="0" w:line="578" w:lineRule="exact"/>
        <w:rPr>
          <w:rFonts w:ascii="Times New Roman" w:hAnsi="Times New Roman" w:eastAsia="黑体"/>
          <w:sz w:val="24"/>
          <w:szCs w:val="21"/>
        </w:rPr>
      </w:pPr>
      <w:r>
        <w:rPr>
          <w:rFonts w:hint="eastAsia" w:ascii="Times New Roman" w:hAnsi="Times New Roman" w:eastAsia="黑体"/>
          <w:sz w:val="24"/>
          <w:szCs w:val="21"/>
        </w:rPr>
        <w:t>表3-1</w:t>
      </w:r>
      <w:r>
        <w:rPr>
          <w:rFonts w:ascii="Times New Roman" w:hAnsi="Times New Roman" w:eastAsia="黑体"/>
          <w:sz w:val="24"/>
          <w:szCs w:val="21"/>
        </w:rPr>
        <w:t xml:space="preserve">              </w:t>
      </w:r>
      <w:r>
        <w:rPr>
          <w:rFonts w:hint="eastAsia" w:ascii="Times New Roman" w:hAnsi="Times New Roman" w:eastAsia="黑体"/>
          <w:sz w:val="24"/>
          <w:szCs w:val="21"/>
        </w:rPr>
        <w:t xml:space="preserve">  </w:t>
      </w:r>
      <w:r>
        <w:rPr>
          <w:rFonts w:ascii="Times New Roman" w:hAnsi="Times New Roman" w:eastAsia="黑体"/>
          <w:sz w:val="24"/>
          <w:szCs w:val="21"/>
        </w:rPr>
        <w:t>三亚市</w:t>
      </w:r>
      <w:r>
        <w:rPr>
          <w:rFonts w:hint="eastAsia" w:ascii="Times New Roman" w:hAnsi="Times New Roman" w:eastAsia="黑体"/>
          <w:sz w:val="24"/>
          <w:szCs w:val="21"/>
        </w:rPr>
        <w:t>“</w:t>
      </w:r>
      <w:r>
        <w:rPr>
          <w:rFonts w:ascii="Times New Roman" w:hAnsi="Times New Roman" w:eastAsia="黑体"/>
          <w:sz w:val="24"/>
          <w:szCs w:val="21"/>
        </w:rPr>
        <w:t>十五五</w:t>
      </w:r>
      <w:r>
        <w:rPr>
          <w:rFonts w:hint="eastAsia" w:ascii="Times New Roman" w:hAnsi="Times New Roman" w:eastAsia="黑体"/>
          <w:sz w:val="24"/>
          <w:szCs w:val="21"/>
        </w:rPr>
        <w:t>”</w:t>
      </w:r>
      <w:r>
        <w:rPr>
          <w:rFonts w:ascii="Times New Roman" w:hAnsi="Times New Roman" w:eastAsia="黑体"/>
          <w:sz w:val="24"/>
          <w:szCs w:val="21"/>
        </w:rPr>
        <w:t>水务规划主要指标表</w:t>
      </w:r>
    </w:p>
    <w:tbl>
      <w:tblPr>
        <w:tblStyle w:val="24"/>
        <w:tblW w:w="8854" w:type="dxa"/>
        <w:tblInd w:w="0" w:type="dxa"/>
        <w:tblLayout w:type="fixed"/>
        <w:tblCellMar>
          <w:top w:w="0" w:type="dxa"/>
          <w:left w:w="0" w:type="dxa"/>
          <w:bottom w:w="0" w:type="dxa"/>
          <w:right w:w="0" w:type="dxa"/>
        </w:tblCellMar>
      </w:tblPr>
      <w:tblGrid>
        <w:gridCol w:w="1246"/>
        <w:gridCol w:w="692"/>
        <w:gridCol w:w="2353"/>
        <w:gridCol w:w="1245"/>
        <w:gridCol w:w="2495"/>
        <w:gridCol w:w="823"/>
      </w:tblGrid>
      <w:tr>
        <w:tblPrEx>
          <w:tblCellMar>
            <w:top w:w="0" w:type="dxa"/>
            <w:left w:w="0" w:type="dxa"/>
            <w:bottom w:w="0" w:type="dxa"/>
            <w:right w:w="0" w:type="dxa"/>
          </w:tblCellMar>
        </w:tblPrEx>
        <w:trPr>
          <w:trHeight w:val="20" w:hRule="atLeast"/>
        </w:trPr>
        <w:tc>
          <w:tcPr>
            <w:tcW w:w="1246"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指标类别</w:t>
            </w:r>
          </w:p>
        </w:tc>
        <w:tc>
          <w:tcPr>
            <w:tcW w:w="692" w:type="dxa"/>
            <w:vMerge w:val="restart"/>
            <w:tcBorders>
              <w:top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序号</w:t>
            </w:r>
          </w:p>
        </w:tc>
        <w:tc>
          <w:tcPr>
            <w:tcW w:w="2353"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指标</w:t>
            </w:r>
          </w:p>
        </w:tc>
        <w:tc>
          <w:tcPr>
            <w:tcW w:w="3740" w:type="dxa"/>
            <w:gridSpan w:val="2"/>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发展指标值</w:t>
            </w:r>
          </w:p>
        </w:tc>
        <w:tc>
          <w:tcPr>
            <w:tcW w:w="823"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指标</w:t>
            </w:r>
          </w:p>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属性</w:t>
            </w:r>
          </w:p>
        </w:tc>
      </w:tr>
      <w:tr>
        <w:tblPrEx>
          <w:tblCellMar>
            <w:top w:w="0" w:type="dxa"/>
            <w:left w:w="0" w:type="dxa"/>
            <w:bottom w:w="0" w:type="dxa"/>
            <w:right w:w="0" w:type="dxa"/>
          </w:tblCellMar>
        </w:tblPrEx>
        <w:trPr>
          <w:trHeight w:val="20" w:hRule="atLeast"/>
        </w:trPr>
        <w:tc>
          <w:tcPr>
            <w:tcW w:w="1246" w:type="dxa"/>
            <w:vMerge w:val="continue"/>
            <w:tcBorders>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vMerge w:val="continue"/>
            <w:tcBorders>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2353" w:type="dxa"/>
            <w:vMerge w:val="continue"/>
            <w:tcBorders>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基准年</w:t>
            </w:r>
          </w:p>
          <w:p>
            <w:pPr>
              <w:spacing w:after="0" w:line="578" w:lineRule="exact"/>
              <w:jc w:val="center"/>
              <w:rPr>
                <w:rFonts w:ascii="Times New Roman" w:hAnsi="Times New Roman" w:eastAsia="仿宋"/>
                <w:sz w:val="20"/>
                <w:szCs w:val="20"/>
              </w:rPr>
            </w:pPr>
            <w:r>
              <w:rPr>
                <w:rFonts w:ascii="Times New Roman" w:hAnsi="Times New Roman" w:eastAsia="仿宋"/>
                <w:sz w:val="20"/>
                <w:szCs w:val="20"/>
              </w:rPr>
              <w:t>（2025年）</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2030年</w:t>
            </w:r>
          </w:p>
        </w:tc>
        <w:tc>
          <w:tcPr>
            <w:tcW w:w="823" w:type="dxa"/>
            <w:vMerge w:val="continue"/>
            <w:tcBorders>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r>
      <w:tr>
        <w:tblPrEx>
          <w:tblCellMar>
            <w:top w:w="0" w:type="dxa"/>
            <w:left w:w="0" w:type="dxa"/>
            <w:bottom w:w="0" w:type="dxa"/>
            <w:right w:w="0" w:type="dxa"/>
          </w:tblCellMar>
        </w:tblPrEx>
        <w:trPr>
          <w:trHeight w:val="20" w:hRule="atLeast"/>
        </w:trPr>
        <w:tc>
          <w:tcPr>
            <w:tcW w:w="1246" w:type="dxa"/>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构建现代化防洪体系</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防洪</w:t>
            </w:r>
            <w:r>
              <w:rPr>
                <w:rFonts w:hint="eastAsia" w:ascii="Times New Roman" w:hAnsi="Times New Roman" w:eastAsia="仿宋"/>
                <w:sz w:val="20"/>
                <w:szCs w:val="20"/>
              </w:rPr>
              <w:t>标准</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重点区域20-50年一遇</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中心城区河道防洪标准达到50-100年一遇</w:t>
            </w:r>
          </w:p>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其他区域防洪标准达到</w:t>
            </w:r>
          </w:p>
          <w:p>
            <w:pPr>
              <w:spacing w:after="0" w:line="578" w:lineRule="exact"/>
              <w:jc w:val="center"/>
              <w:rPr>
                <w:rFonts w:ascii="Times New Roman" w:hAnsi="Times New Roman" w:eastAsia="仿宋"/>
                <w:sz w:val="20"/>
                <w:szCs w:val="20"/>
              </w:rPr>
            </w:pPr>
            <w:r>
              <w:rPr>
                <w:rFonts w:ascii="Times New Roman" w:hAnsi="Times New Roman" w:eastAsia="仿宋"/>
                <w:sz w:val="20"/>
                <w:szCs w:val="20"/>
              </w:rPr>
              <w:t>20-50年一遇</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预期性</w:t>
            </w:r>
          </w:p>
        </w:tc>
      </w:tr>
      <w:tr>
        <w:tblPrEx>
          <w:tblCellMar>
            <w:top w:w="0" w:type="dxa"/>
            <w:left w:w="0" w:type="dxa"/>
            <w:bottom w:w="0" w:type="dxa"/>
            <w:right w:w="0" w:type="dxa"/>
          </w:tblCellMar>
        </w:tblPrEx>
        <w:trPr>
          <w:trHeight w:val="20" w:hRule="atLeast"/>
        </w:trPr>
        <w:tc>
          <w:tcPr>
            <w:tcW w:w="1246"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强化水资源节约集约利用</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2</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用水总量控制（亿m</w:t>
            </w:r>
            <w:r>
              <w:rPr>
                <w:rFonts w:ascii="Times New Roman" w:hAnsi="Times New Roman" w:eastAsia="仿宋"/>
                <w:sz w:val="20"/>
                <w:szCs w:val="20"/>
                <w:vertAlign w:val="superscript"/>
              </w:rPr>
              <w:t>3</w:t>
            </w:r>
            <w:r>
              <w:rPr>
                <w:rFonts w:ascii="Times New Roman" w:hAnsi="Times New Roman" w:eastAsia="仿宋"/>
                <w:sz w:val="20"/>
                <w:szCs w:val="20"/>
              </w:rPr>
              <w:t>）</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3.0718</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4.381</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continue"/>
            <w:tcBorders>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3</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万元国内生产总值用水量下降率（%）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26.3</w:t>
            </w:r>
          </w:p>
        </w:tc>
        <w:tc>
          <w:tcPr>
            <w:tcW w:w="2495"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完成海南省下达要求</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continue"/>
            <w:tcBorders>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4</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万元工业增加值用水量下降率（%）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40.7</w:t>
            </w:r>
          </w:p>
        </w:tc>
        <w:tc>
          <w:tcPr>
            <w:tcW w:w="2495" w:type="dxa"/>
            <w:vMerge w:val="continue"/>
            <w:tcBorders>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restart"/>
            <w:tcBorders>
              <w:top w:val="single" w:color="auto" w:sz="4" w:space="0"/>
              <w:left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提高城乡水安全保障</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5</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新增供水能力（万m</w:t>
            </w:r>
            <w:r>
              <w:rPr>
                <w:rFonts w:ascii="Times New Roman" w:hAnsi="Times New Roman" w:eastAsia="仿宋"/>
                <w:sz w:val="20"/>
                <w:szCs w:val="20"/>
                <w:vertAlign w:val="superscript"/>
              </w:rPr>
              <w:t>3</w:t>
            </w:r>
            <w:r>
              <w:rPr>
                <w:rFonts w:ascii="Times New Roman" w:hAnsi="Times New Roman" w:eastAsia="仿宋"/>
                <w:sz w:val="20"/>
                <w:szCs w:val="20"/>
              </w:rPr>
              <w:t>/d）</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[36.5]</w:t>
            </w:r>
            <w:r>
              <w:rPr>
                <w:rFonts w:hint="eastAsia" w:ascii="Times New Roman" w:hAnsi="Times New Roman" w:eastAsia="仿宋"/>
                <w:sz w:val="20"/>
                <w:szCs w:val="20"/>
                <w:vertAlign w:val="superscript"/>
              </w:rPr>
              <w:t>a</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预期性</w:t>
            </w:r>
          </w:p>
        </w:tc>
      </w:tr>
      <w:tr>
        <w:tblPrEx>
          <w:tblCellMar>
            <w:top w:w="0" w:type="dxa"/>
            <w:left w:w="0" w:type="dxa"/>
            <w:bottom w:w="0" w:type="dxa"/>
            <w:right w:w="0" w:type="dxa"/>
          </w:tblCellMar>
        </w:tblPrEx>
        <w:trPr>
          <w:trHeight w:val="20" w:hRule="atLeast"/>
        </w:trPr>
        <w:tc>
          <w:tcPr>
            <w:tcW w:w="1246" w:type="dxa"/>
            <w:vMerge w:val="continue"/>
            <w:tcBorders>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6</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规模化供水工程服务农村人口比例（%）</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100</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100</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预期性</w:t>
            </w:r>
          </w:p>
        </w:tc>
      </w:tr>
      <w:tr>
        <w:tblPrEx>
          <w:tblCellMar>
            <w:top w:w="0" w:type="dxa"/>
            <w:left w:w="0" w:type="dxa"/>
            <w:bottom w:w="0" w:type="dxa"/>
            <w:right w:w="0" w:type="dxa"/>
          </w:tblCellMar>
        </w:tblPrEx>
        <w:trPr>
          <w:trHeight w:val="20" w:hRule="atLeast"/>
        </w:trPr>
        <w:tc>
          <w:tcPr>
            <w:tcW w:w="1246"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完善现代农业水利保障设施</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7</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农田灌溉水有效利用系数</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0.62</w:t>
            </w:r>
            <w:r>
              <w:rPr>
                <w:rFonts w:hint="eastAsia" w:ascii="Times New Roman" w:hAnsi="Times New Roman" w:eastAsia="仿宋"/>
                <w:sz w:val="20"/>
                <w:szCs w:val="20"/>
              </w:rPr>
              <w:t>7</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完成海南省下达要求</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restart"/>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复苏河湖生态环境</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8</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城镇生活污水处理率（%）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100</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100</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预期性</w:t>
            </w:r>
          </w:p>
        </w:tc>
      </w:tr>
      <w:tr>
        <w:tblPrEx>
          <w:tblCellMar>
            <w:top w:w="0" w:type="dxa"/>
            <w:left w:w="0" w:type="dxa"/>
            <w:bottom w:w="0" w:type="dxa"/>
            <w:right w:w="0" w:type="dxa"/>
          </w:tblCellMar>
        </w:tblPrEx>
        <w:trPr>
          <w:trHeight w:val="20" w:hRule="atLeast"/>
        </w:trPr>
        <w:tc>
          <w:tcPr>
            <w:tcW w:w="1246" w:type="dxa"/>
            <w:vMerge w:val="continue"/>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9</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农村生活污水治理率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92.</w:t>
            </w:r>
            <w:r>
              <w:rPr>
                <w:rFonts w:hint="eastAsia" w:ascii="Times New Roman" w:hAnsi="Times New Roman" w:eastAsia="仿宋"/>
                <w:sz w:val="20"/>
                <w:szCs w:val="20"/>
              </w:rPr>
              <w:t>72</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基本完成治理</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continue"/>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10</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重要河湖控制断面生态流量达标率</w:t>
            </w:r>
            <w:r>
              <w:rPr>
                <w:rFonts w:ascii="Times New Roman" w:hAnsi="Times New Roman" w:eastAsia="仿宋"/>
                <w:sz w:val="20"/>
                <w:szCs w:val="20"/>
              </w:rPr>
              <w:t>（%）</w:t>
            </w:r>
            <w:r>
              <w:rPr>
                <w:rFonts w:hint="eastAsia" w:ascii="Times New Roman" w:hAnsi="Times New Roman" w:eastAsia="仿宋"/>
                <w:sz w:val="20"/>
                <w:szCs w:val="20"/>
                <w:vertAlign w:val="superscript"/>
              </w:rPr>
              <w:t>b</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100</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10</w:t>
            </w:r>
            <w:r>
              <w:rPr>
                <w:rFonts w:ascii="Times New Roman" w:hAnsi="Times New Roman" w:eastAsia="仿宋"/>
                <w:sz w:val="20"/>
                <w:szCs w:val="20"/>
              </w:rPr>
              <w:t>0</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vMerge w:val="continue"/>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11</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水土保持率（%）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96.</w:t>
            </w:r>
            <w:r>
              <w:rPr>
                <w:rFonts w:hint="eastAsia" w:ascii="Times New Roman" w:hAnsi="Times New Roman" w:eastAsia="仿宋"/>
                <w:sz w:val="20"/>
                <w:szCs w:val="20"/>
              </w:rPr>
              <w:t>41</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96.4</w:t>
            </w:r>
            <w:r>
              <w:rPr>
                <w:rFonts w:hint="eastAsia" w:ascii="Times New Roman" w:hAnsi="Times New Roman" w:eastAsia="仿宋"/>
                <w:sz w:val="20"/>
                <w:szCs w:val="20"/>
              </w:rPr>
              <w:t>6</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约束性</w:t>
            </w:r>
          </w:p>
        </w:tc>
      </w:tr>
      <w:tr>
        <w:tblPrEx>
          <w:tblCellMar>
            <w:top w:w="0" w:type="dxa"/>
            <w:left w:w="0" w:type="dxa"/>
            <w:bottom w:w="0" w:type="dxa"/>
            <w:right w:w="0" w:type="dxa"/>
          </w:tblCellMar>
        </w:tblPrEx>
        <w:trPr>
          <w:trHeight w:val="20" w:hRule="atLeast"/>
        </w:trPr>
        <w:tc>
          <w:tcPr>
            <w:tcW w:w="1246"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水治理数字赋能提优</w:t>
            </w:r>
          </w:p>
        </w:tc>
        <w:tc>
          <w:tcPr>
            <w:tcW w:w="692" w:type="dxa"/>
            <w:tcBorders>
              <w:top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12</w:t>
            </w:r>
          </w:p>
        </w:tc>
        <w:tc>
          <w:tcPr>
            <w:tcW w:w="235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重大水利工程数字化率（%）</w:t>
            </w:r>
          </w:p>
        </w:tc>
        <w:tc>
          <w:tcPr>
            <w:tcW w:w="124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w:t>
            </w:r>
          </w:p>
        </w:tc>
        <w:tc>
          <w:tcPr>
            <w:tcW w:w="2495"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hint="eastAsia" w:ascii="Times New Roman" w:hAnsi="Times New Roman" w:eastAsia="仿宋"/>
                <w:sz w:val="20"/>
                <w:szCs w:val="20"/>
              </w:rPr>
              <w:t>70</w:t>
            </w:r>
          </w:p>
        </w:tc>
        <w:tc>
          <w:tcPr>
            <w:tcW w:w="823" w:type="dxa"/>
            <w:tcBorders>
              <w:top w:val="single" w:color="auto" w:sz="4" w:space="0"/>
              <w:left w:val="single" w:color="auto" w:sz="4" w:space="0"/>
              <w:bottom w:val="single" w:color="auto" w:sz="4" w:space="0"/>
              <w:right w:val="single" w:color="auto" w:sz="4" w:space="0"/>
            </w:tcBorders>
            <w:vAlign w:val="center"/>
          </w:tcPr>
          <w:p>
            <w:pPr>
              <w:spacing w:after="0" w:line="578" w:lineRule="exact"/>
              <w:jc w:val="center"/>
              <w:rPr>
                <w:rFonts w:ascii="Times New Roman" w:hAnsi="Times New Roman" w:eastAsia="仿宋"/>
                <w:sz w:val="20"/>
                <w:szCs w:val="20"/>
              </w:rPr>
            </w:pPr>
            <w:r>
              <w:rPr>
                <w:rFonts w:ascii="Times New Roman" w:hAnsi="Times New Roman" w:eastAsia="仿宋"/>
                <w:sz w:val="20"/>
                <w:szCs w:val="20"/>
              </w:rPr>
              <w:t>预期性</w:t>
            </w:r>
          </w:p>
        </w:tc>
      </w:tr>
    </w:tbl>
    <w:p>
      <w:pPr>
        <w:spacing w:after="0" w:line="578" w:lineRule="exact"/>
        <w:rPr>
          <w:sz w:val="18"/>
          <w:szCs w:val="18"/>
        </w:rPr>
        <w:sectPr>
          <w:pgSz w:w="11906" w:h="16838"/>
          <w:pgMar w:top="2098" w:right="1474" w:bottom="1985" w:left="1588" w:header="851" w:footer="1361" w:gutter="0"/>
          <w:cols w:space="425" w:num="1"/>
          <w:docGrid w:type="lines" w:linePitch="435" w:charSpace="0"/>
        </w:sectPr>
      </w:pPr>
      <w:r>
        <w:rPr>
          <w:rFonts w:hint="eastAsia" w:ascii="Times New Roman" w:hAnsi="Times New Roman" w:eastAsia="仿宋_GB2312"/>
          <w:sz w:val="18"/>
          <w:szCs w:val="18"/>
        </w:rPr>
        <w:t>a</w:t>
      </w:r>
      <w:r>
        <w:rPr>
          <w:rFonts w:ascii="Times New Roman" w:hAnsi="Times New Roman" w:eastAsia="仿宋_GB2312"/>
          <w:sz w:val="18"/>
          <w:szCs w:val="18"/>
        </w:rPr>
        <w:t>带[]标志的为5年累计值</w:t>
      </w:r>
      <w:r>
        <w:rPr>
          <w:rFonts w:hint="eastAsia" w:ascii="Times New Roman" w:hAnsi="Times New Roman" w:eastAsia="仿宋_GB2312"/>
          <w:sz w:val="18"/>
          <w:szCs w:val="18"/>
        </w:rPr>
        <w:t>。b重要河湖指</w:t>
      </w:r>
      <w:r>
        <w:rPr>
          <w:rFonts w:ascii="Times New Roman" w:hAnsi="Times New Roman" w:eastAsia="仿宋_GB2312"/>
          <w:sz w:val="18"/>
          <w:szCs w:val="18"/>
        </w:rPr>
        <w:t>宁远河、藤桥河、三亚河</w:t>
      </w:r>
      <w:r>
        <w:rPr>
          <w:rFonts w:hint="eastAsia" w:ascii="Times New Roman" w:hAnsi="Times New Roman" w:eastAsia="仿宋_GB2312"/>
          <w:sz w:val="18"/>
          <w:szCs w:val="18"/>
        </w:rPr>
        <w:t>，当</w:t>
      </w:r>
      <w:r>
        <w:rPr>
          <w:rFonts w:ascii="Times New Roman" w:hAnsi="Times New Roman" w:eastAsia="仿宋_GB2312"/>
          <w:sz w:val="18"/>
          <w:szCs w:val="18"/>
        </w:rPr>
        <w:t>月天然来水频率劣于90%</w:t>
      </w:r>
      <w:r>
        <w:rPr>
          <w:rFonts w:hint="eastAsia" w:ascii="Times New Roman" w:hAnsi="Times New Roman" w:eastAsia="仿宋_GB2312"/>
          <w:sz w:val="18"/>
          <w:szCs w:val="18"/>
          <w:lang w:eastAsia="zh-CN"/>
        </w:rPr>
        <w:t>（</w:t>
      </w:r>
      <w:r>
        <w:rPr>
          <w:rFonts w:ascii="Times New Roman" w:hAnsi="Times New Roman" w:eastAsia="仿宋_GB2312"/>
          <w:sz w:val="18"/>
          <w:szCs w:val="18"/>
        </w:rPr>
        <w:t>含</w:t>
      </w:r>
      <w:r>
        <w:rPr>
          <w:rFonts w:hint="eastAsia" w:ascii="Times New Roman" w:hAnsi="Times New Roman" w:eastAsia="仿宋_GB2312"/>
          <w:sz w:val="18"/>
          <w:szCs w:val="18"/>
          <w:lang w:eastAsia="zh-CN"/>
        </w:rPr>
        <w:t>）</w:t>
      </w:r>
      <w:r>
        <w:rPr>
          <w:rFonts w:ascii="Times New Roman" w:hAnsi="Times New Roman" w:eastAsia="仿宋_GB2312"/>
          <w:sz w:val="18"/>
          <w:szCs w:val="18"/>
        </w:rPr>
        <w:t>或断面所在河流发布省级以上抗旱III级以上应急响应，对应月份不达标天数可不计入考核。</w:t>
      </w:r>
    </w:p>
    <w:p>
      <w:pPr>
        <w:numPr>
          <w:ilvl w:val="0"/>
          <w:numId w:val="1"/>
        </w:numPr>
        <w:spacing w:after="0" w:line="578" w:lineRule="exact"/>
        <w:ind w:left="0" w:firstLine="640" w:firstLineChars="200"/>
        <w:outlineLvl w:val="0"/>
        <w:rPr>
          <w:rFonts w:ascii="Times New Roman" w:hAnsi="Times New Roman" w:eastAsia="黑体"/>
          <w:sz w:val="32"/>
          <w:szCs w:val="32"/>
        </w:rPr>
      </w:pPr>
      <w:bookmarkStart w:id="19" w:name="_Toc1476515199"/>
      <w:bookmarkStart w:id="20" w:name="_Toc209790030"/>
      <w:r>
        <w:rPr>
          <w:rFonts w:hint="eastAsia" w:ascii="Times New Roman" w:hAnsi="Times New Roman" w:eastAsia="黑体"/>
          <w:sz w:val="32"/>
          <w:szCs w:val="32"/>
        </w:rPr>
        <w:t>重点任务</w:t>
      </w:r>
      <w:bookmarkEnd w:id="19"/>
      <w:bookmarkEnd w:id="20"/>
    </w:p>
    <w:p>
      <w:pPr>
        <w:numPr>
          <w:ilvl w:val="0"/>
          <w:numId w:val="6"/>
        </w:numPr>
        <w:spacing w:after="0" w:line="578" w:lineRule="exact"/>
        <w:ind w:firstLine="640" w:firstLineChars="200"/>
        <w:outlineLvl w:val="1"/>
        <w:rPr>
          <w:rFonts w:ascii="楷体_GB2312" w:hAnsi="楷体_GB2312" w:eastAsia="楷体_GB2312" w:cs="楷体_GB2312"/>
          <w:sz w:val="32"/>
          <w:szCs w:val="30"/>
        </w:rPr>
      </w:pPr>
      <w:bookmarkStart w:id="21" w:name="_Toc69855902"/>
      <w:r>
        <w:rPr>
          <w:rFonts w:hint="eastAsia" w:ascii="楷体_GB2312" w:hAnsi="楷体_GB2312" w:eastAsia="楷体_GB2312" w:cs="楷体_GB2312"/>
          <w:sz w:val="32"/>
          <w:szCs w:val="30"/>
        </w:rPr>
        <w:t>构建现代化防洪体系</w:t>
      </w:r>
      <w:bookmarkEnd w:id="21"/>
    </w:p>
    <w:p>
      <w:pPr>
        <w:spacing w:after="0" w:line="578" w:lineRule="exact"/>
        <w:ind w:left="640"/>
        <w:outlineLvl w:val="2"/>
        <w:rPr>
          <w:rFonts w:ascii="Times New Roman" w:hAnsi="Times New Roman" w:eastAsia="仿宋_GB2312"/>
          <w:sz w:val="32"/>
          <w:szCs w:val="28"/>
        </w:rPr>
      </w:pPr>
      <w:bookmarkStart w:id="22" w:name="_Toc218452339"/>
      <w:bookmarkStart w:id="23" w:name="_Toc827582100"/>
      <w:bookmarkStart w:id="24" w:name="_Toc214552901"/>
      <w:bookmarkStart w:id="25" w:name="_Toc230982073"/>
      <w:r>
        <w:rPr>
          <w:rFonts w:hint="eastAsia" w:ascii="Times New Roman" w:hAnsi="Times New Roman" w:eastAsia="仿宋_GB2312"/>
          <w:sz w:val="32"/>
          <w:szCs w:val="28"/>
        </w:rPr>
        <w:t>1.</w:t>
      </w:r>
      <w:r>
        <w:rPr>
          <w:rFonts w:ascii="Times New Roman" w:hAnsi="Times New Roman" w:eastAsia="仿宋_GB2312"/>
          <w:sz w:val="32"/>
          <w:szCs w:val="28"/>
        </w:rPr>
        <w:t>面临挑战</w:t>
      </w:r>
      <w:bookmarkEnd w:id="22"/>
      <w:bookmarkEnd w:id="23"/>
      <w:bookmarkEnd w:id="24"/>
      <w:bookmarkEnd w:id="25"/>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近年来，极端天气事件呈现趋多趋频趋强趋广态势，暴雨洪水灾害的突发性、极端性、反常性越来越明显，为三亚市防洪减灾工作带来新的挑战。目前三亚市防洪体系尚不完善，水库防洪调蓄能力不足，现状中小型水库均无防洪库容，上游缺乏控制性水利枢纽；河道行洪能力不足，宁远河铁路桥至大隆水库溢洪道出口段、三亚东河高铁桥上游段、藤桥河南田农场红星队至入海口局部段河道仍为天然状态，尚未治理；三亚西河月川桥至高铁桥段淤积严重，河段不满足规划防洪标准，河道行洪安全无法保障。此外，受城市建设历史影响，部分由山向海的天然径流通道被阻断，导致洪水自然泄流路径不畅，削弱了流域整体的洪水蓄泄弹性，在极端降雨时加剧了干支流的行洪压力，已成为防洪体系需要补齐的薄弱环节。同时，三亚市防潮体系存在工程实施进度缓慢、已建海堤不达标、老旧海堤抗风险能力弱等问题，与经济社会发展对于海堤安全的需求仍存在差距。除此之外，超标准洪水应对措施尚不完善；重点河道感知覆盖范围和要素不全，监测感知自动化程度不高，视频监控智能化水平不足，无法有效构建雨水情三道防线；非工程措施与应急机制协同性不够，全域防灾韧性亟待提升。</w:t>
      </w:r>
    </w:p>
    <w:p>
      <w:pPr>
        <w:spacing w:after="0" w:line="578" w:lineRule="exact"/>
        <w:ind w:left="640"/>
        <w:outlineLvl w:val="2"/>
        <w:rPr>
          <w:rFonts w:ascii="仿宋_GB2312" w:hAnsi="仿宋_GB2312" w:eastAsia="仿宋_GB2312" w:cs="仿宋_GB2312"/>
          <w:sz w:val="32"/>
          <w:szCs w:val="28"/>
        </w:rPr>
      </w:pPr>
      <w:bookmarkStart w:id="26" w:name="_Toc230982074"/>
      <w:bookmarkStart w:id="27" w:name="_Toc1482435767"/>
      <w:bookmarkStart w:id="28" w:name="_Toc218452340"/>
      <w:bookmarkStart w:id="29" w:name="_Toc214552902"/>
      <w:r>
        <w:rPr>
          <w:rFonts w:ascii="Times New Roman" w:hAnsi="Times New Roman" w:eastAsia="仿宋_GB2312"/>
          <w:sz w:val="32"/>
          <w:szCs w:val="28"/>
        </w:rPr>
        <w:t>2.</w:t>
      </w:r>
      <w:r>
        <w:rPr>
          <w:rFonts w:hint="eastAsia" w:ascii="仿宋_GB2312" w:hAnsi="仿宋_GB2312" w:eastAsia="仿宋_GB2312" w:cs="仿宋_GB2312"/>
          <w:sz w:val="32"/>
          <w:szCs w:val="28"/>
        </w:rPr>
        <w:t>发展机遇</w:t>
      </w:r>
      <w:bookmarkEnd w:id="26"/>
      <w:bookmarkEnd w:id="27"/>
      <w:bookmarkEnd w:id="28"/>
      <w:bookmarkEnd w:id="29"/>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国家层面密集部署，党的二十届四中全会《建议》及《加快建设现代化水网》等重要论述，明确将“增强洪涝灾害防御能力”作为现代化水网建设的核心任务，为系统提升防洪工程体系提供了强大的政策驱动力。同时，</w:t>
      </w:r>
      <w:r>
        <w:rPr>
          <w:rFonts w:ascii="Times New Roman" w:hAnsi="Times New Roman" w:eastAsia="仿宋_GB2312"/>
          <w:sz w:val="32"/>
          <w:szCs w:val="22"/>
        </w:rPr>
        <w:t>2026年全国水利工作会议将“推进区域河湖水系连通和引调排水工程建设”列为“十五五”重点任务，深入实施国家“江河战略”，织密水网之“目”。</w:t>
      </w:r>
      <w:r>
        <w:rPr>
          <w:rFonts w:hint="eastAsia" w:ascii="Times New Roman" w:hAnsi="Times New Roman" w:eastAsia="仿宋_GB2312"/>
          <w:sz w:val="32"/>
          <w:szCs w:val="22"/>
        </w:rPr>
        <w:t>除此之外，数字孪生、物联网等智慧水利技术的快速演进，为构建具备“预报、预警、预演、预案”功能的现代化防洪调度体系提供了关键支撑，有望实现从被动应对到主动防控的跨越。</w:t>
      </w:r>
    </w:p>
    <w:p>
      <w:pPr>
        <w:spacing w:after="0" w:line="578" w:lineRule="exact"/>
        <w:ind w:left="640"/>
        <w:outlineLvl w:val="2"/>
        <w:rPr>
          <w:rFonts w:ascii="仿宋_GB2312" w:hAnsi="仿宋_GB2312" w:eastAsia="仿宋_GB2312" w:cs="仿宋_GB2312"/>
          <w:sz w:val="32"/>
          <w:szCs w:val="28"/>
        </w:rPr>
      </w:pPr>
      <w:bookmarkStart w:id="30" w:name="_Toc209956227"/>
      <w:bookmarkStart w:id="31" w:name="_Toc214552903"/>
      <w:bookmarkStart w:id="32" w:name="_Toc1867180169"/>
      <w:bookmarkStart w:id="33" w:name="_Toc210065473"/>
      <w:bookmarkStart w:id="34" w:name="_Toc209794710"/>
      <w:bookmarkStart w:id="35" w:name="_Toc218452341"/>
      <w:bookmarkStart w:id="36" w:name="_Toc230982075"/>
      <w:bookmarkStart w:id="37" w:name="_Toc210064262"/>
      <w:r>
        <w:rPr>
          <w:rFonts w:ascii="Times New Roman" w:hAnsi="Times New Roman" w:eastAsia="仿宋_GB2312"/>
          <w:sz w:val="32"/>
          <w:szCs w:val="28"/>
        </w:rPr>
        <w:t>3.</w:t>
      </w:r>
      <w:r>
        <w:rPr>
          <w:rFonts w:hint="eastAsia" w:ascii="仿宋_GB2312" w:hAnsi="仿宋_GB2312" w:eastAsia="仿宋_GB2312" w:cs="仿宋_GB2312"/>
          <w:sz w:val="32"/>
          <w:szCs w:val="28"/>
        </w:rPr>
        <w:t>重点任务</w:t>
      </w:r>
      <w:bookmarkEnd w:id="30"/>
      <w:bookmarkEnd w:id="31"/>
      <w:bookmarkEnd w:id="32"/>
      <w:bookmarkEnd w:id="33"/>
      <w:bookmarkEnd w:id="34"/>
      <w:bookmarkEnd w:id="35"/>
      <w:bookmarkEnd w:id="36"/>
      <w:bookmarkEnd w:id="37"/>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（1）构建“上蓄、中畅、下排、外挡”的防洪体系。</w:t>
      </w:r>
      <w:r>
        <w:rPr>
          <w:rFonts w:hint="eastAsia" w:ascii="Times New Roman" w:hAnsi="Times New Roman" w:eastAsia="仿宋_GB2312"/>
          <w:sz w:val="32"/>
          <w:szCs w:val="22"/>
        </w:rPr>
        <w:t>一是强化“上蓄”调控能力，构建流域安全屏障，聚焦提升流域洪水调控能力，加快推进新民、龙潭等控制性水库枢纽工程建设，从源头增强洪水削峰能力，为下游城市构建坚实的源头安全屏障，扭转区域性洪水缺乏有效调控手段的被动局面。二是打通“中畅”关键环节，重点在宁远河、三亚东河、三亚西河、藤桥河、亚龙溪等流域实施河道治理工程，</w:t>
      </w:r>
      <w:bookmarkStart w:id="38" w:name="_Hlk218089250"/>
      <w:r>
        <w:rPr>
          <w:rFonts w:hint="eastAsia" w:ascii="Times New Roman" w:hAnsi="Times New Roman" w:eastAsia="仿宋_GB2312"/>
          <w:sz w:val="32"/>
          <w:szCs w:val="22"/>
        </w:rPr>
        <w:t>通过新建堤防、清淤疏浚、生态护岸、排洪渠等措施，确保区域防洪安全，</w:t>
      </w:r>
      <w:bookmarkStart w:id="39" w:name="_Hlk218410511"/>
      <w:r>
        <w:rPr>
          <w:rFonts w:hint="eastAsia" w:ascii="Times New Roman" w:hAnsi="Times New Roman" w:eastAsia="仿宋_GB2312"/>
          <w:sz w:val="32"/>
          <w:szCs w:val="22"/>
        </w:rPr>
        <w:t>并以恢复天然行洪通道、增强流域洪水蓄泄弹性为目标，系统实施桃源河等水系连通修复工程。</w:t>
      </w:r>
      <w:bookmarkEnd w:id="38"/>
      <w:bookmarkEnd w:id="39"/>
      <w:r>
        <w:rPr>
          <w:rFonts w:hint="eastAsia" w:ascii="Times New Roman" w:hAnsi="Times New Roman" w:eastAsia="仿宋_GB2312"/>
          <w:sz w:val="32"/>
          <w:szCs w:val="22"/>
        </w:rPr>
        <w:t>三是补齐“下排”设施短板，协助住建部门加快建设进度，提升城市内涝防御水平，筑牢工程韧性底线。四是巩固“外挡”防御体系，重点推进海棠区旧市村、海丰村、藤桥河入海口段等海堤建设，通过新建及加固海堤等工程措施，提升城市防潮水平。“十五五”期间，重点开展宁远河流域防洪体系建设，同步进行大隆水库扩容工程研究；同时，进一步开展全市危险流域现状调查，摸排存在问题，并根据摸排结果提出治理方案。</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（2）构建互连互通水系网络。</w:t>
      </w:r>
      <w:r>
        <w:rPr>
          <w:rFonts w:ascii="Times New Roman" w:hAnsi="Times New Roman" w:eastAsia="仿宋_GB2312"/>
          <w:sz w:val="32"/>
          <w:szCs w:val="22"/>
        </w:rPr>
        <w:t>目前，三亚市已初步形成以宁远河、三亚河、大茅水、藤桥河等天然河道为主骨架的水网之“纲”；以西部水厂配水工程、岭曲</w:t>
      </w:r>
      <w:r>
        <w:rPr>
          <w:rFonts w:hint="eastAsia" w:ascii="仿宋_GB2312" w:hAnsi="仿宋_GB2312" w:eastAsia="仿宋_GB2312" w:cs="仿宋_GB2312"/>
          <w:sz w:val="32"/>
          <w:szCs w:val="22"/>
        </w:rPr>
        <w:t>—</w:t>
      </w:r>
      <w:r>
        <w:rPr>
          <w:rFonts w:ascii="Times New Roman" w:hAnsi="Times New Roman" w:eastAsia="仿宋_GB2312"/>
          <w:sz w:val="32"/>
          <w:szCs w:val="22"/>
        </w:rPr>
        <w:t>汤他水库补水工程、东部供水二期工程等重大引调水工程</w:t>
      </w:r>
      <w:r>
        <w:rPr>
          <w:rFonts w:hint="eastAsia" w:ascii="Times New Roman" w:hAnsi="Times New Roman" w:eastAsia="仿宋_GB2312"/>
          <w:sz w:val="32"/>
          <w:szCs w:val="22"/>
        </w:rPr>
        <w:t>以及赤田干渠、大隆东西干渠等骨干渠道</w:t>
      </w:r>
      <w:r>
        <w:rPr>
          <w:rFonts w:ascii="Times New Roman" w:hAnsi="Times New Roman" w:eastAsia="仿宋_GB2312"/>
          <w:sz w:val="32"/>
          <w:szCs w:val="22"/>
        </w:rPr>
        <w:t>为脉络的水网之“目”；以大隆、抱古、汤他、水源池、福万、半岭、赤田等大中型水库为关键调蓄结点的水网之“结”，“纲、目、结”并举的水网格局基本</w:t>
      </w:r>
      <w:r>
        <w:rPr>
          <w:rFonts w:hint="eastAsia" w:ascii="Times New Roman" w:hAnsi="Times New Roman" w:eastAsia="仿宋_GB2312"/>
          <w:sz w:val="32"/>
          <w:szCs w:val="22"/>
        </w:rPr>
        <w:t>形成</w:t>
      </w:r>
      <w:r>
        <w:rPr>
          <w:rFonts w:ascii="Times New Roman" w:hAnsi="Times New Roman" w:eastAsia="仿宋_GB2312"/>
          <w:sz w:val="32"/>
          <w:szCs w:val="22"/>
        </w:rPr>
        <w:t>。在此基础上，为进一步提升城市水安全韧性及水资源综合调配水平，着力实施以下五项重点举措</w:t>
      </w:r>
      <w:r>
        <w:rPr>
          <w:rFonts w:hint="eastAsia" w:ascii="Times New Roman" w:hAnsi="Times New Roman" w:eastAsia="仿宋_GB2312"/>
          <w:sz w:val="32"/>
          <w:szCs w:val="22"/>
        </w:rPr>
        <w:t>。一是推进流域间水系连通，系统推进</w:t>
      </w:r>
      <w:r>
        <w:rPr>
          <w:rFonts w:ascii="Times New Roman" w:hAnsi="Times New Roman" w:eastAsia="仿宋_GB2312"/>
          <w:sz w:val="32"/>
          <w:szCs w:val="22"/>
        </w:rPr>
        <w:t>桃源河水系连通工程</w:t>
      </w:r>
      <w:r>
        <w:rPr>
          <w:rFonts w:hint="eastAsia" w:ascii="Times New Roman" w:hAnsi="Times New Roman" w:eastAsia="仿宋_GB2312"/>
          <w:sz w:val="32"/>
          <w:szCs w:val="22"/>
        </w:rPr>
        <w:t>，通过河道开挖实现桃源河—汤他水—三亚河全线连通、</w:t>
      </w:r>
      <w:r>
        <w:rPr>
          <w:rFonts w:ascii="Times New Roman" w:hAnsi="Times New Roman" w:eastAsia="仿宋_GB2312"/>
          <w:sz w:val="32"/>
          <w:szCs w:val="22"/>
        </w:rPr>
        <w:t>恢复天然行洪通道</w:t>
      </w:r>
      <w:r>
        <w:rPr>
          <w:rFonts w:hint="eastAsia" w:ascii="Times New Roman" w:hAnsi="Times New Roman" w:eastAsia="仿宋_GB2312"/>
          <w:sz w:val="32"/>
          <w:szCs w:val="22"/>
        </w:rPr>
        <w:t>。二是恢复流域内河道连通性，通过“中畅”河道治理工程，以清淤疏浚、阻水建筑物改造打通水流卡口，恢复河流纵向连通性；以生态护岸、护坡、堤防建设</w:t>
      </w:r>
      <w:r>
        <w:rPr>
          <w:rFonts w:ascii="Times New Roman" w:hAnsi="Times New Roman" w:eastAsia="仿宋_GB2312"/>
          <w:sz w:val="32"/>
          <w:szCs w:val="22"/>
        </w:rPr>
        <w:t>重</w:t>
      </w:r>
      <w:r>
        <w:rPr>
          <w:rFonts w:hint="eastAsia" w:ascii="Times New Roman" w:hAnsi="Times New Roman" w:eastAsia="仿宋_GB2312"/>
          <w:sz w:val="32"/>
          <w:szCs w:val="22"/>
        </w:rPr>
        <w:t>塑</w:t>
      </w:r>
      <w:r>
        <w:rPr>
          <w:rFonts w:ascii="Times New Roman" w:hAnsi="Times New Roman" w:eastAsia="仿宋_GB2312"/>
          <w:sz w:val="32"/>
          <w:szCs w:val="22"/>
        </w:rPr>
        <w:t>主槽</w:t>
      </w:r>
      <w:r>
        <w:rPr>
          <w:rFonts w:hint="eastAsia" w:ascii="Times New Roman" w:hAnsi="Times New Roman" w:eastAsia="仿宋_GB2312"/>
          <w:sz w:val="32"/>
          <w:szCs w:val="22"/>
        </w:rPr>
        <w:t>—</w:t>
      </w:r>
      <w:r>
        <w:rPr>
          <w:rFonts w:ascii="Times New Roman" w:hAnsi="Times New Roman" w:eastAsia="仿宋_GB2312"/>
          <w:sz w:val="32"/>
          <w:szCs w:val="22"/>
        </w:rPr>
        <w:t>岸坡水力联系</w:t>
      </w:r>
      <w:r>
        <w:rPr>
          <w:rFonts w:hint="eastAsia" w:ascii="Times New Roman" w:hAnsi="Times New Roman" w:eastAsia="仿宋_GB2312"/>
          <w:sz w:val="32"/>
          <w:szCs w:val="22"/>
        </w:rPr>
        <w:t>，恢复河流横向连通性。三是畅通由山向海的山洪入海通道，协助住建部门</w:t>
      </w:r>
      <w:r>
        <w:rPr>
          <w:rFonts w:ascii="Times New Roman" w:hAnsi="Times New Roman" w:eastAsia="仿宋_GB2312"/>
          <w:sz w:val="32"/>
          <w:szCs w:val="22"/>
        </w:rPr>
        <w:t>以重点易涝片区系统治理为突破口，打通</w:t>
      </w:r>
      <w:r>
        <w:rPr>
          <w:rFonts w:hint="eastAsia" w:ascii="Times New Roman" w:hAnsi="Times New Roman" w:eastAsia="仿宋_GB2312"/>
          <w:sz w:val="32"/>
          <w:szCs w:val="22"/>
        </w:rPr>
        <w:t>山</w:t>
      </w:r>
      <w:r>
        <w:rPr>
          <w:rFonts w:ascii="Times New Roman" w:hAnsi="Times New Roman" w:eastAsia="仿宋_GB2312"/>
          <w:sz w:val="32"/>
          <w:szCs w:val="22"/>
        </w:rPr>
        <w:t>洪水入海的“最后一公里”</w:t>
      </w:r>
      <w:r>
        <w:rPr>
          <w:rFonts w:hint="eastAsia" w:ascii="Times New Roman" w:hAnsi="Times New Roman" w:eastAsia="仿宋_GB2312"/>
          <w:sz w:val="32"/>
          <w:szCs w:val="22"/>
        </w:rPr>
        <w:t>，</w:t>
      </w:r>
      <w:r>
        <w:rPr>
          <w:rFonts w:ascii="Times New Roman" w:hAnsi="Times New Roman" w:eastAsia="仿宋_GB2312"/>
          <w:sz w:val="32"/>
          <w:szCs w:val="22"/>
        </w:rPr>
        <w:t>恢复</w:t>
      </w:r>
      <w:r>
        <w:rPr>
          <w:rFonts w:hint="eastAsia" w:ascii="Times New Roman" w:hAnsi="Times New Roman" w:eastAsia="仿宋_GB2312"/>
          <w:sz w:val="32"/>
          <w:szCs w:val="22"/>
        </w:rPr>
        <w:t>天然</w:t>
      </w:r>
      <w:r>
        <w:rPr>
          <w:rFonts w:ascii="Times New Roman" w:hAnsi="Times New Roman" w:eastAsia="仿宋_GB2312"/>
          <w:sz w:val="32"/>
          <w:szCs w:val="22"/>
        </w:rPr>
        <w:t>排水通道</w:t>
      </w:r>
      <w:r>
        <w:rPr>
          <w:rFonts w:hint="eastAsia" w:ascii="Times New Roman" w:hAnsi="Times New Roman" w:eastAsia="仿宋_GB2312"/>
          <w:sz w:val="32"/>
          <w:szCs w:val="22"/>
        </w:rPr>
        <w:t>，</w:t>
      </w:r>
      <w:r>
        <w:rPr>
          <w:rFonts w:ascii="Times New Roman" w:hAnsi="Times New Roman" w:eastAsia="仿宋_GB2312"/>
          <w:sz w:val="32"/>
          <w:szCs w:val="22"/>
        </w:rPr>
        <w:t>有效提升城市防洪排涝韧性</w:t>
      </w:r>
      <w:r>
        <w:rPr>
          <w:rFonts w:hint="eastAsia" w:ascii="Times New Roman" w:hAnsi="Times New Roman" w:eastAsia="仿宋_GB2312"/>
          <w:sz w:val="32"/>
          <w:szCs w:val="22"/>
        </w:rPr>
        <w:t>。四是探索研究水库连通可行性，</w:t>
      </w:r>
      <w:r>
        <w:rPr>
          <w:rFonts w:ascii="Times New Roman" w:hAnsi="Times New Roman" w:eastAsia="仿宋_GB2312"/>
          <w:sz w:val="32"/>
          <w:szCs w:val="22"/>
        </w:rPr>
        <w:t>立足新机场及北部九组团等重点区域的长远供水需求，加快开展大隆水库</w:t>
      </w:r>
      <w:r>
        <w:rPr>
          <w:rFonts w:hint="eastAsia" w:ascii="Times New Roman" w:hAnsi="Times New Roman" w:eastAsia="仿宋_GB2312"/>
          <w:sz w:val="32"/>
          <w:szCs w:val="22"/>
        </w:rPr>
        <w:t>—</w:t>
      </w:r>
      <w:r>
        <w:rPr>
          <w:rFonts w:ascii="Times New Roman" w:hAnsi="Times New Roman" w:eastAsia="仿宋_GB2312"/>
          <w:sz w:val="32"/>
          <w:szCs w:val="22"/>
        </w:rPr>
        <w:t>抱</w:t>
      </w:r>
      <w:r>
        <w:rPr>
          <w:rFonts w:hint="eastAsia" w:ascii="Times New Roman" w:hAnsi="Times New Roman" w:eastAsia="仿宋_GB2312"/>
          <w:sz w:val="32"/>
          <w:szCs w:val="22"/>
        </w:rPr>
        <w:t>古</w:t>
      </w:r>
      <w:r>
        <w:rPr>
          <w:rFonts w:ascii="Times New Roman" w:hAnsi="Times New Roman" w:eastAsia="仿宋_GB2312"/>
          <w:sz w:val="32"/>
          <w:szCs w:val="22"/>
        </w:rPr>
        <w:t>水库连通工程研究，着力构建“两库联调、多源互济”的供水保障体系</w:t>
      </w:r>
      <w:r>
        <w:rPr>
          <w:rFonts w:hint="eastAsia" w:ascii="Times New Roman" w:hAnsi="Times New Roman" w:eastAsia="仿宋_GB2312"/>
          <w:sz w:val="32"/>
          <w:szCs w:val="22"/>
        </w:rPr>
        <w:t>。五是构建跨市县协同的水系连通格局，以海南省昌化江水资源配置工程及海南省南繁灌区工程为契机，积极融入全省水网构建格局，为三亚与全省水资源配置体系互连互通奠定工程基础。</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消除水利工程安全隐患。持续开展安全大坝、生态大坝、智能大坝建设，推进现代化水库运行管理矩阵建设，强化汛期调度与高风险环节监管。加快实施三亚市水库超标准洪水防御工程、三亚市水库超标准洪水防御预案，开展91宗水库超标准洪水预案编制及非常溢洪道建设，同时加强对现有水库监测评估，健全工程隐患排查和安全鉴定常态化工作机制，及时掌握工程安全状况，消除工程安全隐患，统筹开展大中型水库大坝安全监测设备提升采购，提高水库安全监测能力，提高区域防洪水平。</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4）加快构建雨水情监测预报体系。锚定延长洪水预见期与提高预报精准度双目标的有机统一，加快构建气象卫星、天气雷达与水利测雨雷达网、雨量站网、水文站网深度耦合的雨水情监测预报“三道防线”，强化全天候、全要素、全量程、全过程在线监测，提升滚动预报与传导预报能力。一是强化跨部门协同共享，严格落实数据共享、资源共用要求，健全气象与水利部门常态化联动机制，推动雷达、卫星等新型观测资料的深度融合和高效应用，筑牢雨水情监测预报“第一道防线”。二是优化关键区域站网布局，聚焦暴雨洪水集中来源区、高风险区、重点防洪流域及站点密度偏低区域，科学新建雨量站点，补齐监测短板，提升整体监测效能，同时持续优化洪水产汇流耦合模型，进一步提高模型精度、延长预见期，夯实“第二道防线”。三是推进重点工程建设实施，加密有防洪任务中小河流的水文（位）监测站点，完善各类水利工程配套水文设施，全面提升“第三道防线”的综合支撑保障能力。结合三亚市水利监测设施及应急通讯能力升级项目，加快构建雨水情监测预报体系。</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5）增强洪水风险防控及应急处置能力。提升水利工程建设全要素、全过程的数字化、网络化、智能化管理能力，建立透彻感知、智能先进、互联协同、科学高效的水利工程建设管理新模式，保障全市水利工程建设质量、安全和长效运行。完善超标准洪水预案，加强超标准洪水出路管理，一是健全水安全风险研判与预警机制，加强流域间和市县间在防洪、防潮、防台风方面的监测预警预报合作，实现对风险的超前识别和精准预警，完善防汛决策指挥体系。二是开展水工程调度模拟预演，细化防御超标洪水预案，提升极端灾害天气下超标准洪水应对能力。三是加强与气象部门和水库管理单位会商调度，开展主要河流水情预警指标制定工作，提升汛期、台风影响期间降雨预报精度和水库调度精度。四是定期开展三亚市洪水风险图编制，开展全市重要防洪保护对象过洪断面的安全泄量调查和复核，为洪水调度预警预报提供依据，提高应对可能发生特大洪水灾害的能力。五是提高水库泄洪、河流水情预警、水库调度等水情信息的共享时效性，联动各应急单位精准、高效的开展应急处置工作。</w:t>
      </w:r>
      <w:r>
        <w:rPr>
          <w:rFonts w:hint="eastAsia" w:ascii="Times New Roman" w:hAnsi="Times New Roman" w:eastAsia="仿宋_GB2312"/>
          <w:sz w:val="32"/>
          <w:szCs w:val="22"/>
          <w:lang w:eastAsia="zh-CN"/>
        </w:rPr>
        <w:t>推进</w:t>
      </w:r>
      <w:r>
        <w:rPr>
          <w:rFonts w:hint="eastAsia" w:ascii="Times New Roman" w:hAnsi="Times New Roman" w:eastAsia="仿宋_GB2312"/>
          <w:sz w:val="32"/>
          <w:szCs w:val="22"/>
        </w:rPr>
        <w:t>三亚市山区沟道洪水风险防控与防御能力提升项目</w:t>
      </w:r>
      <w:r>
        <w:rPr>
          <w:rFonts w:hint="eastAsia" w:ascii="Times New Roman" w:hAnsi="Times New Roman" w:eastAsia="仿宋_GB2312"/>
          <w:sz w:val="32"/>
          <w:szCs w:val="22"/>
          <w:lang w:eastAsia="zh-CN"/>
        </w:rPr>
        <w:t>建设</w:t>
      </w:r>
      <w:r>
        <w:rPr>
          <w:rFonts w:hint="eastAsia" w:ascii="Times New Roman" w:hAnsi="Times New Roman" w:eastAsia="仿宋_GB2312"/>
          <w:sz w:val="32"/>
          <w:szCs w:val="22"/>
        </w:rPr>
        <w:t>，全面提升三亚市山区沟道洪水灾害精细化防御能力。</w:t>
      </w:r>
    </w:p>
    <w:p>
      <w:pPr>
        <w:keepNext/>
        <w:spacing w:after="0" w:line="578" w:lineRule="exact"/>
        <w:jc w:val="center"/>
        <w:rPr>
          <w:rFonts w:ascii="Times New Roman" w:hAnsi="Times New Roman" w:eastAsia="黑体"/>
          <w:sz w:val="28"/>
          <w:szCs w:val="28"/>
        </w:rPr>
      </w:pPr>
      <w:r>
        <w:rPr>
          <w:rFonts w:hint="eastAsia" w:ascii="Times New Roman" w:hAnsi="Times New Roman" w:eastAsia="黑体"/>
          <w:sz w:val="28"/>
          <w:szCs w:val="28"/>
        </w:rPr>
        <w:t>专栏1防洪减灾重点工程</w:t>
      </w:r>
    </w:p>
    <w:tbl>
      <w:tblPr>
        <w:tblStyle w:val="6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9060" w:type="dxa"/>
          </w:tcPr>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ascii="Times New Roman" w:hAnsi="Times New Roman" w:eastAsia="仿宋_GB2312"/>
                <w:sz w:val="28"/>
                <w:szCs w:val="28"/>
              </w:rPr>
              <w:t>.</w:t>
            </w:r>
            <w:r>
              <w:rPr>
                <w:rFonts w:hint="eastAsia" w:ascii="Times New Roman" w:hAnsi="Times New Roman" w:eastAsia="仿宋_GB2312"/>
                <w:sz w:val="28"/>
                <w:szCs w:val="28"/>
              </w:rPr>
              <w:t>持续推进水库防洪保障工程建设</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重点推进龙潭水库工程、新民水库新建工程，持续开展大隆水库扩容工程研究，提高上游拦蓄能力，保障下游防洪安全。其中，新民水库新建总库容4716万m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，防洪库容1850万m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，保障下游藤桥东河两岸海棠城区防洪安全；龙潭水库新建总库容</w:t>
            </w:r>
            <w:r>
              <w:rPr>
                <w:rFonts w:ascii="Times New Roman" w:hAnsi="Times New Roman" w:eastAsia="仿宋_GB2312"/>
                <w:sz w:val="28"/>
                <w:szCs w:val="28"/>
              </w:rPr>
              <w:t>3514</w:t>
            </w:r>
            <w:r>
              <w:rPr>
                <w:rFonts w:hint="eastAsia" w:ascii="Times New Roman" w:hAnsi="Times New Roman" w:eastAsia="仿宋_GB2312"/>
                <w:sz w:val="28"/>
                <w:szCs w:val="28"/>
              </w:rPr>
              <w:t>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，防洪库容</w:t>
            </w:r>
            <w:r>
              <w:rPr>
                <w:rFonts w:ascii="Times New Roman" w:hAnsi="Times New Roman" w:eastAsia="仿宋_GB2312"/>
                <w:sz w:val="28"/>
                <w:szCs w:val="28"/>
              </w:rPr>
              <w:t>1850</w:t>
            </w:r>
            <w:r>
              <w:rPr>
                <w:rFonts w:hint="eastAsia" w:ascii="Times New Roman" w:hAnsi="Times New Roman" w:eastAsia="仿宋_GB2312"/>
                <w:sz w:val="28"/>
                <w:szCs w:val="28"/>
              </w:rPr>
              <w:t>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，建成后与大隆水库联合调度，保障下游中心城区和崖州科技城防洪安全。</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w:t>
            </w:r>
            <w:r>
              <w:rPr>
                <w:rFonts w:hint="eastAsia" w:ascii="Times New Roman" w:hAnsi="Times New Roman" w:eastAsia="仿宋_GB2312"/>
                <w:sz w:val="28"/>
                <w:szCs w:val="28"/>
              </w:rPr>
              <w:t>实施重点河流治理工程</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重点实施宁远河、三亚东河、三亚西河、藤桥河、亚龙溪等重点河流治理工程，总治理河长约46.38km，进一步提高重点河道防洪标准，增强区域防洪安全。重点推进海南自贸港三亚市海棠区国家海岸海堤加固工程，提升城市防潮水平。</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3.消除水利工程安全隐患</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重点实施三亚市水库超标准洪水防御预案、三亚市水库超标准洪水防御工程，提高三亚市应对可能发生特大洪水灾害的能力。</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4.增强洪水风险防控及应急处置能力</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lang w:eastAsia="zh-CN"/>
              </w:rPr>
              <w:t>推进</w:t>
            </w:r>
            <w:r>
              <w:rPr>
                <w:rFonts w:hint="eastAsia" w:ascii="Times New Roman" w:hAnsi="Times New Roman" w:eastAsia="仿宋_GB2312"/>
                <w:sz w:val="28"/>
                <w:szCs w:val="28"/>
              </w:rPr>
              <w:t>三亚市山区沟道洪水风险防控与防御能力提升项目</w:t>
            </w:r>
            <w:r>
              <w:rPr>
                <w:rFonts w:hint="eastAsia" w:ascii="Times New Roman" w:hAnsi="Times New Roman" w:eastAsia="仿宋_GB2312"/>
                <w:sz w:val="32"/>
                <w:szCs w:val="22"/>
                <w:lang w:eastAsia="zh-CN"/>
              </w:rPr>
              <w:t>建设</w:t>
            </w:r>
            <w:r>
              <w:rPr>
                <w:rFonts w:hint="eastAsia" w:ascii="Times New Roman" w:hAnsi="Times New Roman" w:eastAsia="仿宋_GB2312"/>
                <w:sz w:val="28"/>
                <w:szCs w:val="28"/>
              </w:rPr>
              <w:t>，全面提升三亚市山区沟道洪水灾害精细化防御能力。</w:t>
            </w:r>
          </w:p>
        </w:tc>
      </w:tr>
    </w:tbl>
    <w:p>
      <w:pPr>
        <w:keepNext/>
        <w:numPr>
          <w:ilvl w:val="0"/>
          <w:numId w:val="6"/>
        </w:numPr>
        <w:spacing w:after="0" w:line="578" w:lineRule="exact"/>
        <w:ind w:firstLine="640" w:firstLineChars="200"/>
        <w:outlineLvl w:val="1"/>
        <w:rPr>
          <w:rFonts w:ascii="楷体_GB2312" w:hAnsi="楷体_GB2312" w:eastAsia="楷体_GB2312" w:cs="楷体_GB2312"/>
          <w:sz w:val="32"/>
          <w:szCs w:val="30"/>
        </w:rPr>
      </w:pPr>
      <w:bookmarkStart w:id="40" w:name="_Toc1930654656"/>
      <w:r>
        <w:rPr>
          <w:rFonts w:hint="eastAsia" w:ascii="楷体_GB2312" w:hAnsi="楷体_GB2312" w:eastAsia="楷体_GB2312" w:cs="楷体_GB2312"/>
          <w:sz w:val="32"/>
          <w:szCs w:val="30"/>
        </w:rPr>
        <w:t>强化水资源节约集约利用</w:t>
      </w:r>
      <w:bookmarkEnd w:id="40"/>
    </w:p>
    <w:p>
      <w:pPr>
        <w:keepNext/>
        <w:spacing w:after="0" w:line="578" w:lineRule="exact"/>
        <w:ind w:left="0" w:leftChars="0" w:firstLine="640" w:firstLineChars="200"/>
        <w:outlineLvl w:val="2"/>
        <w:rPr>
          <w:rFonts w:ascii="仿宋_GB2312" w:hAnsi="仿宋_GB2312" w:eastAsia="仿宋_GB2312" w:cs="仿宋_GB2312"/>
          <w:sz w:val="32"/>
          <w:szCs w:val="28"/>
        </w:rPr>
      </w:pPr>
      <w:bookmarkStart w:id="41" w:name="_Toc536396905"/>
      <w:bookmarkStart w:id="42" w:name="_Toc214552905"/>
      <w:bookmarkStart w:id="43" w:name="_Toc230982077"/>
      <w:bookmarkStart w:id="44" w:name="_Toc218452343"/>
      <w:r>
        <w:rPr>
          <w:rFonts w:ascii="Times New Roman" w:hAnsi="Times New Roman" w:eastAsia="仿宋_GB2312"/>
          <w:sz w:val="32"/>
          <w:szCs w:val="28"/>
        </w:rPr>
        <w:t>1.</w:t>
      </w:r>
      <w:r>
        <w:rPr>
          <w:rFonts w:hint="eastAsia" w:ascii="仿宋_GB2312" w:hAnsi="仿宋_GB2312" w:eastAsia="仿宋_GB2312" w:cs="仿宋_GB2312"/>
          <w:sz w:val="32"/>
          <w:szCs w:val="28"/>
        </w:rPr>
        <w:t>面临挑战</w:t>
      </w:r>
      <w:bookmarkEnd w:id="41"/>
      <w:bookmarkEnd w:id="42"/>
      <w:bookmarkEnd w:id="43"/>
      <w:bookmarkEnd w:id="44"/>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三亚市节水工作虽取得阶段性成效，但对照自贸港建设对水资源高效集约利用的更高要求，仍有以下部分需加强。再生水厂尚未实现满负荷运行，非常规水源配置利用体系有待完善，制约水资源优化配置与循环利用水平。精细化管理水平有待提升，已建成的城镇、农业取用水在线计量设施未能充分赋能管理决策，计划用水管理与动态调控机制衔接不够紧密，水资源刚性约束的精准落地面临挑战。节水内生动力与社会服务体系尚不健全，全社会协同共治的节水激励机制和服务支撑体系仍需强化。</w:t>
      </w:r>
    </w:p>
    <w:p>
      <w:pPr>
        <w:spacing w:after="0" w:line="578" w:lineRule="exact"/>
        <w:ind w:left="0" w:leftChars="0" w:firstLine="640" w:firstLineChars="200"/>
        <w:outlineLvl w:val="2"/>
        <w:rPr>
          <w:rFonts w:ascii="仿宋_GB2312" w:hAnsi="仿宋_GB2312" w:eastAsia="仿宋_GB2312" w:cs="仿宋_GB2312"/>
          <w:sz w:val="32"/>
          <w:szCs w:val="28"/>
        </w:rPr>
      </w:pPr>
      <w:bookmarkStart w:id="45" w:name="_Toc214552906"/>
      <w:bookmarkStart w:id="46" w:name="_Toc230982078"/>
      <w:bookmarkStart w:id="47" w:name="_Toc399602650"/>
      <w:bookmarkStart w:id="48" w:name="_Toc218452344"/>
      <w:r>
        <w:rPr>
          <w:rFonts w:ascii="Times New Roman" w:hAnsi="Times New Roman" w:eastAsia="仿宋_GB2312"/>
          <w:sz w:val="32"/>
          <w:szCs w:val="28"/>
        </w:rPr>
        <w:t>2.</w:t>
      </w:r>
      <w:r>
        <w:rPr>
          <w:rFonts w:hint="eastAsia" w:ascii="仿宋_GB2312" w:hAnsi="仿宋_GB2312" w:eastAsia="仿宋_GB2312" w:cs="仿宋_GB2312"/>
          <w:sz w:val="32"/>
          <w:szCs w:val="28"/>
        </w:rPr>
        <w:t>发展机遇</w:t>
      </w:r>
      <w:bookmarkEnd w:id="45"/>
      <w:bookmarkEnd w:id="46"/>
      <w:bookmarkEnd w:id="47"/>
      <w:bookmarkEnd w:id="48"/>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国家深入实施全面节约战略，为纵深推进节水型社会建设创造了有利的宏观环境。《关于全面推进江河保护治理的意见》等顶层设计，为强化水资源刚性约束指明了具体路径。海南自贸港 “45432”现代化产业体系构建，特别是向“种”、向“海”、向“绿”、向“数”图强的产业方向，为发展节水产业、推动水资源要素向高效率、高效益领域配置提供了广阔市场空间。</w:t>
      </w:r>
    </w:p>
    <w:p>
      <w:pPr>
        <w:spacing w:after="0" w:line="578" w:lineRule="exact"/>
        <w:ind w:left="0" w:leftChars="0" w:firstLine="640" w:firstLineChars="200"/>
        <w:outlineLvl w:val="2"/>
        <w:rPr>
          <w:rFonts w:ascii="仿宋_GB2312" w:hAnsi="仿宋_GB2312" w:eastAsia="仿宋_GB2312" w:cs="仿宋_GB2312"/>
          <w:sz w:val="32"/>
          <w:szCs w:val="28"/>
        </w:rPr>
      </w:pPr>
      <w:bookmarkStart w:id="49" w:name="_Toc218452345"/>
      <w:bookmarkStart w:id="50" w:name="_Toc1470350184"/>
      <w:bookmarkStart w:id="51" w:name="_Toc230982079"/>
      <w:bookmarkStart w:id="52" w:name="_Toc209794704"/>
      <w:bookmarkStart w:id="53" w:name="_Toc214552907"/>
      <w:bookmarkStart w:id="54" w:name="_Toc210065476"/>
      <w:bookmarkStart w:id="55" w:name="_Toc210064265"/>
      <w:bookmarkStart w:id="56" w:name="_Toc209956230"/>
      <w:r>
        <w:rPr>
          <w:rFonts w:ascii="Times New Roman" w:hAnsi="Times New Roman" w:eastAsia="仿宋_GB2312"/>
          <w:sz w:val="32"/>
          <w:szCs w:val="28"/>
        </w:rPr>
        <w:t>3.</w:t>
      </w:r>
      <w:r>
        <w:rPr>
          <w:rFonts w:hint="eastAsia" w:ascii="仿宋_GB2312" w:hAnsi="仿宋_GB2312" w:eastAsia="仿宋_GB2312" w:cs="仿宋_GB2312"/>
          <w:sz w:val="32"/>
          <w:szCs w:val="28"/>
        </w:rPr>
        <w:t>重点任务</w:t>
      </w:r>
      <w:bookmarkEnd w:id="49"/>
      <w:bookmarkEnd w:id="50"/>
      <w:bookmarkEnd w:id="51"/>
      <w:bookmarkEnd w:id="52"/>
      <w:bookmarkEnd w:id="53"/>
      <w:bookmarkEnd w:id="54"/>
      <w:bookmarkEnd w:id="55"/>
      <w:bookmarkEnd w:id="56"/>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（1）坚持量水而行，全面落实水资源刚性约束制度。严</w:t>
      </w:r>
      <w:r>
        <w:rPr>
          <w:rFonts w:hint="eastAsia" w:ascii="Times New Roman" w:hAnsi="Times New Roman" w:eastAsia="仿宋_GB2312"/>
          <w:sz w:val="32"/>
          <w:szCs w:val="22"/>
        </w:rPr>
        <w:t>格执行用水总量与强度双控，完善水资源承载能力评估与预警机制，将评估结果作为区域发展、产业布局的前置约束条件。</w:t>
      </w:r>
      <w:r>
        <w:rPr>
          <w:rFonts w:ascii="Times New Roman" w:hAnsi="Times New Roman" w:eastAsia="仿宋_GB2312"/>
          <w:sz w:val="32"/>
          <w:szCs w:val="22"/>
        </w:rPr>
        <w:t>落实用水节水统计调查制度</w:t>
      </w:r>
      <w:r>
        <w:rPr>
          <w:rFonts w:hint="eastAsia" w:ascii="Times New Roman" w:hAnsi="Times New Roman" w:eastAsia="仿宋_GB2312"/>
          <w:sz w:val="32"/>
          <w:szCs w:val="22"/>
        </w:rPr>
        <w:t>，提升监测数据对管理决策的支撑能力。探索将用水户的节水评价、计划用水执行情况纳入社会信用体系。</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w:t>
      </w:r>
      <w:r>
        <w:rPr>
          <w:rFonts w:ascii="Times New Roman" w:hAnsi="Times New Roman" w:eastAsia="仿宋_GB2312"/>
          <w:sz w:val="32"/>
          <w:szCs w:val="22"/>
        </w:rPr>
        <w:t>2</w:t>
      </w:r>
      <w:r>
        <w:rPr>
          <w:rFonts w:hint="eastAsia" w:ascii="Times New Roman" w:hAnsi="Times New Roman" w:eastAsia="仿宋_GB2312"/>
          <w:sz w:val="32"/>
          <w:szCs w:val="22"/>
        </w:rPr>
        <w:t>）聚焦重点领域，纵深推进全社会节水减排。农业层面，服务南繁育种等国家战略，大规模推广高效节水灌溉与水肥一体化技术。工业与服务业层面，对标国际旅游消费中心标准，严控高耗水项目准入，推动现有企业实施节水改造和清洁生产。城乡生活层面，全面普及节水器具，降低公共供水管网漏损率。</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（3）坚持“四水四定”，以水而定优化国土空间发展格局。将水资源作为经济社会发展的最大刚性约束，明确各区用水上限，引导人口、产业和城市发展规模、布局与水资源承载能力相</w:t>
      </w:r>
      <w:r>
        <w:rPr>
          <w:rFonts w:hint="eastAsia" w:ascii="Times New Roman" w:hAnsi="Times New Roman" w:eastAsia="仿宋_GB2312"/>
          <w:sz w:val="32"/>
          <w:szCs w:val="22"/>
          <w:lang w:eastAsia="zh-CN"/>
        </w:rPr>
        <w:t>适应</w:t>
      </w:r>
      <w:r>
        <w:rPr>
          <w:rFonts w:hint="eastAsia" w:ascii="Times New Roman" w:hAnsi="Times New Roman" w:eastAsia="仿宋_GB2312"/>
          <w:sz w:val="32"/>
          <w:szCs w:val="22"/>
        </w:rPr>
        <w:t>。</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（4）开辟第二水源，系统提升非常规水资源利用水平。将再生水纳入水资源统一配置体系，重点研究海棠湾再生水利用示范区建设，为海岛水资源安全保障探索路径。</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5）构建智慧水网，提升水资源管理智慧化水平。构建覆盖全域、全要素的水资源智慧监测体系，实现取、用、耗、排全过程动态感知与智能管理。强化监测数据在用水效率评估、计划用水管理、应急调度中的深度应用，全面提升水资源管理数字化、精细化、智能化水平。</w:t>
      </w:r>
    </w:p>
    <w:p>
      <w:pPr>
        <w:keepNext/>
        <w:spacing w:after="0" w:line="578" w:lineRule="exact"/>
        <w:jc w:val="center"/>
        <w:rPr>
          <w:rFonts w:ascii="Times New Roman" w:hAnsi="Times New Roman" w:eastAsia="黑体"/>
          <w:sz w:val="28"/>
          <w:szCs w:val="28"/>
        </w:rPr>
      </w:pPr>
      <w:r>
        <w:rPr>
          <w:rFonts w:hint="eastAsia" w:ascii="Times New Roman" w:hAnsi="Times New Roman" w:eastAsia="黑体"/>
          <w:sz w:val="28"/>
          <w:szCs w:val="28"/>
        </w:rPr>
        <w:t>专栏2</w:t>
      </w:r>
      <w:r>
        <w:rPr>
          <w:rFonts w:ascii="Times New Roman" w:hAnsi="Times New Roman" w:eastAsia="黑体"/>
          <w:sz w:val="28"/>
          <w:szCs w:val="28"/>
        </w:rPr>
        <w:t xml:space="preserve"> </w:t>
      </w:r>
      <w:r>
        <w:rPr>
          <w:rFonts w:hint="eastAsia" w:ascii="Times New Roman" w:hAnsi="Times New Roman" w:eastAsia="黑体"/>
          <w:sz w:val="28"/>
          <w:szCs w:val="28"/>
        </w:rPr>
        <w:t>水资源节约集约利用重点工程</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tcBorders>
              <w:top w:val="single" w:color="auto" w:sz="4" w:space="0"/>
              <w:left w:val="single" w:color="auto" w:sz="4" w:space="0"/>
              <w:bottom w:val="single" w:color="auto" w:sz="4" w:space="0"/>
              <w:right w:val="single" w:color="auto" w:sz="4" w:space="0"/>
            </w:tcBorders>
          </w:tcPr>
          <w:p>
            <w:pPr>
              <w:spacing w:after="0" w:line="578" w:lineRule="exact"/>
              <w:ind w:firstLine="560" w:firstLineChars="200"/>
              <w:rPr>
                <w:rFonts w:ascii="Times New Roman" w:hAnsi="Times New Roman" w:eastAsia="仿宋_GB2312"/>
                <w:sz w:val="32"/>
                <w:szCs w:val="22"/>
              </w:rPr>
            </w:pPr>
            <w:r>
              <w:rPr>
                <w:rFonts w:hint="eastAsia" w:ascii="Times New Roman" w:hAnsi="Times New Roman" w:eastAsia="仿宋_GB2312"/>
                <w:sz w:val="28"/>
                <w:szCs w:val="28"/>
              </w:rPr>
              <w:t>建立健全水资源刚性约束制度，开展农业、工业、生活全领域深度节水行动；打造海棠湾再生水示范区；构建智慧水务监测与管理平台，实现取用水精准计量与智能调度，全面提升水资源集约利用效能。</w:t>
            </w:r>
          </w:p>
        </w:tc>
      </w:tr>
    </w:tbl>
    <w:p>
      <w:pPr>
        <w:keepNext/>
        <w:numPr>
          <w:ilvl w:val="0"/>
          <w:numId w:val="6"/>
        </w:numPr>
        <w:spacing w:after="0" w:line="578" w:lineRule="exact"/>
        <w:ind w:firstLine="640" w:firstLineChars="200"/>
        <w:outlineLvl w:val="1"/>
        <w:rPr>
          <w:rFonts w:ascii="楷体_GB2312" w:hAnsi="楷体_GB2312" w:eastAsia="楷体_GB2312" w:cs="楷体_GB2312"/>
          <w:sz w:val="32"/>
          <w:szCs w:val="30"/>
        </w:rPr>
      </w:pPr>
      <w:bookmarkStart w:id="57" w:name="_Toc1354135354"/>
      <w:r>
        <w:rPr>
          <w:rFonts w:hint="eastAsia" w:ascii="楷体_GB2312" w:hAnsi="楷体_GB2312" w:eastAsia="楷体_GB2312" w:cs="楷体_GB2312"/>
          <w:sz w:val="32"/>
          <w:szCs w:val="30"/>
        </w:rPr>
        <w:t>提高城乡水安全保障</w:t>
      </w:r>
      <w:bookmarkEnd w:id="57"/>
    </w:p>
    <w:p>
      <w:pPr>
        <w:spacing w:after="0" w:line="578" w:lineRule="exact"/>
        <w:ind w:left="0" w:leftChars="0" w:firstLine="640" w:firstLineChars="200"/>
        <w:outlineLvl w:val="2"/>
        <w:rPr>
          <w:rFonts w:ascii="Times New Roman" w:hAnsi="Times New Roman" w:eastAsia="仿宋_GB2312"/>
          <w:sz w:val="32"/>
          <w:szCs w:val="28"/>
        </w:rPr>
      </w:pPr>
      <w:bookmarkStart w:id="58" w:name="_Toc214552909"/>
      <w:bookmarkStart w:id="59" w:name="_Toc230982081"/>
      <w:bookmarkStart w:id="60" w:name="_Toc800581078"/>
      <w:bookmarkStart w:id="61" w:name="_Toc218452347"/>
      <w:r>
        <w:rPr>
          <w:rFonts w:hint="eastAsia" w:ascii="Times New Roman" w:hAnsi="Times New Roman" w:eastAsia="仿宋_GB2312"/>
          <w:sz w:val="32"/>
          <w:szCs w:val="28"/>
        </w:rPr>
        <w:t>1.面临挑战</w:t>
      </w:r>
      <w:bookmarkEnd w:id="58"/>
      <w:bookmarkEnd w:id="59"/>
      <w:bookmarkEnd w:id="60"/>
      <w:bookmarkEnd w:id="61"/>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当前三亚市城市供水保障能力虽阶段性缓解，但从中长期看仍面临持续增长的用水压力和结构升级挑战。随着中央商务区、崖州湾科技城等重点功能区用水标准持续提升，城市扩容与产业布局对供水保障的要求不断提高，同时面对自贸港封关后可能激增的用水需求，城乡供水系统的韧性和风险应对能力亟待加强。基础设施韧性不足，中心城区部分供水管网老化，存在漏损风险；偏远乡村供水系统运行能力仍较弱，城乡供水一体化水平仍需提升。高品质供水未能实现示范作用，二次供水改造需分批次持续推进。</w:t>
      </w:r>
    </w:p>
    <w:p>
      <w:pPr>
        <w:spacing w:after="0" w:line="578" w:lineRule="exact"/>
        <w:ind w:left="0" w:leftChars="0" w:firstLine="640" w:firstLineChars="200"/>
        <w:outlineLvl w:val="2"/>
        <w:rPr>
          <w:rFonts w:ascii="Times New Roman" w:hAnsi="Times New Roman" w:eastAsia="仿宋_GB2312"/>
          <w:sz w:val="32"/>
          <w:szCs w:val="28"/>
        </w:rPr>
      </w:pPr>
      <w:bookmarkStart w:id="62" w:name="_Toc1652848772"/>
      <w:bookmarkStart w:id="63" w:name="_Toc230982082"/>
      <w:bookmarkStart w:id="64" w:name="_Toc214552910"/>
      <w:bookmarkStart w:id="65" w:name="_Toc218452348"/>
      <w:r>
        <w:rPr>
          <w:rFonts w:hint="eastAsia" w:ascii="Times New Roman" w:hAnsi="Times New Roman" w:eastAsia="仿宋_GB2312"/>
          <w:sz w:val="32"/>
          <w:szCs w:val="28"/>
        </w:rPr>
        <w:t>2.发展机遇</w:t>
      </w:r>
      <w:bookmarkEnd w:id="62"/>
      <w:bookmarkEnd w:id="63"/>
      <w:bookmarkEnd w:id="64"/>
      <w:bookmarkEnd w:id="65"/>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国家水网建设强调“构建跨流域跨区域的水资源配置和供水保障体系”，为我市融入区域水网、优化水源格局提供了战略指引。全域封关运作后，三亚作为“国际旅游消费中心核心区”，对高品质、高可靠性的供水服务内在需求迫切，将倒逼供水基础设施升级换代。城乡融合发展战略的深入推进，为统筹解决城乡供水问题、实现“同网同质同服务”凝聚了广泛共识与政策合力。</w:t>
      </w:r>
    </w:p>
    <w:p>
      <w:pPr>
        <w:spacing w:after="0" w:line="578" w:lineRule="exact"/>
        <w:ind w:left="0" w:leftChars="0" w:firstLine="640" w:firstLineChars="200"/>
        <w:outlineLvl w:val="2"/>
        <w:rPr>
          <w:rFonts w:ascii="Times New Roman" w:hAnsi="Times New Roman" w:eastAsia="仿宋_GB2312"/>
          <w:sz w:val="32"/>
          <w:szCs w:val="28"/>
        </w:rPr>
      </w:pPr>
      <w:bookmarkStart w:id="66" w:name="_Toc210065479"/>
      <w:bookmarkStart w:id="67" w:name="_Toc1415689521"/>
      <w:bookmarkStart w:id="68" w:name="_Toc214552911"/>
      <w:bookmarkStart w:id="69" w:name="_Toc209956233"/>
      <w:bookmarkStart w:id="70" w:name="_Toc210064268"/>
      <w:bookmarkStart w:id="71" w:name="_Toc230982083"/>
      <w:bookmarkStart w:id="72" w:name="_Toc218452349"/>
      <w:bookmarkStart w:id="73" w:name="_Toc209794707"/>
      <w:r>
        <w:rPr>
          <w:rFonts w:hint="eastAsia" w:ascii="Times New Roman" w:hAnsi="Times New Roman" w:eastAsia="仿宋_GB2312"/>
          <w:sz w:val="32"/>
          <w:szCs w:val="28"/>
        </w:rPr>
        <w:t>3.重点任务</w:t>
      </w:r>
      <w:bookmarkEnd w:id="66"/>
      <w:bookmarkEnd w:id="67"/>
      <w:bookmarkEnd w:id="68"/>
      <w:bookmarkEnd w:id="69"/>
      <w:bookmarkEnd w:id="70"/>
      <w:bookmarkEnd w:id="71"/>
      <w:bookmarkEnd w:id="72"/>
      <w:bookmarkEnd w:id="73"/>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1）构建多源互补的战略水源保障格局。积极推进新民水库、龙潭水库等本地水源工程建设，系统提升本地水资源调蓄能力。积极融入省级水网，用好海南省昌化江水资源配置工程等“外调水”，形成本地水与外调水协同保障的供水双支柱，提高特枯年份和突发水污染事件的战略水源储备与风险应对能力。</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（2）提升供水系统稳定性与韧性。为</w:t>
      </w:r>
      <w:r>
        <w:rPr>
          <w:rFonts w:ascii="Times New Roman" w:hAnsi="Times New Roman" w:eastAsia="仿宋_GB2312"/>
          <w:sz w:val="32"/>
          <w:szCs w:val="22"/>
        </w:rPr>
        <w:t>增强城市供水系统稳定性与韧性，统筹推进水厂扩容、</w:t>
      </w:r>
      <w:r>
        <w:rPr>
          <w:rFonts w:hint="eastAsia" w:ascii="Times New Roman" w:hAnsi="Times New Roman" w:eastAsia="仿宋_GB2312"/>
          <w:sz w:val="32"/>
          <w:szCs w:val="22"/>
        </w:rPr>
        <w:t>供水管网能力提升，</w:t>
      </w:r>
      <w:r>
        <w:rPr>
          <w:rFonts w:ascii="Times New Roman" w:hAnsi="Times New Roman" w:eastAsia="仿宋_GB2312"/>
          <w:sz w:val="32"/>
          <w:szCs w:val="22"/>
        </w:rPr>
        <w:t>构建多源互补、区域联调的城乡供水保障体系。完成中部水厂中期建设，供水能力达到40万</w:t>
      </w:r>
      <w:bookmarkStart w:id="74" w:name="OLE_LINK1"/>
      <w:r>
        <w:rPr>
          <w:rFonts w:hint="eastAsia" w:ascii="Times New Roman" w:hAnsi="Times New Roman" w:eastAsia="仿宋_GB2312"/>
          <w:sz w:val="32"/>
          <w:szCs w:val="22"/>
        </w:rPr>
        <w:t>m</w:t>
      </w:r>
      <w:r>
        <w:rPr>
          <w:rFonts w:hint="eastAsia" w:ascii="Times New Roman" w:hAnsi="Times New Roman" w:eastAsia="仿宋_GB2312"/>
          <w:sz w:val="32"/>
          <w:szCs w:val="22"/>
          <w:vertAlign w:val="superscript"/>
        </w:rPr>
        <w:t>3</w:t>
      </w:r>
      <w:bookmarkEnd w:id="74"/>
      <w:r>
        <w:rPr>
          <w:rFonts w:ascii="Times New Roman" w:hAnsi="Times New Roman" w:eastAsia="仿宋_GB2312"/>
          <w:sz w:val="32"/>
          <w:szCs w:val="22"/>
        </w:rPr>
        <w:t>/d；完成西部水厂扩建工程，供水能力达到30万</w:t>
      </w:r>
      <w:r>
        <w:rPr>
          <w:rFonts w:hint="eastAsia" w:ascii="Times New Roman" w:hAnsi="Times New Roman" w:eastAsia="仿宋_GB2312"/>
          <w:sz w:val="32"/>
          <w:szCs w:val="22"/>
        </w:rPr>
        <w:t>m</w:t>
      </w:r>
      <w:r>
        <w:rPr>
          <w:rFonts w:hint="eastAsia" w:ascii="Times New Roman" w:hAnsi="Times New Roman" w:eastAsia="仿宋_GB2312"/>
          <w:sz w:val="32"/>
          <w:szCs w:val="22"/>
          <w:vertAlign w:val="superscript"/>
        </w:rPr>
        <w:t>3</w:t>
      </w:r>
      <w:r>
        <w:rPr>
          <w:rFonts w:ascii="Times New Roman" w:hAnsi="Times New Roman" w:eastAsia="仿宋_GB2312"/>
          <w:sz w:val="32"/>
          <w:szCs w:val="22"/>
        </w:rPr>
        <w:t>/d</w:t>
      </w:r>
      <w:r>
        <w:rPr>
          <w:rFonts w:hint="eastAsia" w:ascii="Times New Roman" w:hAnsi="Times New Roman" w:eastAsia="仿宋_GB2312"/>
          <w:sz w:val="32"/>
          <w:szCs w:val="22"/>
        </w:rPr>
        <w:t>。</w:t>
      </w:r>
      <w:r>
        <w:rPr>
          <w:rFonts w:ascii="Times New Roman" w:hAnsi="Times New Roman" w:eastAsia="仿宋_GB2312"/>
          <w:sz w:val="32"/>
          <w:szCs w:val="22"/>
        </w:rPr>
        <w:t>至</w:t>
      </w:r>
      <w:r>
        <w:rPr>
          <w:rFonts w:hint="eastAsia" w:ascii="Times New Roman" w:hAnsi="Times New Roman" w:eastAsia="仿宋_GB2312"/>
          <w:sz w:val="32"/>
          <w:szCs w:val="22"/>
        </w:rPr>
        <w:t>“</w:t>
      </w:r>
      <w:r>
        <w:rPr>
          <w:rFonts w:ascii="Times New Roman" w:hAnsi="Times New Roman" w:eastAsia="仿宋_GB2312"/>
          <w:sz w:val="32"/>
          <w:szCs w:val="22"/>
        </w:rPr>
        <w:t>十五五</w:t>
      </w:r>
      <w:r>
        <w:rPr>
          <w:rFonts w:hint="eastAsia" w:ascii="Times New Roman" w:hAnsi="Times New Roman" w:eastAsia="仿宋_GB2312"/>
          <w:sz w:val="32"/>
          <w:szCs w:val="22"/>
        </w:rPr>
        <w:t>”</w:t>
      </w:r>
      <w:r>
        <w:rPr>
          <w:rFonts w:ascii="Times New Roman" w:hAnsi="Times New Roman" w:eastAsia="仿宋_GB2312"/>
          <w:sz w:val="32"/>
          <w:szCs w:val="22"/>
        </w:rPr>
        <w:t>期末，全市</w:t>
      </w:r>
      <w:r>
        <w:rPr>
          <w:rFonts w:hint="eastAsia" w:ascii="Times New Roman" w:hAnsi="Times New Roman" w:eastAsia="仿宋_GB2312"/>
          <w:sz w:val="32"/>
          <w:szCs w:val="22"/>
        </w:rPr>
        <w:t>总供水能力</w:t>
      </w:r>
      <w:r>
        <w:rPr>
          <w:rFonts w:ascii="Times New Roman" w:hAnsi="Times New Roman" w:eastAsia="仿宋_GB2312"/>
          <w:sz w:val="32"/>
          <w:szCs w:val="22"/>
        </w:rPr>
        <w:t>达到10</w:t>
      </w:r>
      <w:r>
        <w:rPr>
          <w:rFonts w:hint="eastAsia" w:ascii="Times New Roman" w:hAnsi="Times New Roman" w:eastAsia="仿宋_GB2312"/>
          <w:sz w:val="32"/>
          <w:szCs w:val="22"/>
        </w:rPr>
        <w:t>4</w:t>
      </w:r>
      <w:r>
        <w:rPr>
          <w:rFonts w:ascii="Times New Roman" w:hAnsi="Times New Roman" w:eastAsia="仿宋_GB2312"/>
          <w:sz w:val="32"/>
          <w:szCs w:val="22"/>
        </w:rPr>
        <w:t>.7万</w:t>
      </w:r>
      <w:r>
        <w:rPr>
          <w:rFonts w:hint="eastAsia" w:ascii="Times New Roman" w:hAnsi="Times New Roman" w:eastAsia="仿宋_GB2312"/>
          <w:sz w:val="32"/>
          <w:szCs w:val="22"/>
        </w:rPr>
        <w:t>m</w:t>
      </w:r>
      <w:r>
        <w:rPr>
          <w:rFonts w:hint="eastAsia" w:ascii="Times New Roman" w:hAnsi="Times New Roman" w:eastAsia="仿宋_GB2312"/>
          <w:sz w:val="32"/>
          <w:szCs w:val="22"/>
          <w:vertAlign w:val="superscript"/>
        </w:rPr>
        <w:t>3</w:t>
      </w:r>
      <w:r>
        <w:rPr>
          <w:rFonts w:ascii="Times New Roman" w:hAnsi="Times New Roman" w:eastAsia="仿宋_GB2312"/>
          <w:sz w:val="32"/>
          <w:szCs w:val="22"/>
        </w:rPr>
        <w:t>/d</w:t>
      </w:r>
      <w:r>
        <w:rPr>
          <w:rFonts w:hint="eastAsia" w:ascii="Times New Roman" w:hAnsi="Times New Roman" w:eastAsia="仿宋_GB2312"/>
          <w:sz w:val="32"/>
          <w:szCs w:val="22"/>
        </w:rPr>
        <w:t>（不含调峰泵站8.5</w:t>
      </w:r>
      <w:r>
        <w:rPr>
          <w:rFonts w:ascii="Times New Roman" w:hAnsi="Times New Roman" w:eastAsia="仿宋_GB2312"/>
          <w:sz w:val="32"/>
          <w:szCs w:val="22"/>
        </w:rPr>
        <w:t>万</w:t>
      </w:r>
      <w:r>
        <w:rPr>
          <w:rFonts w:hint="eastAsia" w:ascii="Times New Roman" w:hAnsi="Times New Roman" w:eastAsia="仿宋_GB2312"/>
          <w:sz w:val="32"/>
          <w:szCs w:val="22"/>
        </w:rPr>
        <w:t>m</w:t>
      </w:r>
      <w:r>
        <w:rPr>
          <w:rFonts w:hint="eastAsia" w:ascii="Times New Roman" w:hAnsi="Times New Roman" w:eastAsia="仿宋_GB2312"/>
          <w:sz w:val="32"/>
          <w:szCs w:val="22"/>
          <w:vertAlign w:val="superscript"/>
        </w:rPr>
        <w:t>3</w:t>
      </w:r>
      <w:r>
        <w:rPr>
          <w:rFonts w:ascii="Times New Roman" w:hAnsi="Times New Roman" w:eastAsia="仿宋_GB2312"/>
          <w:sz w:val="32"/>
          <w:szCs w:val="22"/>
        </w:rPr>
        <w:t>/d</w:t>
      </w:r>
      <w:r>
        <w:rPr>
          <w:rFonts w:hint="eastAsia" w:ascii="Times New Roman" w:hAnsi="Times New Roman" w:eastAsia="仿宋_GB2312"/>
          <w:sz w:val="32"/>
          <w:szCs w:val="22"/>
        </w:rPr>
        <w:t>）</w:t>
      </w:r>
      <w:r>
        <w:rPr>
          <w:rFonts w:ascii="Times New Roman" w:hAnsi="Times New Roman" w:eastAsia="仿宋_GB2312"/>
          <w:sz w:val="32"/>
          <w:szCs w:val="22"/>
        </w:rPr>
        <w:t>。推进新机场片区供水工程水源、水厂、管线前期研究工作</w:t>
      </w:r>
      <w:r>
        <w:rPr>
          <w:rFonts w:hint="eastAsia" w:ascii="Times New Roman" w:hAnsi="Times New Roman" w:eastAsia="仿宋_GB2312"/>
          <w:sz w:val="32"/>
          <w:szCs w:val="22"/>
        </w:rPr>
        <w:t>，保障北部九组团的新机场及临空经济区、智谷</w:t>
      </w:r>
      <w:r>
        <w:rPr>
          <w:rFonts w:hint="eastAsia" w:ascii="仿宋_GB2312" w:hAnsi="仿宋_GB2312" w:eastAsia="仿宋_GB2312" w:cs="仿宋_GB2312"/>
          <w:sz w:val="32"/>
          <w:szCs w:val="22"/>
        </w:rPr>
        <w:t>—</w:t>
      </w:r>
      <w:r>
        <w:rPr>
          <w:rFonts w:hint="eastAsia" w:ascii="Times New Roman" w:hAnsi="Times New Roman" w:eastAsia="仿宋_GB2312"/>
          <w:sz w:val="32"/>
          <w:szCs w:val="22"/>
        </w:rPr>
        <w:t>循环经济产业园、金谷产业园、槟榔河片区、妙林-绿谷片区、落笔洞片区、南丁片区、罗蓬—红光单元等</w:t>
      </w:r>
      <w:r>
        <w:rPr>
          <w:rFonts w:hint="eastAsia" w:ascii="Times New Roman" w:hAnsi="Times New Roman" w:eastAsia="仿宋_GB2312"/>
          <w:sz w:val="32"/>
          <w:szCs w:val="22"/>
          <w:lang w:eastAsia="zh-CN"/>
        </w:rPr>
        <w:t>区域</w:t>
      </w:r>
      <w:r>
        <w:rPr>
          <w:rFonts w:hint="eastAsia" w:ascii="Times New Roman" w:hAnsi="Times New Roman" w:eastAsia="仿宋_GB2312"/>
          <w:sz w:val="32"/>
          <w:szCs w:val="22"/>
        </w:rPr>
        <w:t>的供水需求。研究推进金鸡岭水厂、荔枝湾水厂原水管道及供水设备更新改造工程前期工作。中心城区持续</w:t>
      </w:r>
      <w:r>
        <w:rPr>
          <w:rFonts w:hint="eastAsia" w:ascii="Times New Roman" w:hAnsi="Times New Roman" w:eastAsia="仿宋_GB2312"/>
          <w:sz w:val="32"/>
          <w:szCs w:val="22"/>
          <w:lang w:eastAsia="zh-CN"/>
        </w:rPr>
        <w:t>推进</w:t>
      </w:r>
      <w:r>
        <w:rPr>
          <w:rFonts w:hint="eastAsia" w:ascii="Times New Roman" w:hAnsi="Times New Roman" w:eastAsia="仿宋_GB2312"/>
          <w:sz w:val="32"/>
          <w:szCs w:val="22"/>
        </w:rPr>
        <w:t>三亚市西水中调工程（一期）——净水厂及配水干管工程（太阳城南路、新联路）；</w:t>
      </w:r>
      <w:r>
        <w:rPr>
          <w:rFonts w:ascii="Times New Roman" w:hAnsi="Times New Roman" w:eastAsia="仿宋_GB2312"/>
          <w:sz w:val="32"/>
          <w:szCs w:val="22"/>
        </w:rPr>
        <w:t>新建青田水厂</w:t>
      </w:r>
      <w:r>
        <w:rPr>
          <w:rFonts w:hint="eastAsia" w:ascii="Times New Roman" w:hAnsi="Times New Roman" w:eastAsia="仿宋_GB2312"/>
          <w:sz w:val="32"/>
          <w:szCs w:val="22"/>
        </w:rPr>
        <w:t>—</w:t>
      </w:r>
      <w:r>
        <w:rPr>
          <w:rFonts w:ascii="Times New Roman" w:hAnsi="Times New Roman" w:eastAsia="仿宋_GB2312"/>
          <w:sz w:val="32"/>
          <w:szCs w:val="22"/>
        </w:rPr>
        <w:t>海棠湾水厂连通管</w:t>
      </w:r>
      <w:r>
        <w:rPr>
          <w:rFonts w:hint="eastAsia" w:ascii="Times New Roman" w:hAnsi="Times New Roman" w:eastAsia="仿宋_GB2312"/>
          <w:sz w:val="32"/>
          <w:szCs w:val="22"/>
        </w:rPr>
        <w:t>、</w:t>
      </w:r>
      <w:r>
        <w:rPr>
          <w:rFonts w:ascii="Times New Roman" w:hAnsi="Times New Roman" w:eastAsia="仿宋_GB2312"/>
          <w:sz w:val="32"/>
          <w:szCs w:val="22"/>
        </w:rPr>
        <w:t>椰林路与海棠北路供水主管</w:t>
      </w:r>
      <w:r>
        <w:rPr>
          <w:rFonts w:hint="eastAsia" w:ascii="Times New Roman" w:hAnsi="Times New Roman" w:eastAsia="仿宋_GB2312"/>
          <w:sz w:val="32"/>
          <w:szCs w:val="22"/>
        </w:rPr>
        <w:t>，规划沿</w:t>
      </w:r>
      <w:r>
        <w:rPr>
          <w:rFonts w:ascii="Times New Roman" w:hAnsi="Times New Roman" w:eastAsia="仿宋_GB2312"/>
          <w:sz w:val="32"/>
          <w:szCs w:val="22"/>
        </w:rPr>
        <w:t>林旺大道、江林路、风塘路</w:t>
      </w:r>
      <w:r>
        <w:rPr>
          <w:rFonts w:hint="eastAsia" w:ascii="Times New Roman" w:hAnsi="Times New Roman" w:eastAsia="仿宋_GB2312"/>
          <w:sz w:val="32"/>
          <w:szCs w:val="22"/>
        </w:rPr>
        <w:t>等新建管道，进一步提高</w:t>
      </w:r>
      <w:r>
        <w:rPr>
          <w:rFonts w:ascii="Times New Roman" w:hAnsi="Times New Roman" w:eastAsia="仿宋_GB2312"/>
          <w:sz w:val="32"/>
          <w:szCs w:val="22"/>
        </w:rPr>
        <w:t>海棠湾片区供水保障能力</w:t>
      </w:r>
      <w:r>
        <w:rPr>
          <w:rFonts w:hint="eastAsia" w:ascii="Times New Roman" w:hAnsi="Times New Roman" w:eastAsia="仿宋_GB2312"/>
          <w:sz w:val="32"/>
          <w:szCs w:val="22"/>
        </w:rPr>
        <w:t>。</w:t>
      </w:r>
      <w:r>
        <w:rPr>
          <w:rFonts w:ascii="Times New Roman" w:hAnsi="Times New Roman" w:eastAsia="仿宋_GB2312"/>
          <w:sz w:val="32"/>
          <w:szCs w:val="22"/>
        </w:rPr>
        <w:t>持续推进三亚市农村饮水巩固提升工程建设，</w:t>
      </w:r>
      <w:r>
        <w:rPr>
          <w:rFonts w:hint="eastAsia" w:ascii="Times New Roman" w:hAnsi="Times New Roman" w:eastAsia="仿宋_GB2312"/>
          <w:sz w:val="32"/>
          <w:szCs w:val="22"/>
        </w:rPr>
        <w:t>提升全市农村供水品质，完善加压设施及入户无线远传水表。</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推进住宅小区供水抄表到户和二次供水设施改造，积极开展高品质供水建设。坚持“先移交、后改造”原则，新建小区配套供水设施同步建设、同步验收、直接移交，存量小区以居民自愿为前提分类推进移交改造，全面推行供水企业专业化运维管理。三年内基本实现全市住宅小区抄表到户全覆盖和二次供水设施应改尽改，提升居民饮用水品质和安全保障水平。结合三亚市旅游城市实际用水特点，建成三亚崖州湾科技城等一批高品质饮用水示范工程。</w:t>
      </w:r>
    </w:p>
    <w:p>
      <w:pPr>
        <w:keepNext/>
        <w:spacing w:after="0" w:line="578" w:lineRule="exact"/>
        <w:jc w:val="center"/>
        <w:rPr>
          <w:rFonts w:ascii="Times New Roman" w:hAnsi="Times New Roman" w:eastAsia="黑体"/>
          <w:sz w:val="28"/>
          <w:szCs w:val="28"/>
        </w:rPr>
      </w:pPr>
      <w:r>
        <w:rPr>
          <w:rFonts w:hint="eastAsia" w:ascii="Times New Roman" w:hAnsi="Times New Roman" w:eastAsia="黑体"/>
          <w:sz w:val="28"/>
          <w:szCs w:val="28"/>
        </w:rPr>
        <w:t>专栏3城乡供水保障重点工程</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9060" w:type="dxa"/>
            <w:tcBorders>
              <w:top w:val="single" w:color="auto" w:sz="4" w:space="0"/>
              <w:left w:val="single" w:color="auto" w:sz="4" w:space="0"/>
              <w:bottom w:val="single" w:color="auto" w:sz="4" w:space="0"/>
              <w:right w:val="single" w:color="auto" w:sz="4" w:space="0"/>
            </w:tcBorders>
          </w:tcPr>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ascii="Times New Roman" w:hAnsi="Times New Roman" w:eastAsia="仿宋_GB2312"/>
                <w:sz w:val="28"/>
                <w:szCs w:val="28"/>
              </w:rPr>
              <w:t>.</w:t>
            </w:r>
            <w:r>
              <w:rPr>
                <w:rFonts w:hint="eastAsia" w:ascii="Times New Roman" w:hAnsi="Times New Roman" w:eastAsia="仿宋_GB2312"/>
                <w:sz w:val="28"/>
                <w:szCs w:val="28"/>
              </w:rPr>
              <w:t>水资源配置工程</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加快构建多源互济、区域均衡、统筹调配的现代水资源配置体系，全面融入海南水网建设，配合推进海南省昌化江水资源配置工程建设，年新增供水量8000万m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。统筹本地骨干水库调蓄能力提升，形成以现状大隆、赤田及新建新民、龙潭水库等为主要节点的区域性调蓄与互济格局，新增兴利库容约4500万m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，提升城市与农业供水的统筹协调能力。</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w:t>
            </w:r>
            <w:r>
              <w:rPr>
                <w:rFonts w:hint="eastAsia" w:ascii="Times New Roman" w:hAnsi="Times New Roman" w:eastAsia="仿宋_GB2312"/>
                <w:sz w:val="28"/>
                <w:szCs w:val="28"/>
              </w:rPr>
              <w:t>城市供水设施能力提升工程</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重点推进中部、西部水厂扩能、开展三亚市西水中调工程（一期）——净水厂设备采购安装工程、三亚市中部水厂扩建工程（二期）、三亚市西部水厂扩建工程及天涯泵站扩建工程建设，新增供水能力36.5万m</w:t>
            </w:r>
            <w:r>
              <w:rPr>
                <w:rFonts w:hint="eastAsia" w:ascii="Times New Roman" w:hAnsi="Times New Roman" w:eastAsia="仿宋_GB2312"/>
                <w:sz w:val="28"/>
                <w:szCs w:val="28"/>
                <w:vertAlign w:val="superscript"/>
              </w:rPr>
              <w:t>3</w:t>
            </w:r>
            <w:r>
              <w:rPr>
                <w:rFonts w:hint="eastAsia" w:ascii="Times New Roman" w:hAnsi="Times New Roman" w:eastAsia="仿宋_GB2312"/>
                <w:sz w:val="28"/>
                <w:szCs w:val="28"/>
              </w:rPr>
              <w:t>/d。</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3.城市供水管网能力提升工程</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重点推进各分区供水管网提质增效，增强供水保障能力，开展三亚市西水中调工程（一期）——净水厂及配水干管工程（太阳城南路、新联路）、三亚市海棠湾片区供水保障能力提升工程（一期）、三亚市海棠湾片区供水管网更新改造工程、三亚市西岛供水管网更新改造工程。积极开展二次供水及高品质供水工程建设，推进三亚市崖州科技城饮用水供水设施改造工程、</w:t>
            </w:r>
            <w:r>
              <w:rPr>
                <w:rFonts w:ascii="Times New Roman" w:hAnsi="Times New Roman" w:eastAsia="仿宋_GB2312"/>
                <w:sz w:val="28"/>
                <w:szCs w:val="28"/>
              </w:rPr>
              <w:t>三亚市住宅小区供水抄表到户改造工程</w:t>
            </w:r>
            <w:r>
              <w:rPr>
                <w:rFonts w:hint="eastAsia" w:ascii="Times New Roman" w:hAnsi="Times New Roman" w:eastAsia="仿宋_GB2312"/>
                <w:sz w:val="28"/>
                <w:szCs w:val="28"/>
              </w:rPr>
              <w:t>建设，为全省现代化供水提供示范。</w:t>
            </w:r>
          </w:p>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4.农村饮水巩固工程</w:t>
            </w:r>
          </w:p>
          <w:p>
            <w:pPr>
              <w:spacing w:after="0" w:line="578" w:lineRule="exact"/>
              <w:ind w:firstLine="560" w:firstLineChars="200"/>
              <w:rPr>
                <w:rFonts w:ascii="Times New Roman" w:hAnsi="Times New Roman" w:eastAsia="仿宋_GB2312"/>
                <w:sz w:val="32"/>
                <w:szCs w:val="22"/>
              </w:rPr>
            </w:pPr>
            <w:r>
              <w:rPr>
                <w:rFonts w:ascii="Times New Roman" w:hAnsi="Times New Roman" w:eastAsia="仿宋_GB2312"/>
                <w:sz w:val="28"/>
                <w:szCs w:val="28"/>
              </w:rPr>
              <w:t>持续推进三亚市农村</w:t>
            </w:r>
            <w:r>
              <w:rPr>
                <w:rFonts w:hint="eastAsia" w:ascii="Times New Roman" w:hAnsi="Times New Roman" w:eastAsia="仿宋_GB2312"/>
                <w:sz w:val="28"/>
                <w:szCs w:val="28"/>
              </w:rPr>
              <w:t>（垦区）</w:t>
            </w:r>
            <w:r>
              <w:rPr>
                <w:rFonts w:ascii="Times New Roman" w:hAnsi="Times New Roman" w:eastAsia="仿宋_GB2312"/>
                <w:sz w:val="28"/>
                <w:szCs w:val="28"/>
              </w:rPr>
              <w:t>饮水巩固提升工程</w:t>
            </w:r>
            <w:r>
              <w:rPr>
                <w:rFonts w:hint="eastAsia" w:ascii="Times New Roman" w:hAnsi="Times New Roman" w:eastAsia="仿宋_GB2312"/>
                <w:sz w:val="28"/>
                <w:szCs w:val="28"/>
                <w:lang w:val="en" w:eastAsia="zh-CN"/>
              </w:rPr>
              <w:t>（</w:t>
            </w:r>
            <w:r>
              <w:rPr>
                <w:rFonts w:hint="eastAsia" w:ascii="Times New Roman" w:hAnsi="Times New Roman" w:eastAsia="仿宋_GB2312"/>
                <w:sz w:val="28"/>
                <w:szCs w:val="28"/>
                <w:lang w:val="en"/>
              </w:rPr>
              <w:t>一期</w:t>
            </w:r>
            <w:r>
              <w:rPr>
                <w:rFonts w:hint="eastAsia" w:ascii="Times New Roman" w:hAnsi="Times New Roman" w:eastAsia="仿宋_GB2312"/>
                <w:sz w:val="28"/>
                <w:szCs w:val="28"/>
                <w:lang w:val="en" w:eastAsia="zh-CN"/>
              </w:rPr>
              <w:t>），</w:t>
            </w:r>
            <w:r>
              <w:rPr>
                <w:rFonts w:hint="eastAsia" w:ascii="Times New Roman" w:hAnsi="Times New Roman" w:eastAsia="仿宋_GB2312"/>
                <w:sz w:val="28"/>
                <w:szCs w:val="28"/>
              </w:rPr>
              <w:t>三亚市农村（垦区）饮水巩固提升工程（二</w:t>
            </w:r>
            <w:r>
              <w:rPr>
                <w:rFonts w:hint="eastAsia" w:ascii="仿宋_GB2312" w:hAnsi="仿宋_GB2312" w:eastAsia="仿宋_GB2312" w:cs="仿宋_GB2312"/>
                <w:sz w:val="28"/>
                <w:szCs w:val="28"/>
              </w:rPr>
              <w:t>—</w:t>
            </w:r>
            <w:r>
              <w:rPr>
                <w:rFonts w:hint="eastAsia" w:ascii="Times New Roman" w:hAnsi="Times New Roman" w:eastAsia="仿宋_GB2312"/>
                <w:sz w:val="28"/>
                <w:szCs w:val="28"/>
              </w:rPr>
              <w:t>四期）建设。</w:t>
            </w:r>
          </w:p>
        </w:tc>
      </w:tr>
    </w:tbl>
    <w:p>
      <w:pPr>
        <w:keepNext/>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75" w:name="_Toc1153165320"/>
      <w:r>
        <w:rPr>
          <w:rFonts w:hint="eastAsia" w:ascii="楷体_GB2312" w:hAnsi="楷体_GB2312" w:eastAsia="楷体_GB2312" w:cs="楷体_GB2312"/>
          <w:sz w:val="32"/>
          <w:szCs w:val="30"/>
        </w:rPr>
        <w:t>复苏河湖生态环境</w:t>
      </w:r>
      <w:bookmarkEnd w:id="75"/>
    </w:p>
    <w:p>
      <w:pPr>
        <w:numPr>
          <w:ilvl w:val="2"/>
          <w:numId w:val="7"/>
        </w:numPr>
        <w:spacing w:after="0" w:line="578" w:lineRule="exact"/>
        <w:ind w:firstLine="640"/>
        <w:outlineLvl w:val="2"/>
        <w:rPr>
          <w:rFonts w:ascii="Times New Roman" w:hAnsi="Times New Roman" w:eastAsia="仿宋_GB2312"/>
          <w:sz w:val="32"/>
          <w:szCs w:val="22"/>
        </w:rPr>
      </w:pPr>
      <w:bookmarkStart w:id="76" w:name="_Toc218452351"/>
      <w:bookmarkStart w:id="77" w:name="_Toc69123851"/>
      <w:bookmarkStart w:id="78" w:name="_Toc230982085"/>
      <w:bookmarkStart w:id="79" w:name="_Toc214552913"/>
      <w:r>
        <w:rPr>
          <w:rFonts w:hint="eastAsia" w:ascii="Times New Roman" w:hAnsi="Times New Roman" w:eastAsia="仿宋_GB2312"/>
          <w:sz w:val="32"/>
          <w:szCs w:val="22"/>
        </w:rPr>
        <w:t>面临挑战</w:t>
      </w:r>
      <w:bookmarkEnd w:id="76"/>
      <w:bookmarkEnd w:id="77"/>
      <w:bookmarkEnd w:id="78"/>
      <w:bookmarkEnd w:id="79"/>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三亚市河湖生态本底优良，但面对海南自由贸易港封关运作与经济社会高质量发展的新要求，局部性、结构性的生态压力依然存在。一是“发展中的挑战”：城镇扩张、特色农业开发等经济活动对部分河段岸线空间与自然生境造成持续性压力，生态空间的完整性与韧性面临考验，同时，部分水系连通性不足，水体流动性差，削弱了水体的自净能力，加剧了水质恶化风险，割裂了水生态系统的连续性与完整性。二是“能力上的不足”：城乡生活污水处理能力与增长的排放量不匹配，</w:t>
      </w:r>
      <w:r>
        <w:rPr>
          <w:rFonts w:ascii="Times New Roman" w:hAnsi="Times New Roman" w:eastAsia="仿宋_GB2312"/>
          <w:sz w:val="32"/>
          <w:szCs w:val="22"/>
        </w:rPr>
        <w:t>农村生活污水治理仍有部分自然村未完成治理</w:t>
      </w:r>
      <w:r>
        <w:rPr>
          <w:rFonts w:hint="eastAsia" w:ascii="Times New Roman" w:hAnsi="Times New Roman" w:eastAsia="仿宋_GB2312"/>
          <w:sz w:val="32"/>
          <w:szCs w:val="22"/>
        </w:rPr>
        <w:t>，且部分社区生活污水处理需求仍然较大，与建设世界级现代化滨海旅游城市的基础设施标准存在差距。三是“持续性的隐忧”：在热带特色产业大力推进的背景下，开发建设活动引发的新增水土流失风险仍然存在，威胁河湖生命健康与永续利用。</w:t>
      </w:r>
      <w:bookmarkStart w:id="80" w:name="_Hlk218410342"/>
      <w:r>
        <w:rPr>
          <w:rFonts w:hint="eastAsia" w:ascii="Times New Roman" w:hAnsi="Times New Roman" w:eastAsia="仿宋_GB2312"/>
          <w:sz w:val="32"/>
          <w:szCs w:val="22"/>
        </w:rPr>
        <w:t>四是“存量资源的错配”：部分水库的传统功能与城市快速发展、国土空间功能重塑后的新需求之间出现错配，一些小型水库淤积严重、原功能衰减且存在安全隐患，需有序推动安全退出；另一些区位优、生态好的水库，其单一的防洪、供水功能已难以匹配城市对优质生态空间的迫切需求，亟待探索功能转型与价值提升路径，以盘活水利资产，服务高质量发展。</w:t>
      </w:r>
    </w:p>
    <w:bookmarkEnd w:id="80"/>
    <w:p>
      <w:pPr>
        <w:numPr>
          <w:ilvl w:val="2"/>
          <w:numId w:val="7"/>
        </w:numPr>
        <w:spacing w:after="0" w:line="578" w:lineRule="exact"/>
        <w:ind w:firstLine="640"/>
        <w:outlineLvl w:val="2"/>
        <w:rPr>
          <w:rFonts w:ascii="Times New Roman" w:hAnsi="Times New Roman" w:eastAsia="仿宋_GB2312"/>
          <w:sz w:val="32"/>
          <w:szCs w:val="22"/>
        </w:rPr>
      </w:pPr>
      <w:bookmarkStart w:id="81" w:name="_Toc218452352"/>
      <w:bookmarkStart w:id="82" w:name="_Toc441051610"/>
      <w:bookmarkStart w:id="83" w:name="_Toc214552914"/>
      <w:bookmarkStart w:id="84" w:name="_Toc230982086"/>
      <w:r>
        <w:rPr>
          <w:rFonts w:hint="eastAsia" w:ascii="Times New Roman" w:hAnsi="Times New Roman" w:eastAsia="仿宋_GB2312"/>
          <w:sz w:val="32"/>
          <w:szCs w:val="22"/>
        </w:rPr>
        <w:t>发展机遇</w:t>
      </w:r>
      <w:bookmarkEnd w:id="81"/>
      <w:bookmarkEnd w:id="82"/>
      <w:bookmarkEnd w:id="83"/>
      <w:bookmarkEnd w:id="84"/>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美丽中国先行区”是三亚市未来城市发展的核心定位之一，为高标准推进水生态保护修复提供了强大动力。《关于全面推进江河保护治理的意见》明确提出“复苏河湖生态环境”“建设江河绿色生态廊道”，为系统治理提供了行动指南。社会公众对优质水生态环境的期盼日益高涨，为复苏河湖生态环境注入了广泛的民意基础，推动“幸福河湖”从愿景走向现实。</w:t>
      </w:r>
    </w:p>
    <w:p>
      <w:pPr>
        <w:numPr>
          <w:ilvl w:val="2"/>
          <w:numId w:val="7"/>
        </w:numPr>
        <w:spacing w:after="0" w:line="578" w:lineRule="exact"/>
        <w:ind w:firstLine="640"/>
        <w:outlineLvl w:val="2"/>
        <w:rPr>
          <w:rFonts w:ascii="Times New Roman" w:hAnsi="Times New Roman" w:eastAsia="仿宋_GB2312"/>
          <w:sz w:val="32"/>
          <w:szCs w:val="22"/>
        </w:rPr>
      </w:pPr>
      <w:bookmarkStart w:id="85" w:name="_Toc230982087"/>
      <w:bookmarkStart w:id="86" w:name="_Toc1737405686"/>
      <w:bookmarkStart w:id="87" w:name="_Toc218452353"/>
      <w:bookmarkStart w:id="88" w:name="_Toc214552915"/>
      <w:r>
        <w:rPr>
          <w:rFonts w:hint="eastAsia" w:ascii="Times New Roman" w:hAnsi="Times New Roman" w:eastAsia="仿宋_GB2312"/>
          <w:sz w:val="32"/>
          <w:szCs w:val="22"/>
        </w:rPr>
        <w:t>重点任务</w:t>
      </w:r>
      <w:bookmarkEnd w:id="85"/>
      <w:bookmarkEnd w:id="86"/>
      <w:bookmarkEnd w:id="87"/>
      <w:bookmarkEnd w:id="88"/>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（1）强化水域岸线管控，守牢生态安全底线。坚决扛起美丽中国先行区的使命担当，将河湖水域岸线空间管控提升至保障海南自由贸易港生态安全的核心高度，</w:t>
      </w:r>
      <w:r>
        <w:rPr>
          <w:rFonts w:ascii="Times New Roman" w:hAnsi="Times New Roman" w:eastAsia="仿宋_GB2312"/>
          <w:sz w:val="32"/>
          <w:szCs w:val="22"/>
        </w:rPr>
        <w:t>有效维护河湖行蓄洪空间</w:t>
      </w:r>
      <w:r>
        <w:rPr>
          <w:rFonts w:hint="eastAsia" w:ascii="Times New Roman" w:hAnsi="Times New Roman" w:eastAsia="仿宋_GB2312"/>
          <w:sz w:val="32"/>
          <w:szCs w:val="22"/>
        </w:rPr>
        <w:t>，保障</w:t>
      </w:r>
      <w:r>
        <w:rPr>
          <w:rFonts w:ascii="Times New Roman" w:hAnsi="Times New Roman" w:eastAsia="仿宋_GB2312"/>
          <w:sz w:val="32"/>
          <w:szCs w:val="22"/>
        </w:rPr>
        <w:t>安澜江河</w:t>
      </w:r>
      <w:r>
        <w:rPr>
          <w:rFonts w:hint="eastAsia" w:ascii="Times New Roman" w:hAnsi="Times New Roman" w:eastAsia="仿宋_GB2312"/>
          <w:sz w:val="32"/>
          <w:szCs w:val="22"/>
        </w:rPr>
        <w:t>建设。</w:t>
      </w:r>
      <w:r>
        <w:rPr>
          <w:rFonts w:ascii="Times New Roman" w:hAnsi="Times New Roman" w:eastAsia="仿宋_GB2312"/>
          <w:sz w:val="32"/>
          <w:szCs w:val="22"/>
        </w:rPr>
        <w:t>梳理历年来因城市建设切断的水系，由山向海恢复自然径流，系统推进三亚河湖生态保护与修复。</w:t>
      </w:r>
      <w:r>
        <w:rPr>
          <w:rFonts w:hint="eastAsia" w:ascii="Times New Roman" w:hAnsi="Times New Roman" w:eastAsia="仿宋_GB2312"/>
          <w:sz w:val="32"/>
          <w:szCs w:val="22"/>
        </w:rPr>
        <w:t>严格落实河湖管理范围划定工作成果，守住河湖水域岸线空间的底线，严禁以任何名义非法占用和束窄。结合河湖自然生态属性、岸线稳定性等特点，综合考虑防洪安全、河势稳定、供水安全、生态环境保护、重要基础设施安全等约束条件，合理划分岸线保护区、岸线保留区和岸线控制利用区，实施岸线分区管控，依法依规严格控制各类水域岸线利用行为。严格按照法律法规以及岸线功能分区管控要求等，严把涉河建设项目受理、审查、许可关。建立涉河建设项目信用承诺制，加强事中事后监管，对违反承诺的市场主体依法依规实施失信惩戒。</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加强生态流量保障，推动幸福河湖建设。系统保障重要河流生态流量，重点强化宁远河、藤桥河、三亚河生态流量保障与精准调控，夯实三亚河湖复苏基础，保障生命江河建设。根据河流控制断面生态流量目标，建立实时监测系统，对具有调度条件的控制断面开展生态流量调度工作。加强河道外经济社会用水管控，当河道实测流量小于生态流量时，按照优先保证生活用水、确保生态基本需水、合理配置生产需水的原则，科学统筹协调生活、生态、生产用水。探索再生水生态补水实施路径，重点推进</w:t>
      </w:r>
      <w:r>
        <w:rPr>
          <w:rFonts w:ascii="Times New Roman" w:hAnsi="Times New Roman" w:eastAsia="仿宋_GB2312"/>
          <w:sz w:val="32"/>
          <w:szCs w:val="22"/>
        </w:rPr>
        <w:t>三亚市亚龙湾节水能力提升工程</w:t>
      </w:r>
      <w:r>
        <w:rPr>
          <w:rFonts w:hint="eastAsia" w:ascii="Times New Roman" w:hAnsi="Times New Roman" w:eastAsia="仿宋_GB2312"/>
          <w:sz w:val="32"/>
          <w:szCs w:val="22"/>
        </w:rPr>
        <w:t>。坚持落实最严格水资源管理制度，严把取水许可关，加强取水口流量监测与不间断巡查监管工作，避免漏水、偷水情况发生。</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深入贯彻国家“江河战略”，积极响应建设造福人民的幸福江河的伟大号召，依据《海南省幸福河湖建设实施方案（2025—2030年）》，按照“点上聚焦成景、线上连接成廊”的总体构想和“一城一镇一河湖，一河（湖）一景一文化”的建设愿景，充分发挥河湖长制优势，统筹水灾害、水资源、水生态、水环境、水文化和岸线保护，打造一批幸福河湖示范点，以高品质河湖生态环境支撑经济社会高质量发展。</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构建现代化污水处理体系，服务区域绿色转型。围绕封关运作后城市发展新格局，高标准推进城镇污水处理体系现代化。科学优化设施布局，在污水处理能力不足的区域，结合管网建设规划新建、扩建水质净化厂，协同提升生活污水处理效能与韧性，“十五五”期间新增污水处理能力</w:t>
      </w:r>
      <w:r>
        <w:rPr>
          <w:rFonts w:ascii="Times New Roman" w:hAnsi="Times New Roman" w:eastAsia="仿宋_GB2312"/>
          <w:sz w:val="32"/>
          <w:szCs w:val="22"/>
        </w:rPr>
        <w:t>10.2</w:t>
      </w:r>
      <w:r>
        <w:rPr>
          <w:rFonts w:hint="eastAsia" w:ascii="Times New Roman" w:hAnsi="Times New Roman" w:eastAsia="仿宋_GB2312"/>
          <w:sz w:val="32"/>
          <w:szCs w:val="22"/>
        </w:rPr>
        <w:t>5万m</w:t>
      </w:r>
      <w:r>
        <w:rPr>
          <w:rFonts w:hint="eastAsia" w:ascii="Times New Roman" w:hAnsi="Times New Roman" w:eastAsia="仿宋_GB2312"/>
          <w:sz w:val="32"/>
          <w:szCs w:val="22"/>
          <w:vertAlign w:val="superscript"/>
        </w:rPr>
        <w:t>3</w:t>
      </w:r>
      <w:r>
        <w:rPr>
          <w:rFonts w:hint="eastAsia" w:ascii="Times New Roman" w:hAnsi="Times New Roman" w:eastAsia="仿宋_GB2312"/>
          <w:sz w:val="32"/>
          <w:szCs w:val="22"/>
        </w:rPr>
        <w:t>/d（包含2026年已完工的三亚市清流园水质净化厂工程处理规模）。根据水环境保护目标、水环境承载能力、水资源禀赋和技术经济条件，对污水处理设施进行科学论证，合理确定排放标准。研究太阳能等绿色能源在水质净化厂中的应用，减少运行中化石能源的消耗，有效推进城镇污水处理系统节能降耗，助力海南“清洁能源岛”建设。</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持续推进农村生活污水治理，改善人居环境，服务乡村振兴与城乡协调发展样板区建设。以改善污水造成的脏乱差状况和环境污染、杜绝未经处理的直排现象为导向，按照“因地制宜、分类施策”的原则，综合考虑农村区位条件、地形地貌、经济发展水平、污水实际产生量等因素，合理选择资源化利用、纳入城镇污水处理系统、集中式处理等治理模式。统筹农村生活污水治理和厕所革命，加强农村改厕与农村生活污水治理的有效衔接。积极探索多元化的资金筹集渠道，按照轻重缓急原则，分期实施后续农村生活污水治理项目。</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（4）深化水土流失防治，探索价值转化路径。围绕提升区域水土保持功能，开展生态清洁小流域建设，管控人为水土流失，深入开展生态产品价值实现，稳步推进提质增效向生态增值转型。</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坚持预防为主、保护优先。加强全市江河源头区、重要饮用水水源保护区、海岛与海岸带等重点区域预防保护力度。</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持续开展水土流失综合治理。推进海棠区一体化水土保持工程建设项目立项实施，以小流域为单元一体化推进水土流失治理、生态产品培育、机制创新和管理能力提升，主要建设内容包括坡园地改造、坡面水系工程、生态护岸工程、人工湿地工程及相关配套设施等。以椰子洲岛为重点推进海岛水土流失治理，采取生态护坡工程和海防林建设等措施防治海岸侵蚀。</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加强水土保持监督管理。以控制人为水土流失、营造良好营商环境为目标，健全水土保持监督管理制度体系，做好重点项目水土保持监管和服务指导，加强农林开发活动监管，推动城市建成区精准监管。</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提升水土保持管理能力。围绕水土保持管理需求，开展监测评价，发挥水土保持监测对水土保持高质量发展的支撑作用。在三亚市智慧水务平台的顶层设计框架下，结合市域水土保持业务管理实际，逐步建立智慧水土保持平台。加强对海棠区、海棠河水系综合整治工程、G98环岛高速公路大三亚段扩容工程等第一批国家水土保持示范创建入围单位的指导监督，推动其在创建周期内达到指标要求。推进水土保持生态产品价值实现。（详见三亚市“十五五”水务规划水土保持专章）</w:t>
      </w:r>
    </w:p>
    <w:p>
      <w:pPr>
        <w:spacing w:after="0" w:line="578" w:lineRule="exact"/>
        <w:ind w:firstLine="640" w:firstLineChars="200"/>
        <w:rPr>
          <w:rFonts w:ascii="Times New Roman" w:hAnsi="Times New Roman" w:eastAsia="仿宋_GB2312"/>
          <w:sz w:val="32"/>
          <w:szCs w:val="22"/>
        </w:rPr>
      </w:pPr>
      <w:bookmarkStart w:id="89" w:name="_Hlk218411072"/>
      <w:r>
        <w:rPr>
          <w:rFonts w:hint="eastAsia" w:ascii="Times New Roman" w:hAnsi="Times New Roman" w:eastAsia="仿宋_GB2312"/>
          <w:sz w:val="32"/>
          <w:szCs w:val="22"/>
        </w:rPr>
        <w:t>（5）推进水库功能优化与水生态价值综合实现。为应对水库功能与城市发展需求的错配问题，遵循分类施策原则，系统推进水库功能优化与价值提升。一是开展评估与分类，对全市水库进行安全鉴定、功能复核与价值潜力评估，科学识别需安全退出和具备转型潜力的水库名录。二是实施差别化调控，对功能丧失、隐患突出的水库，依法依规稳步推进降等或报废，消除安全隐患；对区位条件优、生态本底好的水库，积极推动其从单一水利设施向生态、景观、文旅融合的综合性服务节点转型。三是创新协同机制，探索跨部门、跨层级的库区协同管理机制与配套政策，引导社会资本参与，盘活水利资产。</w:t>
      </w:r>
    </w:p>
    <w:bookmarkEnd w:id="89"/>
    <w:p>
      <w:pPr>
        <w:spacing w:after="0" w:line="578" w:lineRule="exact"/>
        <w:jc w:val="center"/>
        <w:rPr>
          <w:rFonts w:ascii="Times New Roman" w:hAnsi="Times New Roman" w:eastAsia="黑体"/>
          <w:sz w:val="28"/>
          <w:szCs w:val="28"/>
        </w:rPr>
      </w:pPr>
      <w:r>
        <w:rPr>
          <w:rFonts w:ascii="Times New Roman" w:hAnsi="Times New Roman" w:eastAsia="黑体"/>
          <w:sz w:val="28"/>
          <w:szCs w:val="28"/>
        </w:rPr>
        <w:t>专栏</w:t>
      </w:r>
      <w:r>
        <w:rPr>
          <w:rFonts w:hint="eastAsia" w:ascii="Times New Roman" w:hAnsi="Times New Roman" w:eastAsia="黑体"/>
          <w:sz w:val="28"/>
          <w:szCs w:val="28"/>
        </w:rPr>
        <w:t>4</w:t>
      </w:r>
      <w:r>
        <w:rPr>
          <w:rFonts w:ascii="Times New Roman" w:hAnsi="Times New Roman" w:eastAsia="黑体"/>
          <w:sz w:val="28"/>
          <w:szCs w:val="28"/>
        </w:rPr>
        <w:t xml:space="preserve"> </w:t>
      </w:r>
      <w:r>
        <w:rPr>
          <w:rFonts w:hint="eastAsia" w:ascii="Times New Roman" w:hAnsi="Times New Roman" w:eastAsia="黑体"/>
          <w:sz w:val="28"/>
          <w:szCs w:val="28"/>
        </w:rPr>
        <w:t>复苏河湖生态环境</w:t>
      </w:r>
      <w:r>
        <w:rPr>
          <w:rFonts w:ascii="Times New Roman" w:hAnsi="Times New Roman" w:eastAsia="黑体"/>
          <w:sz w:val="28"/>
          <w:szCs w:val="28"/>
        </w:rPr>
        <w:t>重点工程</w:t>
      </w:r>
    </w:p>
    <w:tbl>
      <w:tblPr>
        <w:tblStyle w:val="25"/>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046" w:type="dxa"/>
          </w:tcPr>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1.城乡污水处理工程。</w:t>
            </w:r>
          </w:p>
          <w:p>
            <w:pPr>
              <w:spacing w:after="0" w:line="578" w:lineRule="exact"/>
              <w:ind w:firstLine="560" w:firstLineChars="200"/>
              <w:rPr>
                <w:rFonts w:ascii="Times New Roman" w:hAnsi="Times New Roman" w:eastAsia="仿宋_GB2312"/>
                <w:sz w:val="28"/>
                <w:szCs w:val="28"/>
              </w:rPr>
            </w:pPr>
            <w:bookmarkStart w:id="90" w:name="_Hlk208328156"/>
            <w:r>
              <w:rPr>
                <w:rFonts w:hint="eastAsia" w:ascii="Times New Roman" w:hAnsi="Times New Roman" w:eastAsia="仿宋_GB2312"/>
                <w:sz w:val="28"/>
                <w:szCs w:val="28"/>
              </w:rPr>
              <w:t>加快实施三亚市海棠湾第二水质净化厂扩建提标、创意新城污水处理厂改扩建、循环经济产业园水质净化厂、育才水质净化厂提标改造、育才水质净化厂扩建、农村生活污水治理项目二期等工程。</w:t>
            </w:r>
          </w:p>
          <w:bookmarkEnd w:id="90"/>
          <w:p>
            <w:pPr>
              <w:spacing w:after="0" w:line="578"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2.水土流失治理工程。</w:t>
            </w:r>
          </w:p>
          <w:p>
            <w:pPr>
              <w:spacing w:after="0" w:line="578" w:lineRule="exact"/>
              <w:ind w:firstLine="560" w:firstLineChars="200"/>
              <w:rPr>
                <w:rFonts w:ascii="Times New Roman" w:hAnsi="Times New Roman" w:eastAsia="仿宋_GB2312"/>
                <w:sz w:val="32"/>
                <w:szCs w:val="22"/>
              </w:rPr>
            </w:pPr>
            <w:bookmarkStart w:id="91" w:name="_Hlk208328175"/>
            <w:r>
              <w:rPr>
                <w:rFonts w:hint="eastAsia" w:ascii="Times New Roman" w:hAnsi="Times New Roman" w:eastAsia="仿宋_GB2312"/>
                <w:sz w:val="28"/>
                <w:szCs w:val="28"/>
              </w:rPr>
              <w:t>推进海南省海棠区2027年一体化推进水土保持工程建设、海棠区椰子洲水土流失治理项目。</w:t>
            </w:r>
            <w:bookmarkEnd w:id="91"/>
          </w:p>
        </w:tc>
      </w:tr>
    </w:tbl>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92" w:name="_Toc1154793652"/>
      <w:r>
        <w:rPr>
          <w:rFonts w:hint="eastAsia" w:ascii="楷体_GB2312" w:hAnsi="楷体_GB2312" w:eastAsia="楷体_GB2312" w:cs="楷体_GB2312"/>
          <w:sz w:val="32"/>
          <w:szCs w:val="30"/>
        </w:rPr>
        <w:t>完善现代农业水利保障设施</w:t>
      </w:r>
      <w:bookmarkEnd w:id="92"/>
    </w:p>
    <w:p>
      <w:pPr>
        <w:numPr>
          <w:ilvl w:val="0"/>
          <w:numId w:val="8"/>
        </w:numPr>
        <w:spacing w:after="0" w:line="578" w:lineRule="exact"/>
        <w:ind w:left="0" w:firstLine="640"/>
        <w:outlineLvl w:val="2"/>
        <w:rPr>
          <w:rFonts w:ascii="Times New Roman" w:hAnsi="Times New Roman" w:eastAsia="仿宋_GB2312"/>
          <w:sz w:val="32"/>
          <w:szCs w:val="22"/>
        </w:rPr>
      </w:pPr>
      <w:bookmarkStart w:id="93" w:name="_Toc218452355"/>
      <w:bookmarkStart w:id="94" w:name="_Toc1984758263"/>
      <w:bookmarkStart w:id="95" w:name="_Toc214552917"/>
      <w:bookmarkStart w:id="96" w:name="_Toc230982089"/>
      <w:r>
        <w:rPr>
          <w:rFonts w:hint="eastAsia" w:ascii="Times New Roman" w:hAnsi="Times New Roman" w:eastAsia="仿宋_GB2312"/>
          <w:sz w:val="32"/>
          <w:szCs w:val="22"/>
        </w:rPr>
        <w:t>面临挑战</w:t>
      </w:r>
      <w:bookmarkEnd w:id="93"/>
      <w:bookmarkEnd w:id="94"/>
      <w:bookmarkEnd w:id="95"/>
      <w:bookmarkEnd w:id="96"/>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三亚市当前灌区建设对标现代化灌区要求尚有一定差距，其系统性、完整性总体偏低，季节性、区域性缺水问题仍存在，特别是在赤田灌区下游青田田洋、落根田洋等区域，纯集雨型小型水库水源调节能力有限，旱季水库蓄水不足，枯水年灌溉缺口大，无法保障稳定供水。部分灌区骨干工程虽运行良好，但灌溉水利用系数偏低。热带特色农业与南繁科研等高标准农业区缺乏现代农业水利设</w:t>
      </w:r>
      <w:bookmarkStart w:id="97" w:name="_Hlk214551864"/>
      <w:r>
        <w:rPr>
          <w:rFonts w:hint="eastAsia" w:ascii="Times New Roman" w:hAnsi="Times New Roman" w:eastAsia="仿宋_GB2312"/>
          <w:sz w:val="32"/>
          <w:szCs w:val="22"/>
        </w:rPr>
        <w:t>施配套，示范引领能力不足，对现代农业的科技支撑与保障作用未能充分发挥。</w:t>
      </w:r>
    </w:p>
    <w:p>
      <w:pPr>
        <w:keepNext/>
        <w:numPr>
          <w:ilvl w:val="0"/>
          <w:numId w:val="8"/>
        </w:numPr>
        <w:spacing w:after="0" w:line="578" w:lineRule="exact"/>
        <w:ind w:left="0" w:firstLine="641"/>
        <w:outlineLvl w:val="2"/>
        <w:rPr>
          <w:rFonts w:ascii="Times New Roman" w:hAnsi="Times New Roman" w:eastAsia="仿宋_GB2312"/>
          <w:sz w:val="32"/>
          <w:szCs w:val="22"/>
        </w:rPr>
      </w:pPr>
      <w:bookmarkStart w:id="98" w:name="_Toc218452356"/>
      <w:bookmarkStart w:id="99" w:name="_Toc282063574"/>
      <w:bookmarkStart w:id="100" w:name="_Toc214552918"/>
      <w:bookmarkStart w:id="101" w:name="_Toc230982090"/>
      <w:r>
        <w:rPr>
          <w:rFonts w:hint="eastAsia" w:ascii="Times New Roman" w:hAnsi="Times New Roman" w:eastAsia="仿宋_GB2312"/>
          <w:sz w:val="32"/>
          <w:szCs w:val="22"/>
        </w:rPr>
        <w:t>发展机遇</w:t>
      </w:r>
      <w:bookmarkEnd w:id="98"/>
      <w:bookmarkEnd w:id="99"/>
      <w:bookmarkEnd w:id="100"/>
      <w:bookmarkEnd w:id="101"/>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服务国家“南繁硅谷”战略，保障粮食安全，为加快推进现代化灌区建设与改造提供了难得机遇。国家与省级层面均将灌区续建配套与现代化改造列为水网建设重点任务，资金与政策支持力度空前。智慧农业、高效节水灌溉技术的快速发展，为提升农业用水效率和效益提供了可靠的技术路径。</w:t>
      </w:r>
    </w:p>
    <w:p>
      <w:pPr>
        <w:numPr>
          <w:ilvl w:val="0"/>
          <w:numId w:val="8"/>
        </w:numPr>
        <w:spacing w:after="0" w:line="578" w:lineRule="exact"/>
        <w:ind w:left="0" w:firstLine="640"/>
        <w:outlineLvl w:val="2"/>
        <w:rPr>
          <w:rFonts w:ascii="Times New Roman" w:hAnsi="Times New Roman" w:eastAsia="仿宋_GB2312"/>
          <w:sz w:val="32"/>
          <w:szCs w:val="22"/>
        </w:rPr>
      </w:pPr>
      <w:bookmarkStart w:id="102" w:name="_Toc230982091"/>
      <w:bookmarkStart w:id="103" w:name="_Toc218452357"/>
      <w:bookmarkStart w:id="104" w:name="_Toc214552919"/>
      <w:bookmarkStart w:id="105" w:name="_Toc426071986"/>
      <w:r>
        <w:rPr>
          <w:rFonts w:hint="eastAsia" w:ascii="Times New Roman" w:hAnsi="Times New Roman" w:eastAsia="仿宋_GB2312"/>
          <w:sz w:val="32"/>
          <w:szCs w:val="22"/>
        </w:rPr>
        <w:t>重点任务</w:t>
      </w:r>
      <w:bookmarkEnd w:id="102"/>
      <w:bookmarkEnd w:id="103"/>
      <w:bookmarkEnd w:id="104"/>
      <w:bookmarkEnd w:id="105"/>
    </w:p>
    <w:bookmarkEnd w:id="97"/>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围绕三亚市现代化灌区发展的目标和布局，按照水源与灌区统筹，改建与新建并举的原则，构建高标准灌溉水利保障体系。加快新建灌区以及现有灌区续建配套与节水改造，完善灌排设施体系，充分衔接高标准农田建设、高效节水灌溉等项目，提高用水效率，夯实粮食安全、重要农产品供给及乡村振兴战略水利基础。协助海南省水务厅积极推进海南省南繁灌区工程。重点针对季节性缺水片区实施灌溉水源连通及引调水工程，重点推进三亚市育才生态区东南片区引调水与生态农业基础设施工程及三亚市赤田水库灌溉渡槽改造工程，形成具备引蓄自如的灌溉供水体系。持续推进中型灌区升级改造，加大节水工程建设力度，发展高效节水灌溉，持续推进赤田灌区的续建配套与现代化改造工程、三亚市妙林田洋灌区续建配套与现代化改造项目等。积极探索再生水作为灌溉水的有效途径，缓解季节性缺水问题。</w:t>
      </w:r>
    </w:p>
    <w:p>
      <w:pPr>
        <w:keepNext/>
        <w:spacing w:after="0" w:line="578" w:lineRule="exact"/>
        <w:jc w:val="center"/>
        <w:rPr>
          <w:rFonts w:ascii="Times New Roman" w:hAnsi="Times New Roman" w:eastAsia="黑体"/>
          <w:sz w:val="28"/>
          <w:szCs w:val="28"/>
        </w:rPr>
      </w:pPr>
      <w:r>
        <w:rPr>
          <w:rFonts w:hint="eastAsia" w:ascii="Times New Roman" w:hAnsi="Times New Roman" w:eastAsia="黑体"/>
          <w:sz w:val="28"/>
          <w:szCs w:val="28"/>
        </w:rPr>
        <w:t>专栏5</w:t>
      </w:r>
      <w:r>
        <w:rPr>
          <w:rFonts w:ascii="Times New Roman" w:hAnsi="Times New Roman" w:eastAsia="黑体"/>
          <w:sz w:val="28"/>
          <w:szCs w:val="28"/>
        </w:rPr>
        <w:t xml:space="preserve"> </w:t>
      </w:r>
      <w:r>
        <w:rPr>
          <w:rFonts w:hint="eastAsia" w:ascii="Times New Roman" w:hAnsi="Times New Roman" w:eastAsia="黑体"/>
          <w:sz w:val="28"/>
          <w:szCs w:val="28"/>
        </w:rPr>
        <w:t>现代农业水利保障重点工程</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9060" w:type="dxa"/>
            <w:tcBorders>
              <w:top w:val="single" w:color="auto" w:sz="4" w:space="0"/>
              <w:left w:val="single" w:color="auto" w:sz="4" w:space="0"/>
              <w:bottom w:val="single" w:color="auto" w:sz="4" w:space="0"/>
              <w:right w:val="single" w:color="auto" w:sz="4" w:space="0"/>
            </w:tcBorders>
          </w:tcPr>
          <w:p>
            <w:pPr>
              <w:spacing w:after="0" w:line="578" w:lineRule="exact"/>
              <w:ind w:firstLine="560" w:firstLineChars="200"/>
              <w:rPr>
                <w:rFonts w:ascii="Times New Roman" w:hAnsi="Times New Roman" w:eastAsia="仿宋_GB2312"/>
                <w:sz w:val="32"/>
                <w:szCs w:val="22"/>
              </w:rPr>
            </w:pPr>
            <w:r>
              <w:rPr>
                <w:rFonts w:hint="eastAsia" w:ascii="Times New Roman" w:hAnsi="Times New Roman" w:eastAsia="仿宋_GB2312"/>
                <w:sz w:val="28"/>
                <w:szCs w:val="28"/>
              </w:rPr>
              <w:t>围绕构建高标准现代化灌溉体系，协助海南省水务厅积极推进海南省南繁灌区工程，加快赤田、妙林田洋等灌区续建配套与现代化改造，持续推进三亚市赤田水库灌溉渡槽改造工程、三亚市育才生态区东南片区引调水与生态农业基础设施工程，完成灌排设施系统完善与提质升级，夯实热带特色农业和乡村振兴的水利基础支撑。</w:t>
            </w:r>
          </w:p>
        </w:tc>
      </w:tr>
    </w:tbl>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106" w:name="_Toc1132871261"/>
      <w:r>
        <w:rPr>
          <w:rFonts w:hint="eastAsia" w:ascii="楷体_GB2312" w:hAnsi="楷体_GB2312" w:eastAsia="楷体_GB2312" w:cs="楷体_GB2312"/>
          <w:sz w:val="32"/>
          <w:szCs w:val="30"/>
        </w:rPr>
        <w:t>全面提高水治理水平</w:t>
      </w:r>
      <w:bookmarkEnd w:id="106"/>
      <w:r>
        <w:rPr>
          <w:rFonts w:hint="eastAsia" w:ascii="楷体_GB2312" w:hAnsi="楷体_GB2312" w:eastAsia="楷体_GB2312" w:cs="楷体_GB2312"/>
          <w:sz w:val="32"/>
          <w:szCs w:val="30"/>
        </w:rPr>
        <w:t xml:space="preserve"> </w:t>
      </w:r>
    </w:p>
    <w:p>
      <w:pPr>
        <w:spacing w:after="0" w:line="578" w:lineRule="exact"/>
        <w:ind w:left="640"/>
        <w:outlineLvl w:val="2"/>
        <w:rPr>
          <w:rFonts w:ascii="Times New Roman" w:hAnsi="Times New Roman" w:eastAsia="仿宋_GB2312"/>
          <w:sz w:val="32"/>
          <w:szCs w:val="22"/>
        </w:rPr>
      </w:pPr>
      <w:bookmarkStart w:id="107" w:name="_Toc214552921"/>
      <w:bookmarkStart w:id="108" w:name="_Toc1015741812"/>
      <w:bookmarkStart w:id="109" w:name="_Toc230982093"/>
      <w:bookmarkStart w:id="110" w:name="_Toc218452359"/>
      <w:r>
        <w:rPr>
          <w:rFonts w:hint="eastAsia" w:ascii="Times New Roman" w:hAnsi="Times New Roman" w:eastAsia="仿宋_GB2312"/>
          <w:sz w:val="32"/>
          <w:szCs w:val="22"/>
        </w:rPr>
        <w:t>1.面临挑战</w:t>
      </w:r>
      <w:bookmarkEnd w:id="107"/>
      <w:bookmarkEnd w:id="108"/>
      <w:bookmarkEnd w:id="109"/>
      <w:bookmarkEnd w:id="110"/>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十四五”期间，三亚市水务工作聚焦工程标准化、法制规范化、融资多元化，取得阶段性成效，但仍存在重大项目滞后、法规配套不足、融资可持续性弱等挑战。西水中调工程推进相对滞后；智慧水务平台尚未全覆盖，流域“四预”功能未完善；部分河道行洪能力受限，局部行洪通道被侵占。安全生产及质量监督工作仍需加强。水利投融资机制渠道尚需进一步拓宽。受制于水利项目以财政资金、审批制为主，项目周期较长、缺少合理回报机制或收益率偏低的特点，三亚市目前水利项目投入仍以政府投资为主，市场化回报机制不成熟，专项债、绿色金融等工具应用不足。法治水务建设仍需加快推进，行政审批事中事后监管亟需加强。“放管服”改革的力度还需进一步加大，分级管理事权有待进一步明晰。</w:t>
      </w:r>
    </w:p>
    <w:p>
      <w:pPr>
        <w:keepNext/>
        <w:spacing w:after="0" w:line="578" w:lineRule="exact"/>
        <w:ind w:left="641"/>
        <w:outlineLvl w:val="2"/>
        <w:rPr>
          <w:rFonts w:ascii="Times New Roman" w:hAnsi="Times New Roman" w:eastAsia="仿宋_GB2312"/>
          <w:sz w:val="32"/>
          <w:szCs w:val="22"/>
        </w:rPr>
      </w:pPr>
      <w:bookmarkStart w:id="111" w:name="_Toc850643097"/>
      <w:bookmarkStart w:id="112" w:name="_Toc230982094"/>
      <w:bookmarkStart w:id="113" w:name="_Toc214552922"/>
      <w:bookmarkStart w:id="114" w:name="_Toc218452360"/>
      <w:r>
        <w:rPr>
          <w:rFonts w:hint="eastAsia" w:ascii="Times New Roman" w:hAnsi="Times New Roman" w:eastAsia="仿宋_GB2312"/>
          <w:sz w:val="32"/>
          <w:szCs w:val="22"/>
        </w:rPr>
        <w:t>2.发展机遇</w:t>
      </w:r>
      <w:bookmarkEnd w:id="111"/>
      <w:bookmarkEnd w:id="112"/>
      <w:bookmarkEnd w:id="113"/>
      <w:bookmarkEnd w:id="114"/>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海南自贸港致力于打造“市场化、法治化、国际化一流营商环境”，为深化水务领域“放管服”改革、创新投融资模式提供了良好条件。《关于全面推进江河保护治理的意见》强调“深化改革创新”“强化法治保障”，为破解体制机制障碍提供了有效路径。全社会法治意识和契约精神的不断增强，为推进依法治水、提升涉水事务监管水平营造了良好社会氛围。</w:t>
      </w:r>
    </w:p>
    <w:p>
      <w:pPr>
        <w:keepNext/>
        <w:spacing w:after="0" w:line="578" w:lineRule="exact"/>
        <w:ind w:left="641"/>
        <w:outlineLvl w:val="2"/>
        <w:rPr>
          <w:rFonts w:ascii="Times New Roman" w:hAnsi="Times New Roman" w:eastAsia="仿宋_GB2312"/>
          <w:sz w:val="32"/>
          <w:szCs w:val="22"/>
        </w:rPr>
      </w:pPr>
      <w:bookmarkStart w:id="115" w:name="_Toc209956242"/>
      <w:bookmarkStart w:id="116" w:name="_Toc681637706"/>
      <w:bookmarkStart w:id="117" w:name="_Toc218452361"/>
      <w:bookmarkStart w:id="118" w:name="_Toc230982095"/>
      <w:bookmarkStart w:id="119" w:name="_Toc209794719"/>
      <w:bookmarkStart w:id="120" w:name="_Toc214552923"/>
      <w:bookmarkStart w:id="121" w:name="_Toc210064277"/>
      <w:bookmarkStart w:id="122" w:name="_Toc210065488"/>
      <w:r>
        <w:rPr>
          <w:rFonts w:hint="eastAsia" w:ascii="Times New Roman" w:hAnsi="Times New Roman" w:eastAsia="仿宋_GB2312"/>
          <w:sz w:val="32"/>
          <w:szCs w:val="22"/>
        </w:rPr>
        <w:t>3.重点任务</w:t>
      </w:r>
      <w:bookmarkEnd w:id="115"/>
      <w:bookmarkEnd w:id="116"/>
      <w:bookmarkEnd w:id="117"/>
      <w:bookmarkEnd w:id="118"/>
      <w:bookmarkEnd w:id="119"/>
      <w:bookmarkEnd w:id="120"/>
      <w:bookmarkEnd w:id="121"/>
      <w:bookmarkEnd w:id="122"/>
    </w:p>
    <w:p>
      <w:pPr>
        <w:spacing w:after="0" w:line="578" w:lineRule="exact"/>
        <w:ind w:firstLine="640" w:firstLineChars="200"/>
        <w:rPr>
          <w:rFonts w:ascii="仿宋" w:hAnsi="仿宋" w:eastAsia="仿宋_GB2312"/>
          <w:sz w:val="32"/>
          <w:szCs w:val="22"/>
        </w:rPr>
      </w:pPr>
      <w:r>
        <w:rPr>
          <w:rFonts w:hint="eastAsia" w:ascii="Times New Roman" w:hAnsi="Times New Roman" w:eastAsia="仿宋_GB2312"/>
          <w:sz w:val="32"/>
          <w:szCs w:val="22"/>
        </w:rPr>
        <w:t>（1）提升水务工程建设管理与涉水事务监管水平。提升</w:t>
      </w:r>
      <w:r>
        <w:rPr>
          <w:rFonts w:hint="eastAsia" w:ascii="仿宋" w:hAnsi="仿宋" w:eastAsia="仿宋_GB2312"/>
          <w:sz w:val="32"/>
          <w:szCs w:val="22"/>
        </w:rPr>
        <w:t>水务工程建设管理与涉水事务监管水平。围绕项目全生命周期，健全权责清晰的建设管理机制，推行集中建设、代建制等多元化建管模式。严格河湖水域岸线空间管控，规范涉河项目许可与监管。创新水务监管机制，全面推行信用监管。</w:t>
      </w:r>
      <w:r>
        <w:rPr>
          <w:rFonts w:ascii="仿宋" w:hAnsi="仿宋" w:eastAsia="仿宋_GB2312"/>
          <w:sz w:val="32"/>
          <w:szCs w:val="22"/>
        </w:rPr>
        <w:t>建立健全覆盖各类水务建设市场主体及从业人员的信用档案和评价体系</w:t>
      </w:r>
      <w:r>
        <w:rPr>
          <w:rFonts w:hint="eastAsia" w:ascii="仿宋" w:hAnsi="仿宋" w:eastAsia="仿宋_GB2312"/>
          <w:sz w:val="32"/>
          <w:szCs w:val="22"/>
        </w:rPr>
        <w:t>。研究制定《三亚市水务建设市场主体信用评价管理办法》，明确评价标准、程序和结果应用。将信用评价结果与招标投标、资质资格、监督检查、融资支持等挂钩，实施分级分类监管，对信用优良者在这些方面给予激励，对失信者实施联合惩戒。强化水行政执法能力建设。健全水行政执法与刑事司法衔接、与检察公益诉讼协作机制，强化流域与区域、部门与部门之间联合执法。配强执法力量，规范执法行为，利用卫星遥感、无人机、视频监控等科技手段提升执法效能，重点打击非法取水、非法采砂、侵占河湖水域岸线、人为造成水土流失等违法行为。深化河湖长制与“河湖长+”协作机制，推进农业水价改革与用水总量控制。依托智慧水务平台，构建全过程闭环智能监管体系。重点强化防洪影响评价项目的全链条闭环监管，通过动态监测与长效跟踪评估，切实保障防洪安全。</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（2）强化安全生产与质量监督。严格执行“三管三必须”，压实安全生产责任，</w:t>
      </w:r>
      <w:r>
        <w:rPr>
          <w:rFonts w:hint="eastAsia" w:ascii="仿宋_GB2312" w:hAnsi="仿宋_GB2312" w:eastAsia="仿宋_GB2312" w:cs="仿宋_GB2312"/>
          <w:sz w:val="32"/>
          <w:szCs w:val="22"/>
        </w:rPr>
        <w:t>推进水库、水电站、水闸、堤防、供水厂、水质净化厂、在建水务工程等“六项机制”建设工作，引导本地区水务安全生产风险管控向标准化、规范化方向发展，完成全市水务系统“六项机制”全覆盖工作。完善质量监督体</w:t>
      </w:r>
      <w:r>
        <w:rPr>
          <w:rFonts w:hint="eastAsia" w:ascii="Times New Roman" w:hAnsi="Times New Roman" w:eastAsia="仿宋_GB2312"/>
          <w:sz w:val="32"/>
          <w:szCs w:val="22"/>
        </w:rPr>
        <w:t>系，落实项目法人首要责任及参建单位终身责任制，强化设计审查、材料准入、隐蔽工程验收等关键环节监督，推广信息化监管平台，建立质量信用“黑名单”与联合惩戒机制。将质量安全、合同履行等方面的不良行为记入信用档案，与市场监管、公共资源交易等部门实现信息共享和联合惩戒。</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创新投融资机制与优化水务营商环境。健全多元化投融资体系，高效对接国家资金政策，争取国债、专项资金支持重点工程。深化投融资改革，推广PPP、BOT等模式，探索水利基础设施REITs试点与EOD开发。加快培育健康有序的水利建设市场。清理废除妨碍统一市场和公平竞争的规定做法，全面推行电子招标投标，提升招标投标透明度和规范性。加强水务工程建设项目合同履约管理，规范价款结算，严防拖欠工程款和农民工工资。完善水利建设市场准入和退出机制，营造公平、开放、竞争、有序的市场环境。深化“放管服”及“一次办好”改革部署要求，对标最高标准、最高水平，持续深化供排水接入改革，通过进一步完善监管体系、提升服务质量、提高接入效率，以更大力度、更实举措推进供排水接入服务升级，为进一步营造国际化、法治化、便利化的营商环境提供有力支撑。</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4）加强科技创新与人才支撑。构建目标明确、运行顺畅的科技创新体系，强化关键技术协同攻关与成果转化。健全分层分类人才培养机制，加强基层专业力量建设，完善人才评价激励制度。强化科技资源统筹与经费保障，为水务高质量发展提供坚实支撑。</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5）深化水库移民后期扶持工作。衔接乡村振兴战略要求，统筹推进库区和移民安置区经济社会发展，改善移民生产生活条件，促进水库移民与当地群众共同富裕。以促进移民持续稳定增收、提升内生发展动力、壮大村集体经济为核心目标，立足水库移民安置区资源禀赋、产业基础和就业需求，统筹实施就业创业能力建设、生产开发、公益性岗位就业扶持等措施。以补齐基础设施短板、改善人居环境为主线，统筹推进水利基础设施、交通供电设施、人居环境治理、公共服务和社会治理等领域建设，全面提升库区和移民安置区发展承载力、产业竞争力、宜居舒适度和治理现代化水平，为水库移民共同富裕和乡村全面振兴奠定坚实基础。</w:t>
      </w:r>
    </w:p>
    <w:p>
      <w:pPr>
        <w:numPr>
          <w:ilvl w:val="0"/>
          <w:numId w:val="2"/>
        </w:numPr>
        <w:spacing w:after="0" w:line="578" w:lineRule="exact"/>
        <w:ind w:firstLine="640" w:firstLineChars="200"/>
        <w:outlineLvl w:val="1"/>
        <w:rPr>
          <w:rFonts w:ascii="楷体_GB2312" w:hAnsi="楷体_GB2312" w:eastAsia="楷体_GB2312" w:cs="楷体_GB2312"/>
          <w:sz w:val="32"/>
          <w:szCs w:val="30"/>
        </w:rPr>
      </w:pPr>
      <w:bookmarkStart w:id="123" w:name="_Toc1593138648"/>
      <w:bookmarkStart w:id="124" w:name="_Hlk214345913"/>
      <w:r>
        <w:rPr>
          <w:rFonts w:hint="eastAsia" w:ascii="楷体_GB2312" w:hAnsi="楷体_GB2312" w:eastAsia="楷体_GB2312" w:cs="楷体_GB2312"/>
          <w:sz w:val="32"/>
          <w:szCs w:val="30"/>
        </w:rPr>
        <w:t>水治理数字赋能提优</w:t>
      </w:r>
      <w:bookmarkEnd w:id="123"/>
    </w:p>
    <w:bookmarkEnd w:id="124"/>
    <w:p>
      <w:pPr>
        <w:keepNext/>
        <w:spacing w:after="0" w:line="578" w:lineRule="exact"/>
        <w:ind w:left="641"/>
        <w:outlineLvl w:val="2"/>
        <w:rPr>
          <w:rFonts w:ascii="Times New Roman" w:hAnsi="Times New Roman" w:eastAsia="仿宋_GB2312"/>
          <w:sz w:val="32"/>
          <w:szCs w:val="22"/>
        </w:rPr>
      </w:pPr>
      <w:bookmarkStart w:id="125" w:name="_Toc218452363"/>
      <w:bookmarkStart w:id="126" w:name="_Toc230982097"/>
      <w:bookmarkStart w:id="127" w:name="_Toc214552925"/>
      <w:bookmarkStart w:id="128" w:name="_Toc1321353093"/>
      <w:r>
        <w:rPr>
          <w:rFonts w:hint="eastAsia" w:ascii="Times New Roman" w:hAnsi="Times New Roman" w:eastAsia="仿宋_GB2312"/>
          <w:sz w:val="32"/>
          <w:szCs w:val="22"/>
        </w:rPr>
        <w:t>1.面临挑战</w:t>
      </w:r>
      <w:bookmarkEnd w:id="125"/>
      <w:bookmarkEnd w:id="126"/>
      <w:bookmarkEnd w:id="127"/>
      <w:bookmarkEnd w:id="128"/>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对标海南自贸港治理现代化与智慧水利发展要求，三亚市水务信息化建设相对滞后，已成为提升水务新质生产力的关键瓶颈。一是感知体系存在“空白点”，监测站点覆盖不全、智能化水平不高，新型感知技术应用欠缺。二是数据资源存在“隔离带”，现有业务系统存在数据孤岛现象，难以实现信息共享与协同；与省级智慧水网平台联动机制缺失，制约区域协同调度与灾害联防联控，影响自贸港水安全整体保障水平。三是智慧应用存在薄弱环节，信息化平台智能应用水平较低，在防洪减灾、供水保障等方面的智慧决策支撑能力不足，与发展新质生产力的要求存在差距。</w:t>
      </w:r>
    </w:p>
    <w:p>
      <w:pPr>
        <w:keepNext/>
        <w:spacing w:after="0" w:line="578" w:lineRule="exact"/>
        <w:ind w:left="641"/>
        <w:outlineLvl w:val="2"/>
        <w:rPr>
          <w:rFonts w:ascii="Times New Roman" w:hAnsi="Times New Roman" w:eastAsia="仿宋_GB2312"/>
          <w:sz w:val="32"/>
          <w:szCs w:val="22"/>
        </w:rPr>
      </w:pPr>
      <w:bookmarkStart w:id="129" w:name="_Toc218452364"/>
      <w:bookmarkStart w:id="130" w:name="_Toc230982098"/>
      <w:bookmarkStart w:id="131" w:name="_Toc214552926"/>
      <w:bookmarkStart w:id="132" w:name="_Toc2112148598"/>
      <w:r>
        <w:rPr>
          <w:rFonts w:hint="eastAsia" w:ascii="Times New Roman" w:hAnsi="Times New Roman" w:eastAsia="仿宋_GB2312"/>
          <w:sz w:val="32"/>
          <w:szCs w:val="22"/>
        </w:rPr>
        <w:t>2.发展机遇</w:t>
      </w:r>
      <w:bookmarkEnd w:id="129"/>
      <w:bookmarkEnd w:id="130"/>
      <w:bookmarkEnd w:id="131"/>
      <w:bookmarkEnd w:id="132"/>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国家“数字中国”战略的全面推进及“人工智能+”行动的启动，为智慧水务建设提供了强大的驱动力。水利部将“构建具备预报预警预演预案功能的数字孪生水网”作为现代化水网的核心特征与重点任务，方向明确，路径清晰。三亚市打造“技术创新之岛”的战略部署，为吸引集聚相关领域科技人才、开展关键技术攻关与应用示范创造了优越条件。</w:t>
      </w:r>
    </w:p>
    <w:p>
      <w:pPr>
        <w:keepNext/>
        <w:spacing w:after="0" w:line="578" w:lineRule="exact"/>
        <w:ind w:left="641"/>
        <w:outlineLvl w:val="2"/>
        <w:rPr>
          <w:rFonts w:ascii="Times New Roman" w:hAnsi="Times New Roman" w:eastAsia="仿宋_GB2312"/>
          <w:sz w:val="32"/>
          <w:szCs w:val="22"/>
        </w:rPr>
      </w:pPr>
      <w:bookmarkStart w:id="133" w:name="_Toc1162477244"/>
      <w:bookmarkStart w:id="134" w:name="_Toc230982099"/>
      <w:bookmarkStart w:id="135" w:name="_Toc214552927"/>
      <w:bookmarkStart w:id="136" w:name="_Toc218452365"/>
      <w:r>
        <w:rPr>
          <w:rFonts w:hint="eastAsia" w:ascii="Times New Roman" w:hAnsi="Times New Roman" w:eastAsia="仿宋_GB2312"/>
          <w:sz w:val="32"/>
          <w:szCs w:val="22"/>
        </w:rPr>
        <w:t>3.重点任务</w:t>
      </w:r>
      <w:bookmarkEnd w:id="133"/>
      <w:bookmarkEnd w:id="134"/>
      <w:bookmarkEnd w:id="135"/>
      <w:bookmarkEnd w:id="136"/>
    </w:p>
    <w:p>
      <w:pPr>
        <w:spacing w:after="0" w:line="578" w:lineRule="exact"/>
        <w:ind w:firstLine="640" w:firstLineChars="200"/>
        <w:rPr>
          <w:rFonts w:ascii="Times New Roman" w:hAnsi="Times New Roman" w:eastAsia="仿宋_GB2312"/>
          <w:sz w:val="32"/>
          <w:szCs w:val="22"/>
        </w:rPr>
      </w:pPr>
      <w:bookmarkStart w:id="137" w:name="_Hlk186622536"/>
      <w:r>
        <w:rPr>
          <w:rFonts w:hint="eastAsia" w:ascii="Times New Roman" w:hAnsi="Times New Roman" w:eastAsia="仿宋_GB2312"/>
          <w:sz w:val="32"/>
          <w:szCs w:val="22"/>
        </w:rPr>
        <w:t>（1）强化顶层设计引领，筑牢智慧水务发展根基。落实国家关于智慧水利与数字孪生建设的战略部署，将智慧水务作为发展水务新质生产力、提升自贸港治理能力的核心引擎。坚持高起点规划与高质量建设相结合，充分借鉴先进经验，以实际需求为导向、实用效能为目标，科学编制智慧水务总体方案及相关智慧水务专项规划，强化顶层设计引领。规划制定将衔接省级智慧水务部署及流域综合规划，明确长远目标与阶段任务，建立多部门协同机制，系统构建涵盖感知采集、网络传输、平台集成与智能应用的分层架构，全面提升水资源管理效率、水质安全保障能力与水务可持续发展水平，为三亚市水治理体系与治理能力现代化提供坚实支撑。</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（2）</w:t>
      </w:r>
      <w:bookmarkStart w:id="138" w:name="_Hlk214345931"/>
      <w:r>
        <w:rPr>
          <w:rFonts w:hint="eastAsia" w:ascii="Times New Roman" w:hAnsi="Times New Roman" w:eastAsia="仿宋_GB2312"/>
          <w:sz w:val="32"/>
          <w:szCs w:val="22"/>
        </w:rPr>
        <w:t>推进智慧水务平台建设，驱动水务管理数字化升级</w:t>
      </w:r>
      <w:bookmarkEnd w:id="138"/>
      <w:r>
        <w:rPr>
          <w:rFonts w:hint="eastAsia" w:ascii="Times New Roman" w:hAnsi="Times New Roman" w:eastAsia="仿宋_GB2312"/>
          <w:sz w:val="32"/>
          <w:szCs w:val="22"/>
        </w:rPr>
        <w:t>。系统构建“一网统管、一屏通览”的智慧水务体系，补齐重点流域水文、水质、水利工程运行等全要素监测短板，夯实数据底座，</w:t>
      </w:r>
      <w:bookmarkStart w:id="139" w:name="_Hlk214345940"/>
      <w:r>
        <w:rPr>
          <w:rFonts w:hint="eastAsia" w:ascii="Times New Roman" w:hAnsi="Times New Roman" w:eastAsia="仿宋_GB2312"/>
          <w:sz w:val="32"/>
          <w:szCs w:val="22"/>
        </w:rPr>
        <w:t>聚焦水安全风险防控的核心需求，重点提升水雨情预报和山洪预警能力，实现对各类风险的早期发现、智能研判和协同调度</w:t>
      </w:r>
      <w:bookmarkEnd w:id="139"/>
      <w:r>
        <w:rPr>
          <w:rFonts w:hint="eastAsia" w:ascii="Times New Roman" w:hAnsi="Times New Roman" w:eastAsia="仿宋_GB2312"/>
          <w:sz w:val="32"/>
          <w:szCs w:val="22"/>
        </w:rPr>
        <w:t>；加强水务信息化基础设施，扩展网络带宽，建设云计算与高性能本地硬件相结合的计算存储环境，并建成覆盖市、区多层级的智能调度与会商体系；整合现有业务系统，构建统一的水务信息化平台，实现数据共享与业务协同，支撑水旱灾害防御、水资源调度、水生态保护、河湖管理等核心业务；建立与省级智慧水网平台的对接机制，统一数据标准与安全规范，实现跨层级数据贯通与联动响应；同步健全网络安全体系，构建涵盖技术、运营与数据安全的立体防护架构，保障系统稳定与数据安全。</w:t>
      </w:r>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推进数字孪生流域、灌区、水库建设，赋能精准调度与智能决策。为推动水务管理智慧化升级，系统推进数字孪生流域、灌区与水库建设。以智慧水务平台为依托，构建统一的多维数据底板，集成水文、水资源、水利工程、水生态等专业模型，并建设具备知识推理与仿真模拟能力的智能引擎，以大隆水库为试点，加快推进重点河流、灌区及水库的数字化映射和智能调度。同步强化监测感知网络与云平台数据集成，打破信息孤岛，保障数据安全共享，提升水旱灾害防御、水资源优化配置和工程精细化管理的智能化水平。重点开展</w:t>
      </w:r>
      <w:r>
        <w:rPr>
          <w:rFonts w:ascii="Times New Roman" w:hAnsi="Times New Roman" w:eastAsia="仿宋_GB2312"/>
          <w:sz w:val="32"/>
          <w:szCs w:val="22"/>
        </w:rPr>
        <w:t>三亚市应对重大台风洪灾防御能力提升建设项目</w:t>
      </w:r>
      <w:r>
        <w:rPr>
          <w:rFonts w:hint="eastAsia" w:ascii="Times New Roman" w:hAnsi="Times New Roman" w:eastAsia="仿宋_GB2312"/>
          <w:sz w:val="32"/>
          <w:szCs w:val="22"/>
        </w:rPr>
        <w:t>，</w:t>
      </w:r>
      <w:r>
        <w:rPr>
          <w:rFonts w:ascii="Times New Roman" w:hAnsi="Times New Roman" w:eastAsia="仿宋_GB2312"/>
          <w:sz w:val="32"/>
          <w:szCs w:val="22"/>
        </w:rPr>
        <w:t>全面增强三亚市防洪减灾</w:t>
      </w:r>
      <w:r>
        <w:rPr>
          <w:rFonts w:hint="eastAsia" w:ascii="仿宋_GB2312" w:hAnsi="仿宋_GB2312" w:eastAsia="仿宋_GB2312" w:cs="仿宋_GB2312"/>
          <w:sz w:val="32"/>
          <w:szCs w:val="22"/>
        </w:rPr>
        <w:t>的“四域”能</w:t>
      </w:r>
      <w:r>
        <w:rPr>
          <w:rFonts w:ascii="Times New Roman" w:hAnsi="Times New Roman" w:eastAsia="仿宋_GB2312"/>
          <w:sz w:val="32"/>
          <w:szCs w:val="22"/>
        </w:rPr>
        <w:t>力，为应对重大台风洪灾提供坚实的水务信息化支撑。</w:t>
      </w:r>
    </w:p>
    <w:bookmarkEnd w:id="137"/>
    <w:p>
      <w:pPr>
        <w:keepNext/>
        <w:spacing w:after="0" w:line="578" w:lineRule="exact"/>
        <w:jc w:val="center"/>
        <w:rPr>
          <w:rFonts w:ascii="Times New Roman" w:hAnsi="Times New Roman" w:eastAsia="黑体"/>
          <w:sz w:val="28"/>
          <w:szCs w:val="28"/>
        </w:rPr>
      </w:pPr>
      <w:r>
        <w:rPr>
          <w:rFonts w:ascii="Times New Roman" w:hAnsi="Times New Roman" w:eastAsia="黑体"/>
          <w:sz w:val="28"/>
          <w:szCs w:val="28"/>
        </w:rPr>
        <w:t>专栏</w:t>
      </w:r>
      <w:r>
        <w:rPr>
          <w:rFonts w:hint="eastAsia" w:ascii="Times New Roman" w:hAnsi="Times New Roman" w:eastAsia="黑体"/>
          <w:sz w:val="28"/>
          <w:szCs w:val="28"/>
        </w:rPr>
        <w:t>6智慧水务</w:t>
      </w:r>
      <w:r>
        <w:rPr>
          <w:rFonts w:ascii="Times New Roman" w:hAnsi="Times New Roman" w:eastAsia="黑体"/>
          <w:sz w:val="28"/>
          <w:szCs w:val="28"/>
        </w:rPr>
        <w:t>重点工程</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9060" w:type="dxa"/>
          </w:tcPr>
          <w:p>
            <w:pPr>
              <w:spacing w:after="0" w:line="578" w:lineRule="exact"/>
              <w:ind w:firstLine="560" w:firstLineChars="200"/>
              <w:rPr>
                <w:rFonts w:ascii="Times New Roman" w:hAnsi="Times New Roman" w:eastAsia="仿宋_GB2312"/>
                <w:sz w:val="32"/>
                <w:szCs w:val="22"/>
              </w:rPr>
            </w:pPr>
            <w:r>
              <w:rPr>
                <w:rFonts w:hint="eastAsia" w:ascii="Times New Roman" w:hAnsi="Times New Roman" w:eastAsia="仿宋_GB2312"/>
                <w:sz w:val="28"/>
                <w:szCs w:val="28"/>
              </w:rPr>
              <w:t>构建全域协同指挥中枢，持续推进水库河道雨水情监测预警项目及三亚市智慧水务平台项目（一期）工程，整合涉水系统数据资源，建设空天地立体监测网络，搭建“2+N”业务应用体系，实施水利工程工情、供水系统水质及水压监测预警项目，实现水旱灾害防御与水资源管理智能化。重点开展三亚市水利监测设施及应急通讯能力升级项目，全面增强三亚市水利监测及应急通讯能力。</w:t>
            </w:r>
          </w:p>
        </w:tc>
      </w:tr>
    </w:tbl>
    <w:p>
      <w:pPr>
        <w:spacing w:after="0" w:line="578" w:lineRule="exact"/>
        <w:ind w:firstLine="640"/>
        <w:sectPr>
          <w:pgSz w:w="11906" w:h="16838"/>
          <w:pgMar w:top="2098" w:right="1474" w:bottom="1985" w:left="1588" w:header="851" w:footer="1361" w:gutter="0"/>
          <w:cols w:space="425" w:num="1"/>
          <w:docGrid w:type="lines" w:linePitch="435" w:charSpace="0"/>
        </w:sectPr>
      </w:pPr>
    </w:p>
    <w:p>
      <w:pPr>
        <w:numPr>
          <w:ilvl w:val="0"/>
          <w:numId w:val="1"/>
        </w:numPr>
        <w:spacing w:after="0" w:line="578" w:lineRule="exact"/>
        <w:ind w:left="0" w:firstLine="640" w:firstLineChars="200"/>
        <w:outlineLvl w:val="0"/>
        <w:rPr>
          <w:rFonts w:ascii="Times New Roman" w:hAnsi="Times New Roman" w:eastAsia="黑体"/>
          <w:sz w:val="32"/>
          <w:szCs w:val="32"/>
        </w:rPr>
      </w:pPr>
      <w:bookmarkStart w:id="140" w:name="_Toc543468688"/>
      <w:bookmarkStart w:id="141" w:name="_Toc209790052"/>
      <w:r>
        <w:rPr>
          <w:rFonts w:ascii="Times New Roman" w:hAnsi="Times New Roman" w:eastAsia="黑体"/>
          <w:sz w:val="32"/>
          <w:szCs w:val="32"/>
        </w:rPr>
        <w:t>保障措施</w:t>
      </w:r>
      <w:bookmarkEnd w:id="140"/>
      <w:bookmarkEnd w:id="141"/>
    </w:p>
    <w:p>
      <w:pPr>
        <w:numPr>
          <w:ilvl w:val="0"/>
          <w:numId w:val="9"/>
        </w:numPr>
        <w:spacing w:after="0" w:line="578" w:lineRule="exact"/>
        <w:ind w:firstLine="640" w:firstLineChars="200"/>
        <w:outlineLvl w:val="1"/>
        <w:rPr>
          <w:rFonts w:ascii="楷体_GB2312" w:hAnsi="楷体_GB2312" w:eastAsia="楷体_GB2312" w:cs="楷体_GB2312"/>
          <w:sz w:val="32"/>
          <w:szCs w:val="30"/>
        </w:rPr>
      </w:pPr>
      <w:bookmarkStart w:id="142" w:name="_Toc1399461358"/>
      <w:r>
        <w:rPr>
          <w:rFonts w:hint="eastAsia" w:ascii="楷体_GB2312" w:hAnsi="楷体_GB2312" w:eastAsia="楷体_GB2312" w:cs="楷体_GB2312"/>
          <w:sz w:val="32"/>
          <w:szCs w:val="30"/>
        </w:rPr>
        <w:t>加强组织领导，落实工作责任</w:t>
      </w:r>
      <w:bookmarkEnd w:id="142"/>
    </w:p>
    <w:p>
      <w:pPr>
        <w:spacing w:after="0" w:line="578"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在党中央集中统一领导下，</w:t>
      </w:r>
      <w:r>
        <w:rPr>
          <w:rFonts w:ascii="Times New Roman" w:hAnsi="Times New Roman" w:eastAsia="仿宋_GB2312"/>
          <w:sz w:val="32"/>
          <w:szCs w:val="22"/>
        </w:rPr>
        <w:t>实行政府目标责任制，建立相应的组织责任体系和协调机制，加强水利队伍建设和管理，确保认识到位、责任到位、措施到位，确保各项任务落到实处。</w:t>
      </w:r>
      <w:r>
        <w:rPr>
          <w:rFonts w:hint="eastAsia" w:ascii="Times New Roman" w:hAnsi="Times New Roman" w:eastAsia="仿宋_GB2312"/>
          <w:sz w:val="32"/>
          <w:szCs w:val="22"/>
        </w:rPr>
        <w:t>各级干部要在遵规守纪前提下敢于担当、善于作为，将风险防控责任扛在肩上，确保各项任务落到实处。</w:t>
      </w:r>
      <w:r>
        <w:rPr>
          <w:rFonts w:ascii="Times New Roman" w:hAnsi="Times New Roman" w:eastAsia="仿宋_GB2312"/>
          <w:sz w:val="32"/>
          <w:szCs w:val="22"/>
        </w:rPr>
        <w:t>建立健全</w:t>
      </w:r>
      <w:r>
        <w:rPr>
          <w:rFonts w:hint="eastAsia" w:ascii="Times New Roman" w:hAnsi="Times New Roman" w:eastAsia="仿宋_GB2312"/>
          <w:sz w:val="32"/>
          <w:szCs w:val="22"/>
        </w:rPr>
        <w:t>发展改革、财政、自然资源、农业农村、生态环境等多</w:t>
      </w:r>
      <w:r>
        <w:rPr>
          <w:rFonts w:ascii="Times New Roman" w:hAnsi="Times New Roman" w:eastAsia="仿宋_GB2312"/>
          <w:sz w:val="32"/>
          <w:szCs w:val="22"/>
        </w:rPr>
        <w:t>部门联动、齐抓共管的工作机制。</w:t>
      </w:r>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本次规划涉及三亚市全域水系，三亚市水务局作为本次</w:t>
      </w:r>
      <w:r>
        <w:rPr>
          <w:rFonts w:hint="eastAsia" w:ascii="Times New Roman" w:hAnsi="Times New Roman" w:eastAsia="仿宋_GB2312"/>
          <w:sz w:val="32"/>
          <w:szCs w:val="22"/>
        </w:rPr>
        <w:t>规划</w:t>
      </w:r>
      <w:r>
        <w:rPr>
          <w:rFonts w:ascii="Times New Roman" w:hAnsi="Times New Roman" w:eastAsia="仿宋_GB2312"/>
          <w:sz w:val="32"/>
          <w:szCs w:val="22"/>
        </w:rPr>
        <w:t>实施主体将负责落实本规划的主要目标和重点任务，协调解决跨区域水务基础设施建设标准和时序、政策法规协同等具体问题。把加快水建设、破解水制约、保障水安全作为新旧动能转换的重要内容、推动高质量发展的重大举措。建立统筹解决水问题经常化调度机制和议事决策机制，把规划落实、水安全保障工程建设成效作为衡量各地高质量发展的重要内容。</w:t>
      </w:r>
    </w:p>
    <w:p>
      <w:pPr>
        <w:numPr>
          <w:ilvl w:val="0"/>
          <w:numId w:val="9"/>
        </w:numPr>
        <w:spacing w:after="0" w:line="578" w:lineRule="exact"/>
        <w:ind w:firstLine="640" w:firstLineChars="200"/>
        <w:outlineLvl w:val="1"/>
        <w:rPr>
          <w:rFonts w:ascii="楷体_GB2312" w:hAnsi="楷体_GB2312" w:eastAsia="楷体_GB2312" w:cs="楷体_GB2312"/>
          <w:sz w:val="32"/>
          <w:szCs w:val="30"/>
        </w:rPr>
      </w:pPr>
      <w:bookmarkStart w:id="143" w:name="_Toc491508796"/>
      <w:r>
        <w:rPr>
          <w:rFonts w:hint="eastAsia" w:ascii="楷体_GB2312" w:hAnsi="楷体_GB2312" w:eastAsia="楷体_GB2312" w:cs="楷体_GB2312"/>
          <w:sz w:val="32"/>
          <w:szCs w:val="30"/>
        </w:rPr>
        <w:t>完善配套制度，推进依法治水</w:t>
      </w:r>
      <w:bookmarkEnd w:id="143"/>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建立健全三亚水务管理的相关制度保障体系。一是坚持依法治水管水，加大水利依法行政执法监督力度，为水利发展提供有力的法治保障。</w:t>
      </w:r>
      <w:r>
        <w:rPr>
          <w:rFonts w:hint="eastAsia" w:ascii="Times New Roman" w:hAnsi="Times New Roman" w:eastAsia="仿宋_GB2312"/>
          <w:sz w:val="32"/>
          <w:szCs w:val="22"/>
        </w:rPr>
        <w:t>重点推进水务信用管理、水行政执法、水利市场建设等方面的制度建设和标准制定。</w:t>
      </w:r>
      <w:r>
        <w:rPr>
          <w:rFonts w:ascii="Times New Roman" w:hAnsi="Times New Roman" w:eastAsia="仿宋_GB2312"/>
          <w:sz w:val="32"/>
          <w:szCs w:val="22"/>
        </w:rPr>
        <w:t>二是完善水务管理的考核制度和部门协作制度，建立多元多层次的考核机制，发挥新闻传媒、社会公众以及第三评估机构在水利工程实施情况监督和考核中的不同作用，形成具体的考核方案和指标体系，出台考核结果和主要实施部门工作绩效挂钩办法。三是在部门协作方面，建立水利工程建设主要部门之间的例会和定期情况通报制度，建立水利建设信息共享、联合执法和协作责任制度。四是深化水利行政审批制度改革，规范行政行为，提高审批质量。</w:t>
      </w:r>
      <w:r>
        <w:rPr>
          <w:rFonts w:hint="eastAsia" w:ascii="Times New Roman" w:hAnsi="Times New Roman" w:eastAsia="仿宋_GB2312"/>
          <w:sz w:val="32"/>
          <w:szCs w:val="22"/>
        </w:rPr>
        <w:t>全面推行水行政执法“三项制度”（行政执法公示制度、执法全过程记录制度、重大执法决定法制审核制度），提升执法规范化水平。</w:t>
      </w:r>
      <w:r>
        <w:rPr>
          <w:rFonts w:ascii="Times New Roman" w:hAnsi="Times New Roman" w:eastAsia="仿宋_GB2312"/>
          <w:sz w:val="32"/>
          <w:szCs w:val="22"/>
        </w:rPr>
        <w:t>大力推进政务公开和办事公开，营造依法治水、管水的有利环境。强化社会管理和公共服务，提高公信力和执行力。</w:t>
      </w:r>
    </w:p>
    <w:p>
      <w:pPr>
        <w:numPr>
          <w:ilvl w:val="0"/>
          <w:numId w:val="9"/>
        </w:numPr>
        <w:spacing w:after="0" w:line="578" w:lineRule="exact"/>
        <w:ind w:firstLine="640" w:firstLineChars="200"/>
        <w:outlineLvl w:val="1"/>
        <w:rPr>
          <w:rFonts w:ascii="楷体_GB2312" w:hAnsi="楷体_GB2312" w:eastAsia="楷体_GB2312" w:cs="楷体_GB2312"/>
          <w:sz w:val="32"/>
          <w:szCs w:val="30"/>
        </w:rPr>
      </w:pPr>
      <w:bookmarkStart w:id="144" w:name="_Toc613324590"/>
      <w:r>
        <w:rPr>
          <w:rFonts w:hint="eastAsia" w:ascii="楷体_GB2312" w:hAnsi="楷体_GB2312" w:eastAsia="楷体_GB2312" w:cs="楷体_GB2312"/>
          <w:sz w:val="32"/>
          <w:szCs w:val="30"/>
        </w:rPr>
        <w:t>创新投入机制，拓宽融资渠道</w:t>
      </w:r>
      <w:bookmarkEnd w:id="144"/>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建立适应市场经济体制的投入机制。制定相应的政策，采取多种措施，拓宽投资渠道，建立政府引导、地方协同、市场运作、社会参与的多元化筹资机制，确保规划项目资金得以落实。充分发挥有关投融资平台作用，积极争取专项建设基金等优惠政策性长期贷款支持水利项目建设。深化水利投融资体制改革，将水利作为公共财政支持的重点领域，建立水利投入稳定增长机制。建立和完善激励机制，调动和鼓励社会资本参与水利基础设施建设。积极拓宽水利投融资渠道，创新投融资机制体制。</w:t>
      </w:r>
    </w:p>
    <w:p>
      <w:pPr>
        <w:spacing w:after="0" w:line="578" w:lineRule="exact"/>
        <w:ind w:firstLine="640" w:firstLineChars="200"/>
        <w:rPr>
          <w:rFonts w:ascii="Times New Roman" w:hAnsi="Times New Roman" w:eastAsia="仿宋_GB2312"/>
          <w:kern w:val="0"/>
          <w:sz w:val="32"/>
          <w:szCs w:val="22"/>
        </w:rPr>
      </w:pPr>
      <w:r>
        <w:rPr>
          <w:rFonts w:ascii="Times New Roman" w:hAnsi="Times New Roman" w:eastAsia="仿宋_GB2312"/>
          <w:kern w:val="0"/>
          <w:sz w:val="32"/>
          <w:szCs w:val="22"/>
        </w:rPr>
        <w:t>加强对水利建设资金拨付使用全过程的稽察、审计和监督，强化建立水利资金落实责任和督查制度，严格资金管理，严禁挤占、挪用和滞留</w:t>
      </w:r>
      <w:r>
        <w:rPr>
          <w:rFonts w:hint="eastAsia" w:ascii="Times New Roman" w:hAnsi="Times New Roman" w:eastAsia="仿宋_GB2312"/>
          <w:kern w:val="0"/>
          <w:sz w:val="32"/>
          <w:szCs w:val="22"/>
          <w:lang w:eastAsia="zh-CN"/>
        </w:rPr>
        <w:t>资金</w:t>
      </w:r>
      <w:r>
        <w:rPr>
          <w:rFonts w:ascii="Times New Roman" w:hAnsi="Times New Roman" w:eastAsia="仿宋_GB2312"/>
          <w:kern w:val="0"/>
          <w:sz w:val="32"/>
          <w:szCs w:val="22"/>
        </w:rPr>
        <w:t>，确保资金安全，提高资金使用效益。</w:t>
      </w:r>
    </w:p>
    <w:p>
      <w:pPr>
        <w:numPr>
          <w:ilvl w:val="0"/>
          <w:numId w:val="9"/>
        </w:numPr>
        <w:spacing w:after="0" w:line="578" w:lineRule="exact"/>
        <w:ind w:firstLine="640" w:firstLineChars="200"/>
        <w:outlineLvl w:val="1"/>
        <w:rPr>
          <w:rFonts w:ascii="楷体_GB2312" w:hAnsi="楷体_GB2312" w:eastAsia="楷体_GB2312" w:cs="楷体_GB2312"/>
          <w:sz w:val="32"/>
          <w:szCs w:val="30"/>
        </w:rPr>
      </w:pPr>
      <w:bookmarkStart w:id="145" w:name="_Toc79559811"/>
      <w:r>
        <w:rPr>
          <w:rFonts w:hint="eastAsia" w:ascii="楷体_GB2312" w:hAnsi="楷体_GB2312" w:eastAsia="楷体_GB2312" w:cs="楷体_GB2312"/>
          <w:sz w:val="32"/>
          <w:szCs w:val="30"/>
        </w:rPr>
        <w:t>提高科技含量，夯实科技支撑</w:t>
      </w:r>
      <w:bookmarkEnd w:id="145"/>
    </w:p>
    <w:p>
      <w:pPr>
        <w:spacing w:after="0" w:line="578" w:lineRule="exact"/>
        <w:ind w:firstLine="640" w:firstLineChars="200"/>
        <w:rPr>
          <w:rFonts w:ascii="Times New Roman" w:hAnsi="Times New Roman" w:eastAsia="仿宋_GB2312"/>
          <w:sz w:val="32"/>
        </w:rPr>
      </w:pPr>
      <w:r>
        <w:rPr>
          <w:rFonts w:ascii="Times New Roman" w:hAnsi="Times New Roman" w:eastAsia="仿宋_GB2312"/>
          <w:sz w:val="32"/>
          <w:szCs w:val="22"/>
        </w:rPr>
        <w:t>注重科技引领，加强实用水利技术推广和高新技术应用，推动信息化与水利现代化深度融合。系统梳理三亚市水资源高效配置、防洪安全保障、水环境治理、水生态保护、水文化旅游以及水利现代化管理等方面的关键科学问题，并积极开展相关课题研究，通过引进先进科学理念和技术手段解决三亚市水问题，强化水利工程建设中的科技支撑作用。</w:t>
      </w:r>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加强新技术开发与应用研究，提高自主创新能力，积极推广引用新技术、新工艺、新材料和高新技术，不断增强水利工程建设和管理的科技含量。多方开辟渠道，逐步建立稳定的科技经费投入和科技成果转化机制。</w:t>
      </w:r>
    </w:p>
    <w:p>
      <w:pPr>
        <w:numPr>
          <w:ilvl w:val="0"/>
          <w:numId w:val="9"/>
        </w:numPr>
        <w:spacing w:after="0" w:line="578" w:lineRule="exact"/>
        <w:ind w:firstLine="640" w:firstLineChars="200"/>
        <w:outlineLvl w:val="1"/>
        <w:rPr>
          <w:rFonts w:ascii="楷体_GB2312" w:hAnsi="楷体_GB2312" w:eastAsia="楷体_GB2312" w:cs="楷体_GB2312"/>
          <w:sz w:val="32"/>
          <w:szCs w:val="30"/>
        </w:rPr>
      </w:pPr>
      <w:bookmarkStart w:id="146" w:name="_Toc1973944563"/>
      <w:r>
        <w:rPr>
          <w:rFonts w:hint="eastAsia" w:ascii="楷体_GB2312" w:hAnsi="楷体_GB2312" w:eastAsia="楷体_GB2312" w:cs="楷体_GB2312"/>
          <w:sz w:val="32"/>
          <w:szCs w:val="30"/>
        </w:rPr>
        <w:t>强化人才支撑，筑牢发展根基</w:t>
      </w:r>
      <w:bookmarkEnd w:id="146"/>
    </w:p>
    <w:p>
      <w:pPr>
        <w:spacing w:after="0" w:line="578" w:lineRule="exact"/>
        <w:ind w:firstLine="640" w:firstLineChars="200"/>
        <w:rPr>
          <w:rFonts w:ascii="Times New Roman" w:hAnsi="Times New Roman" w:eastAsia="仿宋_GB2312"/>
          <w:sz w:val="32"/>
          <w:szCs w:val="22"/>
        </w:rPr>
      </w:pPr>
      <w:r>
        <w:rPr>
          <w:rFonts w:ascii="Times New Roman" w:hAnsi="Times New Roman" w:eastAsia="仿宋_GB2312"/>
          <w:sz w:val="32"/>
          <w:szCs w:val="22"/>
        </w:rPr>
        <w:t>健全水务人才引进培养、选拔选用、激励保障等工作机制。以高层次专业技术人才、高技能人才、基层水务人才和急需紧缺专业人才为重点，统筹推进各类人才队伍建设，吸引全国高素质人才参与三亚市水利建设与管理。完善人才激励保障机制和人才交流锻炼机制。建立健全重公平、重实绩、重贡献、向优秀人才、关键岗位和基层倾斜的分配激励机制。</w:t>
      </w:r>
    </w:p>
    <w:p>
      <w:pPr>
        <w:spacing w:after="0" w:line="578" w:lineRule="exact"/>
        <w:ind w:firstLine="640" w:firstLineChars="200"/>
        <w:rPr>
          <w:rFonts w:ascii="Times New Roman" w:hAnsi="Times New Roman" w:eastAsia="仿宋_GB2312"/>
          <w:kern w:val="0"/>
          <w:sz w:val="32"/>
          <w:szCs w:val="22"/>
        </w:rPr>
      </w:pPr>
      <w:r>
        <w:rPr>
          <w:rFonts w:ascii="Times New Roman" w:hAnsi="Times New Roman" w:eastAsia="仿宋_GB2312"/>
          <w:kern w:val="0"/>
          <w:sz w:val="32"/>
          <w:szCs w:val="22"/>
        </w:rPr>
        <w:t>加大人才教育培训的投入，健全和完善人才培养开发投入机制。全面提升水利系统干部职工队伍素质，切实增强水利勘测设计、建设管理和依法行政能力。积极推进水利干部管理制度和事业单位聘用制度改革，加快中青年水利科技学科带头人的培养，强化水利职工在职培训，提高职工素质。建立健全乡镇水利技术干部培训机制，切实加强基层水利技术人员培训工作，提高相关人员管理技术和应急处理能力，为农村水利工程安全运行、应急抢险和安全生产提供支撑。</w:t>
      </w:r>
    </w:p>
    <w:p>
      <w:pPr>
        <w:numPr>
          <w:ilvl w:val="-1"/>
          <w:numId w:val="0"/>
        </w:numPr>
        <w:spacing w:after="0" w:line="578" w:lineRule="exact"/>
        <w:ind w:leftChars="200" w:firstLine="0" w:firstLineChars="0"/>
        <w:outlineLvl w:val="1"/>
        <w:rPr>
          <w:rFonts w:ascii="楷体_GB2312" w:hAnsi="楷体_GB2312" w:eastAsia="楷体_GB2312" w:cs="楷体_GB2312"/>
          <w:sz w:val="32"/>
          <w:szCs w:val="30"/>
        </w:rPr>
      </w:pPr>
      <w:bookmarkStart w:id="147" w:name="_Toc333021111"/>
      <w:r>
        <w:rPr>
          <w:rFonts w:hint="eastAsia" w:ascii="楷体_GB2312" w:hAnsi="楷体_GB2312" w:eastAsia="楷体_GB2312" w:cs="楷体_GB2312"/>
          <w:sz w:val="32"/>
          <w:szCs w:val="30"/>
          <w:lang w:eastAsia="zh-CN"/>
        </w:rPr>
        <w:t>（六）</w:t>
      </w:r>
      <w:r>
        <w:rPr>
          <w:rFonts w:hint="eastAsia" w:ascii="楷体_GB2312" w:hAnsi="楷体_GB2312" w:eastAsia="楷体_GB2312" w:cs="楷体_GB2312"/>
          <w:sz w:val="32"/>
          <w:szCs w:val="30"/>
        </w:rPr>
        <w:t>加强宣传教育，促进公众参与</w:t>
      </w:r>
      <w:bookmarkEnd w:id="147"/>
    </w:p>
    <w:p>
      <w:pPr>
        <w:spacing w:after="0" w:line="578" w:lineRule="exact"/>
        <w:ind w:firstLine="640" w:firstLineChars="200"/>
        <w:rPr>
          <w:rFonts w:ascii="Times New Roman" w:hAnsi="Times New Roman" w:eastAsia="仿宋_GB2312"/>
          <w:sz w:val="32"/>
        </w:rPr>
      </w:pPr>
      <w:r>
        <w:rPr>
          <w:rFonts w:ascii="Times New Roman" w:hAnsi="Times New Roman" w:eastAsia="仿宋_GB2312"/>
          <w:sz w:val="32"/>
          <w:szCs w:val="22"/>
        </w:rPr>
        <w:t>加强政策和水务知识的宣传力度，采取各种形式、多种措施，开展面向社会的宣传教育活动，营造良好的社会氛围，</w:t>
      </w:r>
      <w:r>
        <w:rPr>
          <w:rFonts w:hint="eastAsia" w:ascii="Times New Roman" w:hAnsi="Times New Roman" w:eastAsia="仿宋_GB2312"/>
          <w:sz w:val="32"/>
          <w:szCs w:val="22"/>
        </w:rPr>
        <w:t>提高公众对水务在国民经济发展中战略地位的认识。加大维护河流健康宣传，制作宣传片，通过电视、网络等新闻媒体进行演播；在水务局网上开辟专题专栏，定期公布近期重点指标及主要河流健康情况，以此加强公众对河流健康的了解，提高参与意识。开辟公众举报电话、建立问题追踪与报道等相关措施，逐步建立公众参与平台与机制</w:t>
      </w:r>
      <w:r>
        <w:rPr>
          <w:rFonts w:ascii="Times New Roman" w:hAnsi="Times New Roman" w:eastAsia="仿宋_GB2312"/>
          <w:sz w:val="32"/>
          <w:szCs w:val="22"/>
        </w:rPr>
        <w:t>。</w:t>
      </w:r>
    </w:p>
    <w:p>
      <w:pPr>
        <w:spacing w:after="0" w:line="578" w:lineRule="exact"/>
        <w:rPr>
          <w:rFonts w:ascii="Times New Roman" w:hAnsi="Times New Roman"/>
        </w:rPr>
      </w:pPr>
    </w:p>
    <w:sectPr>
      <w:headerReference r:id="rId15" w:type="default"/>
      <w:footerReference r:id="rId16"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A0000287" w:usb1="28C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简仿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仿宋_GB2312"/>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仿宋_GB2312"/>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仿宋_GB2312"/>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仿宋_GB2312"/>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center"/>
      <w:rPr>
        <w:rFonts w:ascii="宋体" w:hAnsi="宋体"/>
        <w:sz w:val="28"/>
        <w:szCs w:val="28"/>
      </w:rPr>
    </w:pPr>
    <w:sdt>
      <w:sdtPr>
        <w:rPr>
          <w:rFonts w:ascii="Times New Roman" w:hAnsi="Times New Roman" w:eastAsia="仿宋_GB2312"/>
          <w:sz w:val="18"/>
          <w:szCs w:val="18"/>
        </w:rPr>
        <w:id w:val="147452037"/>
        <w:showingPlcHdr/>
      </w:sdtPr>
      <w:sdtEndPr>
        <w:rPr>
          <w:rFonts w:ascii="Times New Roman" w:hAnsi="Times New Roman" w:eastAsia="仿宋_GB2312"/>
          <w:sz w:val="28"/>
          <w:szCs w:val="28"/>
        </w:rPr>
      </w:sdtEndPr>
      <w:sdtContent>
        <w:r>
          <w:rPr>
            <w:rFonts w:hint="eastAsia" w:ascii="Times New Roman" w:hAnsi="Times New Roman" w:eastAsia="仿宋_GB2312"/>
            <w:sz w:val="18"/>
            <w:szCs w:val="18"/>
          </w:rP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rPr>
        <w:rFonts w:ascii="宋体" w:hAnsi="宋体"/>
        <w:sz w:val="28"/>
        <w:szCs w:val="28"/>
      </w:rPr>
    </w:pPr>
    <w:r>
      <w:rPr>
        <w:rFonts w:ascii="Times New Roman" w:hAnsi="Times New Roman" w:eastAsia="仿宋_GB2312"/>
        <w:sz w:val="2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578"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smd+GwIAACk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JsWKTIg+TZrq3HqSYrfp+lE3&#10;tj5iUm/PZAmOrxq0csdCfGAe7ED7YHy8xyOVRUnbS5TsrP/8N3uKx9LgpaQF2ypqcA6UqHcGy0zE&#10;HAQ/CJtBMHt9Y0HfMS7J8SziBx/VIEpv9SecwTLVkEwFJGaGoxoWNYg3EVrvxDlxsVxedFDRsXhn&#10;1o73q01oBbfcR6CbQU8YnYHBspICPua19beTCP+rnqOeLnz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usmd+GwIAACkEAAAOAAAAAAAAAAEAIAAAADUBAABkcnMvZTJvRG9jLnhtbFBLBQYA&#10;AAAABgAGAFkBAADCBQAAAAA=&#10;">
              <v:fill on="f" focussize="0,0"/>
              <v:stroke on="f" weight="0.5pt"/>
              <v:imagedata o:title=""/>
              <o:lock v:ext="edit" aspectratio="f"/>
              <v:textbox inset="0mm,0mm,0mm,0mm" style="mso-fit-shape-to-text:t;">
                <w:txbxContent>
                  <w:p>
                    <w:pPr>
                      <w:spacing w:line="578"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 </w:t>
                          </w:r>
                          <w:r>
                            <w:fldChar w:fldCharType="begin"/>
                          </w:r>
                          <w:r>
                            <w:instrText xml:space="preserve"> PAGE  \* MERGEFORMAT </w:instrText>
                          </w:r>
                          <w:r>
                            <w:fldChar w:fldCharType="separate"/>
                          </w:r>
                          <w:r>
                            <w:t>78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rhmBFg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l+9L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q4ZgRYCAAAbBAAADgAAAAAAAAABACAAAAA1AQAAZHJzL2Uyb0RvYy54bWxQSwUGAAAAAAYA&#10;BgBZAQAAvQUAAAAA&#10;">
              <v:fill on="f" focussize="0,0"/>
              <v:stroke on="f" weight="0.5pt"/>
              <v:imagedata o:title=""/>
              <o:lock v:ext="edit" aspectratio="f"/>
              <v:textbox inset="0mm,0mm,0mm,0mm" style="mso-fit-shape-to-text:t;">
                <w:txbxContent>
                  <w:p>
                    <w:pPr>
                      <w:pStyle w:val="14"/>
                    </w:pPr>
                    <w:r>
                      <w:t xml:space="preserve">— </w:t>
                    </w:r>
                    <w:r>
                      <w:fldChar w:fldCharType="begin"/>
                    </w:r>
                    <w:r>
                      <w:instrText xml:space="preserve"> PAGE  \* MERGEFORMAT </w:instrText>
                    </w:r>
                    <w:r>
                      <w:fldChar w:fldCharType="separate"/>
                    </w:r>
                    <w:r>
                      <w:t>78</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center"/>
      <w:rPr>
        <w:rFonts w:ascii="Times New Roman" w:hAnsi="Times New Roman" w:eastAsia="仿宋_GB2312"/>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ind w:firstLine="360" w:firstLineChars="200"/>
      <w:jc w:val="center"/>
      <w:rPr>
        <w:rFonts w:ascii="Times New Roman" w:hAnsi="Times New Roman" w:eastAsia="仿宋_GB2312"/>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ind w:firstLine="360" w:firstLineChars="200"/>
      <w:jc w:val="center"/>
      <w:rPr>
        <w:rFonts w:ascii="Times New Roman" w:hAnsi="Times New Roman" w:eastAsia="仿宋_GB2312"/>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firstLineChars="200"/>
      <w:rPr>
        <w:rFonts w:ascii="Times New Roman" w:hAnsi="Times New Roman" w:eastAsia="仿宋_GB2312"/>
        <w:sz w:val="3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EE088F"/>
    <w:multiLevelType w:val="multilevel"/>
    <w:tmpl w:val="11EE088F"/>
    <w:lvl w:ilvl="0" w:tentative="0">
      <w:start w:val="1"/>
      <w:numFmt w:val="chineseCountingThousand"/>
      <w:suff w:val="nothing"/>
      <w:lvlText w:val="%1、"/>
      <w:lvlJc w:val="left"/>
      <w:pPr>
        <w:ind w:left="0" w:firstLine="442"/>
      </w:pPr>
      <w:rPr>
        <w:rFonts w:hint="eastAsia"/>
      </w:rPr>
    </w:lvl>
    <w:lvl w:ilvl="1" w:tentative="0">
      <w:start w:val="1"/>
      <w:numFmt w:val="chineseCountingThousand"/>
      <w:suff w:val="space"/>
      <w:lvlText w:val="（%2）"/>
      <w:lvlJc w:val="left"/>
      <w:pPr>
        <w:ind w:left="442" w:firstLine="0"/>
      </w:pPr>
      <w:rPr>
        <w:rFonts w:hint="eastAsia"/>
      </w:rPr>
    </w:lvl>
    <w:lvl w:ilvl="2" w:tentative="0">
      <w:start w:val="1"/>
      <w:numFmt w:val="decimal"/>
      <w:suff w:val="nothing"/>
      <w:lvlText w:val="%3."/>
      <w:lvlJc w:val="left"/>
      <w:pPr>
        <w:ind w:left="0" w:firstLine="442"/>
      </w:pPr>
      <w:rPr>
        <w:rFonts w:hint="eastAsia"/>
      </w:rPr>
    </w:lvl>
    <w:lvl w:ilvl="3" w:tentative="0">
      <w:start w:val="1"/>
      <w:numFmt w:val="none"/>
      <w:suff w:val="nothing"/>
      <w:lvlText w:val=""/>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space"/>
      <w:lvlText w:val=""/>
      <w:lvlJc w:val="left"/>
      <w:pPr>
        <w:ind w:left="0" w:firstLine="0"/>
      </w:pPr>
      <w:rPr>
        <w:rFonts w:hint="eastAsia"/>
      </w:rPr>
    </w:lvl>
    <w:lvl w:ilvl="7" w:tentative="0">
      <w:start w:val="1"/>
      <w:numFmt w:val="decimal"/>
      <w:lvlRestart w:val="1"/>
      <w:suff w:val="space"/>
      <w:lvlText w:val="表%3-%8"/>
      <w:lvlJc w:val="left"/>
      <w:pPr>
        <w:ind w:left="3094" w:firstLine="0"/>
      </w:pPr>
      <w:rPr>
        <w:rFonts w:hint="eastAsia"/>
      </w:rPr>
    </w:lvl>
    <w:lvl w:ilvl="8" w:tentative="0">
      <w:start w:val="1"/>
      <w:numFmt w:val="decimal"/>
      <w:lvlRestart w:val="2"/>
      <w:suff w:val="space"/>
      <w:lvlText w:val="图%1.%2-%9"/>
      <w:lvlJc w:val="center"/>
      <w:pPr>
        <w:ind w:left="3536" w:firstLine="0"/>
      </w:pPr>
      <w:rPr>
        <w:rFonts w:hint="eastAsia"/>
      </w:rPr>
    </w:lvl>
  </w:abstractNum>
  <w:abstractNum w:abstractNumId="1">
    <w:nsid w:val="145F35E9"/>
    <w:multiLevelType w:val="multilevel"/>
    <w:tmpl w:val="145F35E9"/>
    <w:lvl w:ilvl="0" w:tentative="0">
      <w:start w:val="1"/>
      <w:numFmt w:val="decimal"/>
      <w:suff w:val="nothing"/>
      <w:lvlText w:val="%1."/>
      <w:lvlJc w:val="left"/>
      <w:pPr>
        <w:ind w:left="561" w:hanging="441"/>
      </w:pPr>
      <w:rPr>
        <w:rFonts w:hint="eastAsia"/>
      </w:rPr>
    </w:lvl>
    <w:lvl w:ilvl="1" w:tentative="0">
      <w:start w:val="1"/>
      <w:numFmt w:val="lowerLetter"/>
      <w:lvlText w:val="%2)"/>
      <w:lvlJc w:val="left"/>
      <w:pPr>
        <w:ind w:left="1000" w:hanging="440"/>
      </w:pPr>
    </w:lvl>
    <w:lvl w:ilvl="2" w:tentative="0">
      <w:start w:val="1"/>
      <w:numFmt w:val="lowerRoman"/>
      <w:lvlText w:val="%3."/>
      <w:lvlJc w:val="right"/>
      <w:pPr>
        <w:ind w:left="1440" w:hanging="440"/>
      </w:pPr>
    </w:lvl>
    <w:lvl w:ilvl="3" w:tentative="0">
      <w:start w:val="1"/>
      <w:numFmt w:val="decimal"/>
      <w:lvlText w:val="%4."/>
      <w:lvlJc w:val="left"/>
      <w:pPr>
        <w:ind w:left="1880" w:hanging="440"/>
      </w:pPr>
    </w:lvl>
    <w:lvl w:ilvl="4" w:tentative="0">
      <w:start w:val="1"/>
      <w:numFmt w:val="lowerLetter"/>
      <w:lvlText w:val="%5)"/>
      <w:lvlJc w:val="left"/>
      <w:pPr>
        <w:ind w:left="2320" w:hanging="440"/>
      </w:pPr>
    </w:lvl>
    <w:lvl w:ilvl="5" w:tentative="0">
      <w:start w:val="1"/>
      <w:numFmt w:val="lowerRoman"/>
      <w:lvlText w:val="%6."/>
      <w:lvlJc w:val="right"/>
      <w:pPr>
        <w:ind w:left="2760" w:hanging="440"/>
      </w:pPr>
    </w:lvl>
    <w:lvl w:ilvl="6" w:tentative="0">
      <w:start w:val="1"/>
      <w:numFmt w:val="decimal"/>
      <w:lvlText w:val="%7."/>
      <w:lvlJc w:val="left"/>
      <w:pPr>
        <w:ind w:left="3200" w:hanging="440"/>
      </w:pPr>
    </w:lvl>
    <w:lvl w:ilvl="7" w:tentative="0">
      <w:start w:val="1"/>
      <w:numFmt w:val="lowerLetter"/>
      <w:lvlText w:val="%8)"/>
      <w:lvlJc w:val="left"/>
      <w:pPr>
        <w:ind w:left="3640" w:hanging="440"/>
      </w:pPr>
    </w:lvl>
    <w:lvl w:ilvl="8" w:tentative="0">
      <w:start w:val="1"/>
      <w:numFmt w:val="lowerRoman"/>
      <w:lvlText w:val="%9."/>
      <w:lvlJc w:val="right"/>
      <w:pPr>
        <w:ind w:left="4080" w:hanging="440"/>
      </w:pPr>
    </w:lvl>
  </w:abstractNum>
  <w:abstractNum w:abstractNumId="2">
    <w:nsid w:val="20A05F9A"/>
    <w:multiLevelType w:val="multilevel"/>
    <w:tmpl w:val="20A05F9A"/>
    <w:lvl w:ilvl="0" w:tentative="0">
      <w:start w:val="1"/>
      <w:numFmt w:val="decimal"/>
      <w:pStyle w:val="43"/>
      <w:suff w:val="nothing"/>
      <w:lvlText w:val="%1."/>
      <w:lvlJc w:val="left"/>
      <w:pPr>
        <w:ind w:left="0" w:firstLine="0"/>
      </w:pPr>
      <w:rPr>
        <w:rFonts w:hint="eastAsia"/>
      </w:rPr>
    </w:lvl>
    <w:lvl w:ilvl="1" w:tentative="0">
      <w:start w:val="1"/>
      <w:numFmt w:val="lowerLetter"/>
      <w:lvlText w:val="%2)"/>
      <w:lvlJc w:val="left"/>
      <w:pPr>
        <w:ind w:left="1000" w:hanging="440"/>
      </w:pPr>
      <w:rPr>
        <w:rFonts w:hint="eastAsia"/>
      </w:rPr>
    </w:lvl>
    <w:lvl w:ilvl="2" w:tentative="0">
      <w:start w:val="1"/>
      <w:numFmt w:val="lowerRoman"/>
      <w:lvlText w:val="%3."/>
      <w:lvlJc w:val="right"/>
      <w:pPr>
        <w:ind w:left="1440" w:hanging="440"/>
      </w:pPr>
      <w:rPr>
        <w:rFonts w:hint="eastAsia"/>
      </w:rPr>
    </w:lvl>
    <w:lvl w:ilvl="3" w:tentative="0">
      <w:start w:val="1"/>
      <w:numFmt w:val="decimal"/>
      <w:lvlText w:val="%4."/>
      <w:lvlJc w:val="left"/>
      <w:pPr>
        <w:ind w:left="1880" w:hanging="440"/>
      </w:pPr>
      <w:rPr>
        <w:rFonts w:hint="eastAsia"/>
      </w:rPr>
    </w:lvl>
    <w:lvl w:ilvl="4" w:tentative="0">
      <w:start w:val="1"/>
      <w:numFmt w:val="lowerLetter"/>
      <w:lvlText w:val="%5)"/>
      <w:lvlJc w:val="left"/>
      <w:pPr>
        <w:ind w:left="2320" w:hanging="440"/>
      </w:pPr>
      <w:rPr>
        <w:rFonts w:hint="eastAsia"/>
      </w:rPr>
    </w:lvl>
    <w:lvl w:ilvl="5" w:tentative="0">
      <w:start w:val="1"/>
      <w:numFmt w:val="lowerRoman"/>
      <w:lvlText w:val="%6."/>
      <w:lvlJc w:val="right"/>
      <w:pPr>
        <w:ind w:left="2760" w:hanging="440"/>
      </w:pPr>
      <w:rPr>
        <w:rFonts w:hint="eastAsia"/>
      </w:rPr>
    </w:lvl>
    <w:lvl w:ilvl="6" w:tentative="0">
      <w:start w:val="1"/>
      <w:numFmt w:val="decimal"/>
      <w:lvlText w:val="%7."/>
      <w:lvlJc w:val="left"/>
      <w:pPr>
        <w:ind w:left="3200" w:hanging="440"/>
      </w:pPr>
      <w:rPr>
        <w:rFonts w:hint="eastAsia"/>
      </w:rPr>
    </w:lvl>
    <w:lvl w:ilvl="7" w:tentative="0">
      <w:start w:val="1"/>
      <w:numFmt w:val="lowerLetter"/>
      <w:lvlText w:val="%8)"/>
      <w:lvlJc w:val="left"/>
      <w:pPr>
        <w:ind w:left="3640" w:hanging="440"/>
      </w:pPr>
      <w:rPr>
        <w:rFonts w:hint="eastAsia"/>
      </w:rPr>
    </w:lvl>
    <w:lvl w:ilvl="8" w:tentative="0">
      <w:start w:val="1"/>
      <w:numFmt w:val="lowerRoman"/>
      <w:lvlText w:val="%9."/>
      <w:lvlJc w:val="right"/>
      <w:pPr>
        <w:ind w:left="4080" w:hanging="440"/>
      </w:pPr>
      <w:rPr>
        <w:rFonts w:hint="eastAsia"/>
      </w:rPr>
    </w:lvl>
  </w:abstractNum>
  <w:abstractNum w:abstractNumId="3">
    <w:nsid w:val="34667D90"/>
    <w:multiLevelType w:val="multilevel"/>
    <w:tmpl w:val="34667D90"/>
    <w:lvl w:ilvl="0" w:tentative="0">
      <w:start w:val="1"/>
      <w:numFmt w:val="chineseCountingThousand"/>
      <w:pStyle w:val="39"/>
      <w:suff w:val="nothing"/>
      <w:lvlText w:val="%1、"/>
      <w:lvlJc w:val="left"/>
      <w:pPr>
        <w:ind w:left="3976" w:hanging="440"/>
      </w:pPr>
      <w:rPr>
        <w:rFonts w:hint="eastAsia"/>
      </w:rPr>
    </w:lvl>
    <w:lvl w:ilvl="1" w:tentative="0">
      <w:start w:val="1"/>
      <w:numFmt w:val="lowerLetter"/>
      <w:lvlText w:val="%2)"/>
      <w:lvlJc w:val="left"/>
      <w:pPr>
        <w:ind w:left="4416" w:hanging="440"/>
      </w:pPr>
    </w:lvl>
    <w:lvl w:ilvl="2" w:tentative="0">
      <w:start w:val="1"/>
      <w:numFmt w:val="lowerRoman"/>
      <w:lvlText w:val="%3."/>
      <w:lvlJc w:val="right"/>
      <w:pPr>
        <w:ind w:left="4856" w:hanging="440"/>
      </w:pPr>
    </w:lvl>
    <w:lvl w:ilvl="3" w:tentative="0">
      <w:start w:val="1"/>
      <w:numFmt w:val="decimal"/>
      <w:lvlText w:val="%4."/>
      <w:lvlJc w:val="left"/>
      <w:pPr>
        <w:ind w:left="5296" w:hanging="440"/>
      </w:pPr>
    </w:lvl>
    <w:lvl w:ilvl="4" w:tentative="0">
      <w:start w:val="1"/>
      <w:numFmt w:val="lowerLetter"/>
      <w:lvlText w:val="%5)"/>
      <w:lvlJc w:val="left"/>
      <w:pPr>
        <w:ind w:left="5736" w:hanging="440"/>
      </w:pPr>
    </w:lvl>
    <w:lvl w:ilvl="5" w:tentative="0">
      <w:start w:val="1"/>
      <w:numFmt w:val="lowerRoman"/>
      <w:lvlText w:val="%6."/>
      <w:lvlJc w:val="right"/>
      <w:pPr>
        <w:ind w:left="6176" w:hanging="440"/>
      </w:pPr>
    </w:lvl>
    <w:lvl w:ilvl="6" w:tentative="0">
      <w:start w:val="1"/>
      <w:numFmt w:val="decimal"/>
      <w:lvlText w:val="%7."/>
      <w:lvlJc w:val="left"/>
      <w:pPr>
        <w:ind w:left="6616" w:hanging="440"/>
      </w:pPr>
    </w:lvl>
    <w:lvl w:ilvl="7" w:tentative="0">
      <w:start w:val="1"/>
      <w:numFmt w:val="lowerLetter"/>
      <w:lvlText w:val="%8)"/>
      <w:lvlJc w:val="left"/>
      <w:pPr>
        <w:ind w:left="7056" w:hanging="440"/>
      </w:pPr>
    </w:lvl>
    <w:lvl w:ilvl="8" w:tentative="0">
      <w:start w:val="1"/>
      <w:numFmt w:val="lowerRoman"/>
      <w:lvlText w:val="%9."/>
      <w:lvlJc w:val="right"/>
      <w:pPr>
        <w:ind w:left="7496" w:hanging="440"/>
      </w:pPr>
    </w:lvl>
  </w:abstractNum>
  <w:abstractNum w:abstractNumId="4">
    <w:nsid w:val="640E47FA"/>
    <w:multiLevelType w:val="multilevel"/>
    <w:tmpl w:val="640E47FA"/>
    <w:lvl w:ilvl="0" w:tentative="0">
      <w:start w:val="1"/>
      <w:numFmt w:val="chineseCountingThousand"/>
      <w:pStyle w:val="41"/>
      <w:suff w:val="space"/>
      <w:lvlText w:val="(%1)"/>
      <w:lvlJc w:val="left"/>
      <w:pPr>
        <w:ind w:left="0" w:firstLine="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num w:numId="1">
    <w:abstractNumId w:val="3"/>
  </w:num>
  <w:num w:numId="2">
    <w:abstractNumId w:val="4"/>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253"/>
    <w:rsid w:val="000A4FFE"/>
    <w:rsid w:val="000B07A6"/>
    <w:rsid w:val="0012559F"/>
    <w:rsid w:val="00155006"/>
    <w:rsid w:val="00171E34"/>
    <w:rsid w:val="001C112F"/>
    <w:rsid w:val="00260D83"/>
    <w:rsid w:val="002A6E91"/>
    <w:rsid w:val="002B0FD4"/>
    <w:rsid w:val="00303E94"/>
    <w:rsid w:val="00313533"/>
    <w:rsid w:val="003348B2"/>
    <w:rsid w:val="00376054"/>
    <w:rsid w:val="003B04BE"/>
    <w:rsid w:val="003E5DDA"/>
    <w:rsid w:val="00410170"/>
    <w:rsid w:val="0044024C"/>
    <w:rsid w:val="00485102"/>
    <w:rsid w:val="004B2C28"/>
    <w:rsid w:val="00505DBE"/>
    <w:rsid w:val="00525547"/>
    <w:rsid w:val="00525FDA"/>
    <w:rsid w:val="00537A7F"/>
    <w:rsid w:val="0058421C"/>
    <w:rsid w:val="005E2E34"/>
    <w:rsid w:val="006119E6"/>
    <w:rsid w:val="00633E26"/>
    <w:rsid w:val="00644C5B"/>
    <w:rsid w:val="00664200"/>
    <w:rsid w:val="00666459"/>
    <w:rsid w:val="00676510"/>
    <w:rsid w:val="006970C6"/>
    <w:rsid w:val="006F7041"/>
    <w:rsid w:val="0076435F"/>
    <w:rsid w:val="00796BAB"/>
    <w:rsid w:val="007D414E"/>
    <w:rsid w:val="00812142"/>
    <w:rsid w:val="00821803"/>
    <w:rsid w:val="008C5EC0"/>
    <w:rsid w:val="008E5D61"/>
    <w:rsid w:val="00935448"/>
    <w:rsid w:val="00935BCA"/>
    <w:rsid w:val="00976B67"/>
    <w:rsid w:val="00994BFB"/>
    <w:rsid w:val="009D41DF"/>
    <w:rsid w:val="009E29B9"/>
    <w:rsid w:val="00A10646"/>
    <w:rsid w:val="00A741ED"/>
    <w:rsid w:val="00A91042"/>
    <w:rsid w:val="00AB384A"/>
    <w:rsid w:val="00AD52BA"/>
    <w:rsid w:val="00BD3A4F"/>
    <w:rsid w:val="00C357BE"/>
    <w:rsid w:val="00C444BC"/>
    <w:rsid w:val="00C44DB4"/>
    <w:rsid w:val="00CA57B4"/>
    <w:rsid w:val="00DD4C77"/>
    <w:rsid w:val="00E12C55"/>
    <w:rsid w:val="00E43A18"/>
    <w:rsid w:val="00E974DB"/>
    <w:rsid w:val="00EA286F"/>
    <w:rsid w:val="00F81677"/>
    <w:rsid w:val="00FB2253"/>
    <w:rsid w:val="00FB76AE"/>
    <w:rsid w:val="00FB78A3"/>
    <w:rsid w:val="00FC4D5F"/>
    <w:rsid w:val="00FC7BAA"/>
    <w:rsid w:val="00FF6438"/>
    <w:rsid w:val="00FF6492"/>
    <w:rsid w:val="010B6E48"/>
    <w:rsid w:val="06C22EA5"/>
    <w:rsid w:val="088E5420"/>
    <w:rsid w:val="0C324E59"/>
    <w:rsid w:val="0CE61193"/>
    <w:rsid w:val="1232240E"/>
    <w:rsid w:val="1360648C"/>
    <w:rsid w:val="18A030E2"/>
    <w:rsid w:val="1AEF1302"/>
    <w:rsid w:val="1CDE1086"/>
    <w:rsid w:val="1D6A7304"/>
    <w:rsid w:val="1DCB7BDC"/>
    <w:rsid w:val="1E260A4A"/>
    <w:rsid w:val="244373A3"/>
    <w:rsid w:val="2A0C2AA9"/>
    <w:rsid w:val="30375D60"/>
    <w:rsid w:val="31B274A5"/>
    <w:rsid w:val="35EAB2CB"/>
    <w:rsid w:val="35F757B1"/>
    <w:rsid w:val="379F9009"/>
    <w:rsid w:val="3B590F38"/>
    <w:rsid w:val="3EAB0813"/>
    <w:rsid w:val="3FF7C9F4"/>
    <w:rsid w:val="48880B5A"/>
    <w:rsid w:val="4A16432C"/>
    <w:rsid w:val="51885808"/>
    <w:rsid w:val="565D5D4E"/>
    <w:rsid w:val="5BBFBC77"/>
    <w:rsid w:val="5D120F42"/>
    <w:rsid w:val="5DFBA1FF"/>
    <w:rsid w:val="5F9F12D5"/>
    <w:rsid w:val="5FFE5C69"/>
    <w:rsid w:val="62DE1925"/>
    <w:rsid w:val="62E27F6D"/>
    <w:rsid w:val="63724483"/>
    <w:rsid w:val="640021D5"/>
    <w:rsid w:val="662401B8"/>
    <w:rsid w:val="664D4B6D"/>
    <w:rsid w:val="6BC70983"/>
    <w:rsid w:val="6F2C1734"/>
    <w:rsid w:val="6FF74809"/>
    <w:rsid w:val="735F9A30"/>
    <w:rsid w:val="73F39B17"/>
    <w:rsid w:val="78C97E2C"/>
    <w:rsid w:val="79192C74"/>
    <w:rsid w:val="79FA2C37"/>
    <w:rsid w:val="7BFFE83E"/>
    <w:rsid w:val="7F4F9B19"/>
    <w:rsid w:val="7F7D6501"/>
    <w:rsid w:val="7FA17CB1"/>
    <w:rsid w:val="7FAAD9E3"/>
    <w:rsid w:val="7FD17304"/>
    <w:rsid w:val="99D7E619"/>
    <w:rsid w:val="AEBD97F5"/>
    <w:rsid w:val="BEFD9F05"/>
    <w:rsid w:val="C9BF2170"/>
    <w:rsid w:val="DDFCF86E"/>
    <w:rsid w:val="F5D3F30A"/>
    <w:rsid w:val="FFDF8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iPriority="99"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ind w:firstLine="200" w:firstLineChars="200"/>
      <w:outlineLvl w:val="0"/>
    </w:pPr>
    <w:rPr>
      <w:rFonts w:ascii="Times New Roman" w:hAnsi="Times New Roman" w:eastAsia="仿宋_GB2312"/>
      <w:b/>
      <w:bCs/>
      <w:kern w:val="44"/>
      <w:sz w:val="44"/>
      <w:szCs w:val="44"/>
    </w:rPr>
  </w:style>
  <w:style w:type="paragraph" w:styleId="3">
    <w:name w:val="heading 2"/>
    <w:next w:val="1"/>
    <w:link w:val="57"/>
    <w:unhideWhenUsed/>
    <w:qFormat/>
    <w:uiPriority w:val="9"/>
    <w:pPr>
      <w:keepNext/>
      <w:keepLines/>
      <w:widowControl w:val="0"/>
      <w:spacing w:after="160" w:line="413" w:lineRule="auto"/>
      <w:jc w:val="both"/>
      <w:outlineLvl w:val="1"/>
    </w:pPr>
    <w:rPr>
      <w:rFonts w:ascii="Arial" w:hAnsi="Arial" w:eastAsia="黑体" w:cs="Times New Roman"/>
      <w:b/>
      <w:kern w:val="2"/>
      <w:sz w:val="32"/>
      <w:szCs w:val="24"/>
      <w:lang w:val="en-US" w:eastAsia="zh-CN" w:bidi="ar-SA"/>
    </w:rPr>
  </w:style>
  <w:style w:type="paragraph" w:styleId="4">
    <w:name w:val="heading 3"/>
    <w:basedOn w:val="1"/>
    <w:next w:val="1"/>
    <w:link w:val="34"/>
    <w:unhideWhenUsed/>
    <w:qFormat/>
    <w:uiPriority w:val="0"/>
    <w:pPr>
      <w:keepNext/>
      <w:keepLines/>
      <w:spacing w:before="260" w:after="260" w:line="416" w:lineRule="auto"/>
      <w:ind w:firstLine="200" w:firstLineChars="200"/>
      <w:outlineLvl w:val="2"/>
    </w:pPr>
    <w:rPr>
      <w:rFonts w:ascii="Times New Roman" w:hAnsi="Times New Roman" w:eastAsia="仿宋_GB2312"/>
      <w:b/>
      <w:bCs/>
      <w:sz w:val="32"/>
      <w:szCs w:val="32"/>
    </w:rPr>
  </w:style>
  <w:style w:type="paragraph" w:styleId="5">
    <w:name w:val="heading 8"/>
    <w:basedOn w:val="1"/>
    <w:next w:val="1"/>
    <w:link w:val="35"/>
    <w:qFormat/>
    <w:uiPriority w:val="1"/>
    <w:pPr>
      <w:autoSpaceDE w:val="0"/>
      <w:autoSpaceDN w:val="0"/>
      <w:ind w:left="620"/>
      <w:jc w:val="left"/>
      <w:outlineLvl w:val="7"/>
    </w:pPr>
    <w:rPr>
      <w:rFonts w:ascii="宋体" w:hAnsi="宋体" w:eastAsia="仿宋_GB2312" w:cs="宋体"/>
      <w:b/>
      <w:bCs/>
      <w:kern w:val="0"/>
      <w:szCs w:val="21"/>
      <w:lang w:val="zh-CN" w:bidi="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jc w:val="left"/>
    </w:pPr>
    <w:rPr>
      <w:rFonts w:asciiTheme="minorHAnsi" w:hAnsiTheme="minorHAnsi" w:eastAsiaTheme="minorEastAsia" w:cstheme="minorBidi"/>
      <w:sz w:val="22"/>
      <w14:ligatures w14:val="standardContextual"/>
    </w:rPr>
  </w:style>
  <w:style w:type="paragraph" w:styleId="7">
    <w:name w:val="caption"/>
    <w:basedOn w:val="1"/>
    <w:next w:val="1"/>
    <w:unhideWhenUsed/>
    <w:qFormat/>
    <w:uiPriority w:val="35"/>
    <w:pPr>
      <w:spacing w:line="578" w:lineRule="exact"/>
      <w:ind w:firstLine="200" w:firstLineChars="200"/>
    </w:pPr>
    <w:rPr>
      <w:rFonts w:eastAsia="黑体" w:asciiTheme="majorHAnsi" w:hAnsiTheme="majorHAnsi" w:cstheme="majorBidi"/>
      <w:sz w:val="20"/>
      <w:szCs w:val="20"/>
    </w:rPr>
  </w:style>
  <w:style w:type="paragraph" w:styleId="8">
    <w:name w:val="annotation text"/>
    <w:basedOn w:val="1"/>
    <w:link w:val="36"/>
    <w:unhideWhenUsed/>
    <w:qFormat/>
    <w:uiPriority w:val="99"/>
    <w:pPr>
      <w:spacing w:line="578" w:lineRule="exact"/>
      <w:ind w:firstLine="200" w:firstLineChars="200"/>
      <w:jc w:val="left"/>
    </w:pPr>
    <w:rPr>
      <w:rFonts w:ascii="Times New Roman" w:hAnsi="Times New Roman" w:eastAsia="仿宋_GB2312"/>
      <w:sz w:val="32"/>
      <w:szCs w:val="22"/>
    </w:rPr>
  </w:style>
  <w:style w:type="paragraph" w:styleId="9">
    <w:name w:val="Salutation"/>
    <w:next w:val="1"/>
    <w:unhideWhenUsed/>
    <w:qFormat/>
    <w:uiPriority w:val="99"/>
    <w:pPr>
      <w:widowControl w:val="0"/>
      <w:spacing w:after="160" w:line="278" w:lineRule="auto"/>
      <w:jc w:val="both"/>
    </w:pPr>
    <w:rPr>
      <w:rFonts w:ascii="等线" w:hAnsi="等线" w:eastAsia="仿宋_GB2312" w:cs="Times New Roman"/>
      <w:kern w:val="2"/>
      <w:sz w:val="32"/>
      <w:szCs w:val="22"/>
      <w:lang w:val="en-US" w:eastAsia="zh-CN" w:bidi="ar-SA"/>
    </w:rPr>
  </w:style>
  <w:style w:type="paragraph" w:styleId="10">
    <w:name w:val="toc 5"/>
    <w:basedOn w:val="1"/>
    <w:next w:val="1"/>
    <w:unhideWhenUsed/>
    <w:qFormat/>
    <w:uiPriority w:val="39"/>
    <w:pPr>
      <w:ind w:left="1680" w:leftChars="800"/>
      <w:jc w:val="left"/>
    </w:pPr>
    <w:rPr>
      <w:rFonts w:asciiTheme="minorHAnsi" w:hAnsiTheme="minorHAnsi" w:eastAsiaTheme="minorEastAsia" w:cstheme="minorBidi"/>
      <w:sz w:val="22"/>
      <w14:ligatures w14:val="standardContextual"/>
    </w:rPr>
  </w:style>
  <w:style w:type="paragraph" w:styleId="11">
    <w:name w:val="toc 3"/>
    <w:basedOn w:val="1"/>
    <w:next w:val="1"/>
    <w:unhideWhenUsed/>
    <w:qFormat/>
    <w:uiPriority w:val="39"/>
    <w:pPr>
      <w:spacing w:line="578" w:lineRule="exact"/>
      <w:ind w:left="840" w:leftChars="400" w:firstLine="200" w:firstLineChars="200"/>
    </w:pPr>
    <w:rPr>
      <w:rFonts w:ascii="Times New Roman" w:hAnsi="Times New Roman" w:eastAsia="仿宋_GB2312"/>
      <w:sz w:val="32"/>
      <w:szCs w:val="22"/>
    </w:rPr>
  </w:style>
  <w:style w:type="paragraph" w:styleId="12">
    <w:name w:val="toc 8"/>
    <w:basedOn w:val="1"/>
    <w:next w:val="1"/>
    <w:unhideWhenUsed/>
    <w:qFormat/>
    <w:uiPriority w:val="39"/>
    <w:pPr>
      <w:ind w:left="2940" w:leftChars="1400"/>
      <w:jc w:val="left"/>
    </w:pPr>
    <w:rPr>
      <w:rFonts w:asciiTheme="minorHAnsi" w:hAnsiTheme="minorHAnsi" w:eastAsiaTheme="minorEastAsia" w:cstheme="minorBidi"/>
      <w:sz w:val="22"/>
      <w14:ligatures w14:val="standardContextual"/>
    </w:rPr>
  </w:style>
  <w:style w:type="paragraph" w:styleId="13">
    <w:name w:val="Date"/>
    <w:basedOn w:val="1"/>
    <w:next w:val="1"/>
    <w:link w:val="37"/>
    <w:unhideWhenUsed/>
    <w:qFormat/>
    <w:uiPriority w:val="99"/>
    <w:pPr>
      <w:spacing w:line="578" w:lineRule="exact"/>
      <w:ind w:left="100" w:leftChars="2500" w:firstLine="200" w:firstLineChars="200"/>
    </w:pPr>
    <w:rPr>
      <w:rFonts w:ascii="Times New Roman" w:hAnsi="Times New Roman" w:eastAsia="仿宋_GB2312"/>
      <w:sz w:val="32"/>
      <w:szCs w:val="22"/>
    </w:rPr>
  </w:style>
  <w:style w:type="paragraph" w:styleId="14">
    <w:name w:val="footer"/>
    <w:basedOn w:val="1"/>
    <w:link w:val="55"/>
    <w:qFormat/>
    <w:uiPriority w:val="99"/>
    <w:pPr>
      <w:tabs>
        <w:tab w:val="center" w:pos="4153"/>
        <w:tab w:val="right" w:pos="8306"/>
      </w:tabs>
      <w:snapToGrid w:val="0"/>
      <w:spacing w:line="590" w:lineRule="exact"/>
    </w:pPr>
    <w:rPr>
      <w:rFonts w:ascii="宋体" w:hAnsi="宋体"/>
      <w:sz w:val="28"/>
      <w:szCs w:val="28"/>
    </w:rPr>
  </w:style>
  <w:style w:type="paragraph" w:styleId="15">
    <w:name w:val="header"/>
    <w:basedOn w:val="1"/>
    <w:link w:val="5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unhideWhenUsed/>
    <w:qFormat/>
    <w:uiPriority w:val="39"/>
    <w:pPr>
      <w:spacing w:line="578" w:lineRule="exact"/>
      <w:ind w:firstLine="200" w:firstLineChars="200"/>
    </w:pPr>
    <w:rPr>
      <w:rFonts w:ascii="Times New Roman" w:hAnsi="Times New Roman" w:eastAsia="仿宋_GB2312"/>
      <w:sz w:val="32"/>
      <w:szCs w:val="22"/>
    </w:rPr>
  </w:style>
  <w:style w:type="paragraph" w:styleId="17">
    <w:name w:val="toc 4"/>
    <w:basedOn w:val="1"/>
    <w:next w:val="1"/>
    <w:unhideWhenUsed/>
    <w:qFormat/>
    <w:uiPriority w:val="39"/>
    <w:pPr>
      <w:ind w:left="1260" w:leftChars="600"/>
      <w:jc w:val="left"/>
    </w:pPr>
    <w:rPr>
      <w:rFonts w:asciiTheme="minorHAnsi" w:hAnsiTheme="minorHAnsi" w:eastAsiaTheme="minorEastAsia" w:cstheme="minorBidi"/>
      <w:sz w:val="22"/>
      <w14:ligatures w14:val="standardContextual"/>
    </w:rPr>
  </w:style>
  <w:style w:type="paragraph" w:styleId="18">
    <w:name w:val="toc 6"/>
    <w:basedOn w:val="1"/>
    <w:next w:val="1"/>
    <w:unhideWhenUsed/>
    <w:qFormat/>
    <w:uiPriority w:val="39"/>
    <w:pPr>
      <w:ind w:left="2100" w:leftChars="1000"/>
      <w:jc w:val="left"/>
    </w:pPr>
    <w:rPr>
      <w:rFonts w:asciiTheme="minorHAnsi" w:hAnsiTheme="minorHAnsi" w:eastAsiaTheme="minorEastAsia" w:cstheme="minorBidi"/>
      <w:sz w:val="22"/>
      <w14:ligatures w14:val="standardContextual"/>
    </w:rPr>
  </w:style>
  <w:style w:type="paragraph" w:styleId="19">
    <w:name w:val="toc 2"/>
    <w:basedOn w:val="1"/>
    <w:next w:val="1"/>
    <w:unhideWhenUsed/>
    <w:qFormat/>
    <w:uiPriority w:val="39"/>
    <w:pPr>
      <w:spacing w:line="578" w:lineRule="exact"/>
      <w:ind w:left="420" w:leftChars="200" w:firstLine="200" w:firstLineChars="200"/>
    </w:pPr>
    <w:rPr>
      <w:rFonts w:ascii="Times New Roman" w:hAnsi="Times New Roman" w:eastAsia="仿宋_GB2312"/>
      <w:sz w:val="32"/>
      <w:szCs w:val="22"/>
    </w:rPr>
  </w:style>
  <w:style w:type="paragraph" w:styleId="20">
    <w:name w:val="toc 9"/>
    <w:basedOn w:val="1"/>
    <w:next w:val="1"/>
    <w:unhideWhenUsed/>
    <w:qFormat/>
    <w:uiPriority w:val="39"/>
    <w:pPr>
      <w:ind w:left="3360" w:leftChars="1600"/>
      <w:jc w:val="left"/>
    </w:pPr>
    <w:rPr>
      <w:rFonts w:asciiTheme="minorHAnsi" w:hAnsiTheme="minorHAnsi" w:eastAsiaTheme="minorEastAsia" w:cstheme="minorBidi"/>
      <w:sz w:val="22"/>
      <w14:ligatures w14:val="standardContextual"/>
    </w:rPr>
  </w:style>
  <w:style w:type="paragraph" w:styleId="21">
    <w:name w:val="Normal (Web)"/>
    <w:qFormat/>
    <w:uiPriority w:val="0"/>
    <w:pPr>
      <w:widowControl w:val="0"/>
      <w:spacing w:after="160" w:line="278" w:lineRule="auto"/>
      <w:jc w:val="both"/>
    </w:pPr>
    <w:rPr>
      <w:rFonts w:ascii="Calibri" w:hAnsi="Calibri" w:eastAsia="宋体" w:cs="Times New Roman"/>
      <w:kern w:val="2"/>
      <w:sz w:val="24"/>
      <w:szCs w:val="24"/>
      <w:lang w:val="en-US" w:eastAsia="zh-CN" w:bidi="ar-SA"/>
    </w:rPr>
  </w:style>
  <w:style w:type="paragraph" w:styleId="22">
    <w:name w:val="annotation subject"/>
    <w:basedOn w:val="8"/>
    <w:next w:val="8"/>
    <w:link w:val="38"/>
    <w:unhideWhenUsed/>
    <w:qFormat/>
    <w:uiPriority w:val="99"/>
    <w:rPr>
      <w:b/>
      <w:bCs/>
    </w:rPr>
  </w:style>
  <w:style w:type="paragraph" w:styleId="23">
    <w:name w:val="Body Text First Indent"/>
    <w:unhideWhenUsed/>
    <w:qFormat/>
    <w:uiPriority w:val="99"/>
    <w:pPr>
      <w:widowControl w:val="0"/>
      <w:snapToGrid w:val="0"/>
      <w:spacing w:after="120" w:line="590" w:lineRule="exact"/>
      <w:ind w:firstLine="420" w:firstLineChars="100"/>
      <w:jc w:val="both"/>
    </w:pPr>
    <w:rPr>
      <w:rFonts w:ascii="Calibri" w:hAnsi="Calibri" w:eastAsia="仿宋_GB2312" w:cs="Times New Roman"/>
      <w:kern w:val="2"/>
      <w:sz w:val="32"/>
      <w:szCs w:val="24"/>
      <w:lang w:val="en-US" w:eastAsia="zh-CN" w:bidi="ar-SA"/>
    </w:rPr>
  </w:style>
  <w:style w:type="table" w:styleId="25">
    <w:name w:val="Table Grid"/>
    <w:basedOn w:val="24"/>
    <w:qFormat/>
    <w:uiPriority w:val="0"/>
    <w:pPr>
      <w:spacing w:line="276" w:lineRule="auto"/>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7">
    <w:name w:val="FollowedHyperlink"/>
    <w:basedOn w:val="26"/>
    <w:unhideWhenUsed/>
    <w:qFormat/>
    <w:uiPriority w:val="99"/>
    <w:rPr>
      <w:color w:val="954F72"/>
      <w:u w:val="single"/>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styleId="29">
    <w:name w:val="annotation reference"/>
    <w:basedOn w:val="26"/>
    <w:unhideWhenUsed/>
    <w:qFormat/>
    <w:uiPriority w:val="99"/>
    <w:rPr>
      <w:sz w:val="21"/>
      <w:szCs w:val="21"/>
    </w:rPr>
  </w:style>
  <w:style w:type="character" w:customStyle="1" w:styleId="30">
    <w:name w:val="font01"/>
    <w:qFormat/>
    <w:uiPriority w:val="0"/>
    <w:rPr>
      <w:rFonts w:hint="eastAsia" w:ascii="仿宋_GB2312" w:eastAsia="仿宋_GB2312" w:cs="仿宋_GB2312"/>
      <w:b/>
      <w:color w:val="000000"/>
      <w:sz w:val="28"/>
      <w:szCs w:val="28"/>
      <w:u w:val="none"/>
    </w:rPr>
  </w:style>
  <w:style w:type="character" w:customStyle="1" w:styleId="31">
    <w:name w:val="font11"/>
    <w:qFormat/>
    <w:uiPriority w:val="0"/>
    <w:rPr>
      <w:rFonts w:hint="eastAsia" w:ascii="仿宋_GB2312" w:eastAsia="仿宋_GB2312" w:cs="仿宋_GB2312"/>
      <w:color w:val="000000"/>
      <w:sz w:val="28"/>
      <w:szCs w:val="28"/>
      <w:u w:val="none"/>
    </w:rPr>
  </w:style>
  <w:style w:type="paragraph" w:customStyle="1" w:styleId="32">
    <w:name w:val="修订1"/>
    <w:hidden/>
    <w:unhideWhenUsed/>
    <w:qFormat/>
    <w:uiPriority w:val="99"/>
    <w:pPr>
      <w:spacing w:after="160" w:line="278" w:lineRule="auto"/>
    </w:pPr>
    <w:rPr>
      <w:rFonts w:ascii="Calibri" w:hAnsi="Calibri" w:eastAsia="宋体" w:cs="Times New Roman"/>
      <w:kern w:val="2"/>
      <w:sz w:val="21"/>
      <w:szCs w:val="24"/>
      <w:lang w:val="en-US" w:eastAsia="zh-CN" w:bidi="ar-SA"/>
    </w:rPr>
  </w:style>
  <w:style w:type="character" w:customStyle="1" w:styleId="33">
    <w:name w:val="标题 1 字符"/>
    <w:basedOn w:val="26"/>
    <w:link w:val="2"/>
    <w:qFormat/>
    <w:uiPriority w:val="9"/>
    <w:rPr>
      <w:rFonts w:ascii="Times New Roman" w:hAnsi="Times New Roman" w:eastAsia="仿宋_GB2312"/>
      <w:b/>
      <w:bCs/>
      <w:kern w:val="44"/>
      <w:sz w:val="44"/>
      <w:szCs w:val="44"/>
    </w:rPr>
  </w:style>
  <w:style w:type="character" w:customStyle="1" w:styleId="34">
    <w:name w:val="标题 3 字符"/>
    <w:basedOn w:val="26"/>
    <w:link w:val="4"/>
    <w:qFormat/>
    <w:uiPriority w:val="9"/>
    <w:rPr>
      <w:rFonts w:ascii="Times New Roman" w:hAnsi="Times New Roman" w:eastAsia="仿宋_GB2312"/>
      <w:b/>
      <w:bCs/>
      <w:kern w:val="2"/>
      <w:sz w:val="32"/>
      <w:szCs w:val="32"/>
    </w:rPr>
  </w:style>
  <w:style w:type="character" w:customStyle="1" w:styleId="35">
    <w:name w:val="标题 8 字符"/>
    <w:basedOn w:val="26"/>
    <w:link w:val="5"/>
    <w:qFormat/>
    <w:uiPriority w:val="1"/>
    <w:rPr>
      <w:rFonts w:ascii="宋体" w:hAnsi="宋体" w:eastAsia="仿宋_GB2312" w:cs="宋体"/>
      <w:b/>
      <w:bCs/>
      <w:sz w:val="21"/>
      <w:szCs w:val="21"/>
      <w:lang w:val="zh-CN" w:bidi="zh-CN"/>
    </w:rPr>
  </w:style>
  <w:style w:type="character" w:customStyle="1" w:styleId="36">
    <w:name w:val="批注文字 字符"/>
    <w:basedOn w:val="26"/>
    <w:link w:val="8"/>
    <w:qFormat/>
    <w:uiPriority w:val="99"/>
    <w:rPr>
      <w:rFonts w:ascii="Times New Roman" w:hAnsi="Times New Roman" w:eastAsia="仿宋_GB2312"/>
      <w:kern w:val="2"/>
      <w:sz w:val="32"/>
      <w:szCs w:val="22"/>
    </w:rPr>
  </w:style>
  <w:style w:type="character" w:customStyle="1" w:styleId="37">
    <w:name w:val="日期 字符"/>
    <w:basedOn w:val="26"/>
    <w:link w:val="13"/>
    <w:qFormat/>
    <w:uiPriority w:val="99"/>
    <w:rPr>
      <w:rFonts w:ascii="Times New Roman" w:hAnsi="Times New Roman" w:eastAsia="仿宋_GB2312"/>
      <w:kern w:val="2"/>
      <w:sz w:val="32"/>
      <w:szCs w:val="22"/>
    </w:rPr>
  </w:style>
  <w:style w:type="character" w:customStyle="1" w:styleId="38">
    <w:name w:val="批注主题 字符"/>
    <w:basedOn w:val="36"/>
    <w:link w:val="22"/>
    <w:qFormat/>
    <w:uiPriority w:val="99"/>
    <w:rPr>
      <w:rFonts w:ascii="Times New Roman" w:hAnsi="Times New Roman" w:eastAsia="仿宋_GB2312"/>
      <w:b/>
      <w:bCs/>
      <w:kern w:val="2"/>
      <w:sz w:val="32"/>
      <w:szCs w:val="22"/>
    </w:rPr>
  </w:style>
  <w:style w:type="paragraph" w:customStyle="1" w:styleId="39">
    <w:name w:val="标题1"/>
    <w:next w:val="1"/>
    <w:link w:val="40"/>
    <w:qFormat/>
    <w:uiPriority w:val="0"/>
    <w:pPr>
      <w:numPr>
        <w:ilvl w:val="0"/>
        <w:numId w:val="1"/>
      </w:numPr>
      <w:spacing w:after="160" w:line="578" w:lineRule="exact"/>
      <w:ind w:left="0" w:firstLine="200" w:firstLineChars="200"/>
      <w:outlineLvl w:val="0"/>
    </w:pPr>
    <w:rPr>
      <w:rFonts w:ascii="Times New Roman" w:hAnsi="Times New Roman" w:eastAsia="黑体" w:cs="Times New Roman"/>
      <w:kern w:val="2"/>
      <w:sz w:val="32"/>
      <w:szCs w:val="32"/>
      <w:lang w:val="en-US" w:eastAsia="zh-CN" w:bidi="ar-SA"/>
    </w:rPr>
  </w:style>
  <w:style w:type="character" w:customStyle="1" w:styleId="40">
    <w:name w:val="标题1 字符"/>
    <w:link w:val="39"/>
    <w:qFormat/>
    <w:uiPriority w:val="0"/>
    <w:rPr>
      <w:rFonts w:ascii="Times New Roman" w:hAnsi="Times New Roman" w:eastAsia="黑体"/>
      <w:kern w:val="2"/>
      <w:sz w:val="32"/>
      <w:szCs w:val="32"/>
    </w:rPr>
  </w:style>
  <w:style w:type="paragraph" w:customStyle="1" w:styleId="41">
    <w:name w:val="标题2"/>
    <w:next w:val="1"/>
    <w:link w:val="42"/>
    <w:qFormat/>
    <w:uiPriority w:val="0"/>
    <w:pPr>
      <w:numPr>
        <w:ilvl w:val="0"/>
        <w:numId w:val="2"/>
      </w:numPr>
      <w:spacing w:after="160" w:line="578" w:lineRule="exact"/>
      <w:ind w:firstLine="200" w:firstLineChars="200"/>
      <w:jc w:val="both"/>
      <w:outlineLvl w:val="1"/>
    </w:pPr>
    <w:rPr>
      <w:rFonts w:ascii="Times New Roman" w:hAnsi="Times New Roman" w:eastAsia="楷体" w:cs="Times New Roman"/>
      <w:kern w:val="2"/>
      <w:sz w:val="32"/>
      <w:szCs w:val="30"/>
      <w:lang w:val="en-US" w:eastAsia="zh-CN" w:bidi="ar-SA"/>
    </w:rPr>
  </w:style>
  <w:style w:type="character" w:customStyle="1" w:styleId="42">
    <w:name w:val="标题2 字符"/>
    <w:link w:val="41"/>
    <w:qFormat/>
    <w:uiPriority w:val="0"/>
    <w:rPr>
      <w:rFonts w:ascii="Times New Roman" w:hAnsi="Times New Roman" w:eastAsia="楷体"/>
      <w:kern w:val="2"/>
      <w:sz w:val="32"/>
      <w:szCs w:val="30"/>
    </w:rPr>
  </w:style>
  <w:style w:type="paragraph" w:customStyle="1" w:styleId="43">
    <w:name w:val="标题3"/>
    <w:next w:val="1"/>
    <w:link w:val="44"/>
    <w:qFormat/>
    <w:uiPriority w:val="0"/>
    <w:pPr>
      <w:numPr>
        <w:ilvl w:val="0"/>
        <w:numId w:val="3"/>
      </w:numPr>
      <w:spacing w:after="160" w:line="578" w:lineRule="exact"/>
      <w:jc w:val="both"/>
      <w:outlineLvl w:val="2"/>
    </w:pPr>
    <w:rPr>
      <w:rFonts w:ascii="Times New Roman" w:hAnsi="Times New Roman" w:eastAsia="楷体" w:cs="Times New Roman"/>
      <w:kern w:val="2"/>
      <w:sz w:val="32"/>
      <w:szCs w:val="28"/>
      <w:lang w:val="en-US" w:eastAsia="zh-CN" w:bidi="ar-SA"/>
    </w:rPr>
  </w:style>
  <w:style w:type="character" w:customStyle="1" w:styleId="44">
    <w:name w:val="标题3 字符"/>
    <w:link w:val="43"/>
    <w:qFormat/>
    <w:uiPriority w:val="0"/>
    <w:rPr>
      <w:rFonts w:ascii="Times New Roman" w:hAnsi="Times New Roman" w:eastAsia="楷体"/>
      <w:kern w:val="2"/>
      <w:sz w:val="32"/>
      <w:szCs w:val="28"/>
    </w:rPr>
  </w:style>
  <w:style w:type="paragraph" w:customStyle="1" w:styleId="45">
    <w:name w:val="标题4"/>
    <w:next w:val="1"/>
    <w:link w:val="46"/>
    <w:qFormat/>
    <w:uiPriority w:val="0"/>
    <w:pPr>
      <w:spacing w:after="160" w:line="360" w:lineRule="auto"/>
      <w:jc w:val="both"/>
      <w:outlineLvl w:val="3"/>
    </w:pPr>
    <w:rPr>
      <w:rFonts w:ascii="Times New Roman" w:hAnsi="Times New Roman" w:eastAsia="黑体" w:cs="Times New Roman"/>
      <w:kern w:val="2"/>
      <w:sz w:val="24"/>
      <w:szCs w:val="22"/>
      <w:lang w:val="en-US" w:eastAsia="zh-CN" w:bidi="ar-SA"/>
    </w:rPr>
  </w:style>
  <w:style w:type="character" w:customStyle="1" w:styleId="46">
    <w:name w:val="标题4 字符"/>
    <w:link w:val="45"/>
    <w:qFormat/>
    <w:uiPriority w:val="0"/>
    <w:rPr>
      <w:rFonts w:ascii="Times New Roman" w:hAnsi="Times New Roman" w:eastAsia="黑体"/>
      <w:kern w:val="2"/>
      <w:sz w:val="24"/>
      <w:szCs w:val="22"/>
    </w:rPr>
  </w:style>
  <w:style w:type="paragraph" w:customStyle="1" w:styleId="47">
    <w:name w:val="图名"/>
    <w:next w:val="1"/>
    <w:link w:val="48"/>
    <w:qFormat/>
    <w:uiPriority w:val="0"/>
    <w:pPr>
      <w:spacing w:after="160" w:line="278" w:lineRule="auto"/>
      <w:ind w:left="3536"/>
      <w:jc w:val="center"/>
    </w:pPr>
    <w:rPr>
      <w:rFonts w:ascii="Times New Roman" w:hAnsi="Times New Roman" w:eastAsia="黑体" w:cs="Times New Roman"/>
      <w:kern w:val="2"/>
      <w:sz w:val="24"/>
      <w:szCs w:val="21"/>
      <w:lang w:val="en-US" w:eastAsia="zh-CN" w:bidi="ar-SA"/>
    </w:rPr>
  </w:style>
  <w:style w:type="character" w:customStyle="1" w:styleId="48">
    <w:name w:val="图名 字符"/>
    <w:link w:val="47"/>
    <w:qFormat/>
    <w:uiPriority w:val="0"/>
    <w:rPr>
      <w:rFonts w:ascii="Times New Roman" w:hAnsi="Times New Roman" w:eastAsia="黑体"/>
      <w:kern w:val="2"/>
      <w:sz w:val="24"/>
      <w:szCs w:val="21"/>
    </w:rPr>
  </w:style>
  <w:style w:type="paragraph" w:customStyle="1" w:styleId="49">
    <w:name w:val="表名"/>
    <w:next w:val="1"/>
    <w:link w:val="50"/>
    <w:qFormat/>
    <w:uiPriority w:val="0"/>
    <w:pPr>
      <w:spacing w:after="160" w:line="278" w:lineRule="auto"/>
    </w:pPr>
    <w:rPr>
      <w:rFonts w:ascii="Times New Roman" w:hAnsi="Times New Roman" w:eastAsia="黑体" w:cs="Times New Roman"/>
      <w:kern w:val="2"/>
      <w:sz w:val="24"/>
      <w:szCs w:val="21"/>
      <w:lang w:val="en-US" w:eastAsia="zh-CN" w:bidi="ar-SA"/>
    </w:rPr>
  </w:style>
  <w:style w:type="character" w:customStyle="1" w:styleId="50">
    <w:name w:val="表名 字符"/>
    <w:link w:val="49"/>
    <w:qFormat/>
    <w:uiPriority w:val="0"/>
    <w:rPr>
      <w:rFonts w:ascii="Times New Roman" w:hAnsi="Times New Roman" w:eastAsia="黑体"/>
      <w:kern w:val="2"/>
      <w:sz w:val="24"/>
      <w:szCs w:val="21"/>
    </w:rPr>
  </w:style>
  <w:style w:type="paragraph" w:customStyle="1" w:styleId="51">
    <w:name w:val="表文字"/>
    <w:next w:val="47"/>
    <w:link w:val="52"/>
    <w:qFormat/>
    <w:uiPriority w:val="0"/>
    <w:pPr>
      <w:spacing w:after="160" w:line="278" w:lineRule="auto"/>
      <w:jc w:val="center"/>
    </w:pPr>
    <w:rPr>
      <w:rFonts w:ascii="Times New Roman" w:hAnsi="Times New Roman" w:eastAsia="宋体" w:cs="Times New Roman"/>
      <w:kern w:val="2"/>
      <w:sz w:val="21"/>
      <w:szCs w:val="21"/>
      <w:lang w:val="en-US" w:eastAsia="zh-CN" w:bidi="ar-SA"/>
    </w:rPr>
  </w:style>
  <w:style w:type="character" w:customStyle="1" w:styleId="52">
    <w:name w:val="表文字 字符"/>
    <w:link w:val="51"/>
    <w:qFormat/>
    <w:uiPriority w:val="0"/>
    <w:rPr>
      <w:rFonts w:ascii="Times New Roman" w:hAnsi="Times New Roman"/>
      <w:kern w:val="2"/>
      <w:sz w:val="21"/>
      <w:szCs w:val="21"/>
    </w:rPr>
  </w:style>
  <w:style w:type="table" w:customStyle="1" w:styleId="53">
    <w:name w:val="网格型1"/>
    <w:basedOn w:val="24"/>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页眉 字符"/>
    <w:link w:val="15"/>
    <w:qFormat/>
    <w:uiPriority w:val="99"/>
    <w:rPr>
      <w:kern w:val="2"/>
      <w:sz w:val="18"/>
      <w:szCs w:val="24"/>
    </w:rPr>
  </w:style>
  <w:style w:type="character" w:customStyle="1" w:styleId="55">
    <w:name w:val="页脚 字符"/>
    <w:link w:val="14"/>
    <w:qFormat/>
    <w:uiPriority w:val="99"/>
    <w:rPr>
      <w:rFonts w:ascii="宋体" w:hAnsi="宋体"/>
      <w:kern w:val="2"/>
      <w:sz w:val="28"/>
      <w:szCs w:val="28"/>
    </w:rPr>
  </w:style>
  <w:style w:type="paragraph" w:customStyle="1" w:styleId="56">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7">
    <w:name w:val="标题 2 字符"/>
    <w:basedOn w:val="26"/>
    <w:link w:val="3"/>
    <w:qFormat/>
    <w:uiPriority w:val="9"/>
    <w:rPr>
      <w:rFonts w:ascii="Arial" w:hAnsi="Arial" w:eastAsia="黑体"/>
      <w:b/>
      <w:kern w:val="2"/>
      <w:sz w:val="32"/>
      <w:szCs w:val="24"/>
    </w:rPr>
  </w:style>
  <w:style w:type="paragraph" w:customStyle="1" w:styleId="58">
    <w:name w:val="*BG6级（n）"/>
    <w:next w:val="1"/>
    <w:qFormat/>
    <w:uiPriority w:val="0"/>
    <w:pPr>
      <w:spacing w:after="160" w:line="360" w:lineRule="auto"/>
      <w:outlineLvl w:val="5"/>
    </w:pPr>
    <w:rPr>
      <w:rFonts w:ascii="Times New Roman" w:hAnsi="Times New Roman" w:eastAsia="宋体" w:cs="Times New Roman"/>
      <w:kern w:val="2"/>
      <w:sz w:val="24"/>
      <w:szCs w:val="22"/>
      <w:lang w:val="en-US" w:eastAsia="zh-CN" w:bidi="ar-SA"/>
    </w:rPr>
  </w:style>
  <w:style w:type="paragraph" w:customStyle="1" w:styleId="59">
    <w:name w:val="*BG7级n）"/>
    <w:next w:val="1"/>
    <w:qFormat/>
    <w:uiPriority w:val="0"/>
    <w:pPr>
      <w:spacing w:after="160" w:line="360" w:lineRule="auto"/>
      <w:outlineLvl w:val="6"/>
    </w:pPr>
    <w:rPr>
      <w:rFonts w:ascii="Times New Roman" w:hAnsi="Times New Roman" w:eastAsia="宋体" w:cs="Times New Roman"/>
      <w:kern w:val="2"/>
      <w:sz w:val="24"/>
      <w:szCs w:val="22"/>
      <w:lang w:val="en-US" w:eastAsia="zh-CN" w:bidi="ar-SA"/>
    </w:rPr>
  </w:style>
  <w:style w:type="paragraph" w:customStyle="1" w:styleId="60">
    <w:name w:val="*BG5级"/>
    <w:next w:val="1"/>
    <w:qFormat/>
    <w:uiPriority w:val="0"/>
    <w:pPr>
      <w:spacing w:after="160" w:line="360" w:lineRule="auto"/>
      <w:outlineLvl w:val="4"/>
    </w:pPr>
    <w:rPr>
      <w:rFonts w:ascii="Times New Roman" w:hAnsi="Times New Roman" w:eastAsia="黑体" w:cs="Times New Roman"/>
      <w:kern w:val="2"/>
      <w:sz w:val="24"/>
      <w:szCs w:val="22"/>
      <w:lang w:val="en-US" w:eastAsia="zh-CN" w:bidi="ar-SA"/>
    </w:rPr>
  </w:style>
  <w:style w:type="paragraph" w:styleId="61">
    <w:name w:val="List Paragraph"/>
    <w:basedOn w:val="1"/>
    <w:unhideWhenUsed/>
    <w:qFormat/>
    <w:uiPriority w:val="99"/>
    <w:pPr>
      <w:spacing w:line="578" w:lineRule="exact"/>
      <w:ind w:firstLine="420" w:firstLineChars="200"/>
    </w:pPr>
    <w:rPr>
      <w:rFonts w:ascii="Times New Roman" w:hAnsi="Times New Roman" w:eastAsia="仿宋_GB2312"/>
      <w:sz w:val="32"/>
      <w:szCs w:val="22"/>
    </w:rPr>
  </w:style>
  <w:style w:type="table" w:customStyle="1" w:styleId="62">
    <w:name w:val="网格型2"/>
    <w:basedOn w:val="24"/>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Table Normal"/>
    <w:basedOn w:val="24"/>
    <w:semiHidden/>
    <w:unhideWhenUsed/>
    <w:qFormat/>
    <w:uiPriority w:val="0"/>
    <w:rPr>
      <w:rFonts w:ascii="Arial" w:hAnsi="Arial" w:cs="Arial" w:eastAsiaTheme="minorEastAsia"/>
      <w:snapToGrid w:val="0"/>
      <w:color w:val="000000"/>
      <w:sz w:val="21"/>
      <w:szCs w:val="21"/>
      <w:lang w:eastAsia="en-US"/>
    </w:rPr>
    <w:tblPr>
      <w:tblCellMar>
        <w:left w:w="0" w:type="dxa"/>
        <w:right w:w="0" w:type="dxa"/>
      </w:tblCellMar>
    </w:tblPr>
  </w:style>
  <w:style w:type="paragraph" w:customStyle="1" w:styleId="64">
    <w:name w:val="msonormal"/>
    <w:basedOn w:val="1"/>
    <w:qFormat/>
    <w:uiPriority w:val="0"/>
    <w:pPr>
      <w:widowControl/>
      <w:spacing w:before="100" w:beforeAutospacing="1" w:after="100" w:afterAutospacing="1"/>
      <w:jc w:val="left"/>
    </w:pPr>
    <w:rPr>
      <w:rFonts w:ascii="宋体" w:hAnsi="宋体" w:eastAsia="仿宋_GB2312" w:cs="宋体"/>
      <w:kern w:val="0"/>
      <w:sz w:val="32"/>
    </w:rPr>
  </w:style>
  <w:style w:type="paragraph" w:customStyle="1" w:styleId="65">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6">
    <w:name w:val="font6"/>
    <w:basedOn w:val="1"/>
    <w:qFormat/>
    <w:uiPriority w:val="0"/>
    <w:pPr>
      <w:widowControl/>
      <w:spacing w:before="100" w:beforeAutospacing="1" w:after="100" w:afterAutospacing="1"/>
      <w:jc w:val="left"/>
    </w:pPr>
    <w:rPr>
      <w:rFonts w:ascii="宋体" w:hAnsi="宋体" w:eastAsia="仿宋_GB2312" w:cs="宋体"/>
      <w:b/>
      <w:bCs/>
      <w:kern w:val="0"/>
      <w:szCs w:val="21"/>
    </w:rPr>
  </w:style>
  <w:style w:type="paragraph" w:customStyle="1" w:styleId="67">
    <w:name w:val="font7"/>
    <w:basedOn w:val="1"/>
    <w:qFormat/>
    <w:uiPriority w:val="0"/>
    <w:pPr>
      <w:widowControl/>
      <w:spacing w:before="100" w:beforeAutospacing="1" w:after="100" w:afterAutospacing="1"/>
      <w:jc w:val="left"/>
    </w:pPr>
    <w:rPr>
      <w:rFonts w:ascii="Times New Roman" w:hAnsi="Times New Roman" w:eastAsia="仿宋_GB2312"/>
      <w:kern w:val="0"/>
      <w:szCs w:val="21"/>
    </w:rPr>
  </w:style>
  <w:style w:type="paragraph" w:customStyle="1" w:styleId="68">
    <w:name w:val="font8"/>
    <w:basedOn w:val="1"/>
    <w:qFormat/>
    <w:uiPriority w:val="0"/>
    <w:pPr>
      <w:widowControl/>
      <w:spacing w:before="100" w:beforeAutospacing="1" w:after="100" w:afterAutospacing="1"/>
      <w:jc w:val="left"/>
    </w:pPr>
    <w:rPr>
      <w:rFonts w:ascii="宋体" w:hAnsi="宋体" w:eastAsia="仿宋_GB2312" w:cs="宋体"/>
      <w:kern w:val="0"/>
      <w:szCs w:val="21"/>
    </w:rPr>
  </w:style>
  <w:style w:type="paragraph" w:customStyle="1" w:styleId="69">
    <w:name w:val="font9"/>
    <w:basedOn w:val="1"/>
    <w:qFormat/>
    <w:uiPriority w:val="0"/>
    <w:pPr>
      <w:widowControl/>
      <w:spacing w:before="100" w:beforeAutospacing="1" w:after="100" w:afterAutospacing="1"/>
      <w:jc w:val="left"/>
    </w:pPr>
    <w:rPr>
      <w:rFonts w:ascii="Times New Roman" w:hAnsi="Times New Roman" w:eastAsia="仿宋_GB2312"/>
      <w:kern w:val="0"/>
      <w:szCs w:val="21"/>
    </w:rPr>
  </w:style>
  <w:style w:type="paragraph" w:customStyle="1" w:styleId="70">
    <w:name w:val="xl65"/>
    <w:basedOn w:val="1"/>
    <w:qFormat/>
    <w:uiPriority w:val="0"/>
    <w:pPr>
      <w:widowControl/>
      <w:spacing w:before="100" w:beforeAutospacing="1" w:after="100" w:afterAutospacing="1"/>
      <w:jc w:val="center"/>
      <w:textAlignment w:val="center"/>
    </w:pPr>
    <w:rPr>
      <w:rFonts w:ascii="Times New Roman" w:hAnsi="Times New Roman" w:eastAsia="仿宋_GB2312"/>
      <w:kern w:val="0"/>
      <w:sz w:val="32"/>
    </w:rPr>
  </w:style>
  <w:style w:type="paragraph" w:customStyle="1" w:styleId="7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b/>
      <w:bCs/>
      <w:kern w:val="0"/>
      <w:szCs w:val="21"/>
    </w:rPr>
  </w:style>
  <w:style w:type="paragraph" w:customStyle="1" w:styleId="7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kern w:val="0"/>
      <w:szCs w:val="21"/>
    </w:rPr>
  </w:style>
  <w:style w:type="paragraph" w:customStyle="1" w:styleId="7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仿宋_GB2312"/>
      <w:kern w:val="0"/>
      <w:szCs w:val="21"/>
    </w:rPr>
  </w:style>
  <w:style w:type="paragraph" w:customStyle="1" w:styleId="7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kern w:val="0"/>
      <w:szCs w:val="21"/>
    </w:rPr>
  </w:style>
  <w:style w:type="paragraph" w:customStyle="1" w:styleId="7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kern w:val="0"/>
      <w:szCs w:val="21"/>
    </w:rPr>
  </w:style>
  <w:style w:type="character" w:customStyle="1" w:styleId="76">
    <w:name w:val="未处理的提及1"/>
    <w:basedOn w:val="26"/>
    <w:semiHidden/>
    <w:unhideWhenUsed/>
    <w:qFormat/>
    <w:uiPriority w:val="99"/>
    <w:rPr>
      <w:color w:val="605E5C"/>
      <w:shd w:val="clear" w:color="auto" w:fill="E1DFDD"/>
    </w:rPr>
  </w:style>
  <w:style w:type="paragraph" w:customStyle="1" w:styleId="77">
    <w:name w:val="font10"/>
    <w:basedOn w:val="1"/>
    <w:qFormat/>
    <w:uiPriority w:val="0"/>
    <w:pPr>
      <w:widowControl/>
      <w:spacing w:before="100" w:beforeAutospacing="1" w:after="100" w:afterAutospacing="1"/>
      <w:jc w:val="left"/>
    </w:pPr>
    <w:rPr>
      <w:rFonts w:ascii="等线" w:hAnsi="等线" w:eastAsia="等线" w:cs="宋体"/>
      <w:b/>
      <w:bCs/>
      <w:kern w:val="0"/>
      <w:sz w:val="22"/>
      <w:szCs w:val="22"/>
    </w:rPr>
  </w:style>
  <w:style w:type="paragraph" w:customStyle="1" w:styleId="7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20"/>
      <w:szCs w:val="20"/>
    </w:rPr>
  </w:style>
  <w:style w:type="paragraph" w:customStyle="1" w:styleId="79">
    <w:name w:val="xl72"/>
    <w:basedOn w:val="1"/>
    <w:qFormat/>
    <w:uiPriority w:val="0"/>
    <w:pPr>
      <w:widowControl/>
      <w:spacing w:before="100" w:beforeAutospacing="1" w:after="100" w:afterAutospacing="1"/>
      <w:jc w:val="left"/>
    </w:pPr>
    <w:rPr>
      <w:rFonts w:ascii="Times New Roman" w:hAnsi="Times New Roman" w:eastAsia="仿宋_GB2312"/>
      <w:kern w:val="0"/>
      <w:sz w:val="32"/>
    </w:rPr>
  </w:style>
  <w:style w:type="paragraph" w:customStyle="1" w:styleId="80">
    <w:name w:val="xl73"/>
    <w:basedOn w:val="1"/>
    <w:qFormat/>
    <w:uiPriority w:val="0"/>
    <w:pPr>
      <w:widowControl/>
      <w:spacing w:before="100" w:beforeAutospacing="1" w:after="100" w:afterAutospacing="1"/>
      <w:jc w:val="left"/>
    </w:pPr>
    <w:rPr>
      <w:rFonts w:ascii="Times New Roman" w:hAnsi="Times New Roman" w:eastAsia="仿宋_GB2312"/>
      <w:kern w:val="0"/>
      <w:sz w:val="28"/>
      <w:szCs w:val="28"/>
    </w:rPr>
  </w:style>
  <w:style w:type="paragraph" w:customStyle="1" w:styleId="81">
    <w:name w:val="xl74"/>
    <w:basedOn w:val="1"/>
    <w:qFormat/>
    <w:uiPriority w:val="0"/>
    <w:pPr>
      <w:widowControl/>
      <w:spacing w:before="100" w:beforeAutospacing="1" w:after="100" w:afterAutospacing="1"/>
      <w:jc w:val="left"/>
    </w:pPr>
    <w:rPr>
      <w:rFonts w:ascii="Times New Roman" w:hAnsi="Times New Roman" w:eastAsia="仿宋_GB2312"/>
      <w:b/>
      <w:bCs/>
      <w:kern w:val="0"/>
      <w:sz w:val="28"/>
      <w:szCs w:val="28"/>
    </w:rPr>
  </w:style>
  <w:style w:type="paragraph" w:customStyle="1" w:styleId="82">
    <w:name w:val="xl75"/>
    <w:basedOn w:val="1"/>
    <w:qFormat/>
    <w:uiPriority w:val="0"/>
    <w:pPr>
      <w:widowControl/>
      <w:spacing w:before="100" w:beforeAutospacing="1" w:after="100" w:afterAutospacing="1"/>
      <w:jc w:val="center"/>
    </w:pPr>
    <w:rPr>
      <w:rFonts w:ascii="Times New Roman" w:hAnsi="Times New Roman" w:eastAsia="仿宋_GB2312"/>
      <w:kern w:val="0"/>
      <w:sz w:val="32"/>
    </w:rPr>
  </w:style>
  <w:style w:type="paragraph" w:customStyle="1" w:styleId="83">
    <w:name w:val="xl76"/>
    <w:basedOn w:val="1"/>
    <w:qFormat/>
    <w:uiPriority w:val="0"/>
    <w:pPr>
      <w:widowControl/>
      <w:spacing w:before="100" w:beforeAutospacing="1" w:after="100" w:afterAutospacing="1"/>
      <w:jc w:val="left"/>
    </w:pPr>
    <w:rPr>
      <w:rFonts w:ascii="Times New Roman" w:hAnsi="Times New Roman" w:eastAsia="仿宋_GB2312"/>
      <w:kern w:val="0"/>
      <w:sz w:val="32"/>
    </w:rPr>
  </w:style>
  <w:style w:type="paragraph" w:customStyle="1" w:styleId="84">
    <w:name w:val="xl77"/>
    <w:basedOn w:val="1"/>
    <w:qFormat/>
    <w:uiPriority w:val="0"/>
    <w:pPr>
      <w:widowControl/>
      <w:spacing w:before="100" w:beforeAutospacing="1" w:after="100" w:afterAutospacing="1"/>
      <w:jc w:val="center"/>
    </w:pPr>
    <w:rPr>
      <w:rFonts w:ascii="Times New Roman" w:hAnsi="Times New Roman" w:eastAsia="仿宋_GB2312"/>
      <w:kern w:val="0"/>
      <w:sz w:val="28"/>
      <w:szCs w:val="28"/>
    </w:rPr>
  </w:style>
  <w:style w:type="paragraph" w:customStyle="1" w:styleId="85">
    <w:name w:val="xl78"/>
    <w:basedOn w:val="1"/>
    <w:qFormat/>
    <w:uiPriority w:val="0"/>
    <w:pPr>
      <w:widowControl/>
      <w:spacing w:before="100" w:beforeAutospacing="1" w:after="100" w:afterAutospacing="1"/>
      <w:jc w:val="center"/>
    </w:pPr>
    <w:rPr>
      <w:rFonts w:ascii="Times New Roman" w:hAnsi="Times New Roman" w:eastAsia="仿宋_GB2312"/>
      <w:kern w:val="0"/>
      <w:sz w:val="32"/>
    </w:rPr>
  </w:style>
  <w:style w:type="paragraph" w:customStyle="1" w:styleId="8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b/>
      <w:bCs/>
      <w:kern w:val="0"/>
      <w:sz w:val="20"/>
      <w:szCs w:val="20"/>
    </w:rPr>
  </w:style>
  <w:style w:type="paragraph" w:customStyle="1" w:styleId="8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b/>
      <w:bCs/>
      <w:kern w:val="0"/>
      <w:sz w:val="20"/>
      <w:szCs w:val="20"/>
    </w:rPr>
  </w:style>
  <w:style w:type="paragraph" w:customStyle="1" w:styleId="8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kern w:val="0"/>
      <w:sz w:val="20"/>
      <w:szCs w:val="20"/>
    </w:rPr>
  </w:style>
  <w:style w:type="paragraph" w:customStyle="1" w:styleId="8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20"/>
      <w:szCs w:val="20"/>
    </w:rPr>
  </w:style>
  <w:style w:type="paragraph" w:customStyle="1" w:styleId="9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20"/>
      <w:szCs w:val="20"/>
    </w:rPr>
  </w:style>
  <w:style w:type="paragraph" w:customStyle="1" w:styleId="9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b/>
      <w:bCs/>
      <w:kern w:val="0"/>
      <w:sz w:val="20"/>
      <w:szCs w:val="20"/>
    </w:rPr>
  </w:style>
  <w:style w:type="paragraph" w:customStyle="1" w:styleId="9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20"/>
      <w:szCs w:val="20"/>
    </w:rPr>
  </w:style>
  <w:style w:type="paragraph" w:customStyle="1" w:styleId="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kern w:val="0"/>
      <w:sz w:val="20"/>
      <w:szCs w:val="20"/>
    </w:rPr>
  </w:style>
  <w:style w:type="paragraph" w:customStyle="1" w:styleId="9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kern w:val="0"/>
      <w:sz w:val="20"/>
      <w:szCs w:val="20"/>
    </w:rPr>
  </w:style>
  <w:style w:type="paragraph" w:customStyle="1" w:styleId="9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kern w:val="0"/>
      <w:sz w:val="20"/>
      <w:szCs w:val="20"/>
    </w:rPr>
  </w:style>
  <w:style w:type="paragraph" w:customStyle="1" w:styleId="9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32"/>
    </w:rPr>
  </w:style>
  <w:style w:type="paragraph" w:customStyle="1" w:styleId="9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b/>
      <w:bCs/>
      <w:kern w:val="0"/>
      <w:sz w:val="32"/>
    </w:rPr>
  </w:style>
  <w:style w:type="paragraph" w:customStyle="1" w:styleId="9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仿宋_GB2312"/>
      <w:kern w:val="0"/>
      <w:sz w:val="32"/>
    </w:rPr>
  </w:style>
  <w:style w:type="paragraph" w:customStyle="1" w:styleId="9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28"/>
      <w:szCs w:val="28"/>
    </w:rPr>
  </w:style>
  <w:style w:type="paragraph" w:customStyle="1" w:styleId="10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仿宋_GB2312"/>
      <w:kern w:val="0"/>
      <w:sz w:val="32"/>
    </w:rPr>
  </w:style>
  <w:style w:type="paragraph" w:customStyle="1" w:styleId="10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0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0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0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
    <w:name w:val="xl10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12">
    <w:name w:val="xl10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13">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14">
    <w:name w:val="xl10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15">
    <w:name w:val="xl10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16">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117">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FF0000"/>
      <w:kern w:val="0"/>
      <w:sz w:val="20"/>
      <w:szCs w:val="20"/>
    </w:rPr>
  </w:style>
  <w:style w:type="paragraph" w:customStyle="1" w:styleId="118">
    <w:name w:val="xl1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color w:val="FF0000"/>
      <w:kern w:val="0"/>
      <w:sz w:val="20"/>
      <w:szCs w:val="20"/>
    </w:rPr>
  </w:style>
  <w:style w:type="paragraph" w:customStyle="1" w:styleId="119">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12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3">
    <w:name w:val="xl1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24">
    <w:name w:val="xl1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25">
    <w:name w:val="xl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26">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27">
    <w:name w:val="xl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28">
    <w:name w:val="xl1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29">
    <w:name w:val="xl12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30">
    <w:name w:val="xl123"/>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31">
    <w:name w:val="xl12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2">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3">
    <w:name w:val="xl1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134">
    <w:name w:val="xl12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color w:val="FF0000"/>
      <w:kern w:val="0"/>
      <w:sz w:val="20"/>
      <w:szCs w:val="20"/>
    </w:rPr>
  </w:style>
  <w:style w:type="paragraph" w:customStyle="1" w:styleId="135">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36">
    <w:name w:val="xl12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137">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8">
    <w:name w:val="xl1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39">
    <w:name w:val="xl13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41">
    <w:name w:val="xl134"/>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42">
    <w:name w:val="xl135"/>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143">
    <w:name w:val="xl1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4">
    <w:name w:val="xl13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145">
    <w:name w:val="xl1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color w:val="000000"/>
      <w:kern w:val="0"/>
      <w:sz w:val="20"/>
      <w:szCs w:val="20"/>
    </w:rPr>
  </w:style>
  <w:style w:type="paragraph" w:customStyle="1" w:styleId="146">
    <w:name w:val="xl13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7">
    <w:name w:val="xl1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8">
    <w:name w:val="xl14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9">
    <w:name w:val="xl14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0">
    <w:name w:val="xl143"/>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kern w:val="0"/>
      <w:sz w:val="20"/>
      <w:szCs w:val="20"/>
    </w:rPr>
  </w:style>
  <w:style w:type="paragraph" w:customStyle="1" w:styleId="151">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kern w:val="0"/>
      <w:sz w:val="20"/>
      <w:szCs w:val="20"/>
    </w:rPr>
  </w:style>
  <w:style w:type="paragraph" w:customStyle="1" w:styleId="152">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color w:val="000000"/>
      <w:kern w:val="0"/>
      <w:sz w:val="20"/>
      <w:szCs w:val="20"/>
    </w:rPr>
  </w:style>
  <w:style w:type="paragraph" w:customStyle="1" w:styleId="153">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kern w:val="0"/>
      <w:sz w:val="20"/>
      <w:szCs w:val="20"/>
    </w:rPr>
  </w:style>
  <w:style w:type="paragraph" w:customStyle="1" w:styleId="154">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color w:val="FF0000"/>
      <w:kern w:val="0"/>
      <w:sz w:val="20"/>
      <w:szCs w:val="20"/>
    </w:rPr>
  </w:style>
  <w:style w:type="paragraph" w:customStyle="1" w:styleId="155">
    <w:name w:val="xl148"/>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kern w:val="0"/>
      <w:sz w:val="18"/>
      <w:szCs w:val="18"/>
    </w:rPr>
  </w:style>
  <w:style w:type="paragraph" w:customStyle="1" w:styleId="156">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left"/>
    </w:pPr>
    <w:rPr>
      <w:rFonts w:ascii="宋体" w:hAnsi="宋体" w:cs="宋体"/>
      <w:kern w:val="0"/>
      <w:sz w:val="20"/>
      <w:szCs w:val="20"/>
    </w:rPr>
  </w:style>
  <w:style w:type="paragraph" w:customStyle="1" w:styleId="157">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color w:val="000000"/>
      <w:kern w:val="0"/>
      <w:sz w:val="20"/>
      <w:szCs w:val="20"/>
    </w:rPr>
  </w:style>
  <w:style w:type="paragraph" w:customStyle="1" w:styleId="158">
    <w:name w:val="xl151"/>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color w:val="000000"/>
      <w:kern w:val="0"/>
      <w:sz w:val="20"/>
      <w:szCs w:val="20"/>
    </w:rPr>
  </w:style>
  <w:style w:type="paragraph" w:customStyle="1" w:styleId="159">
    <w:name w:val="xl15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 w:val="18"/>
      <w:szCs w:val="18"/>
    </w:rPr>
  </w:style>
  <w:style w:type="paragraph" w:customStyle="1" w:styleId="160">
    <w:name w:val="xl1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161">
    <w:name w:val="xl154"/>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color w:val="FF0000"/>
      <w:kern w:val="0"/>
      <w:sz w:val="20"/>
      <w:szCs w:val="20"/>
    </w:rPr>
  </w:style>
  <w:style w:type="paragraph" w:customStyle="1" w:styleId="162">
    <w:name w:val="xl15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3">
    <w:name w:val="xl156"/>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20"/>
      <w:szCs w:val="20"/>
    </w:rPr>
  </w:style>
  <w:style w:type="paragraph" w:customStyle="1" w:styleId="164">
    <w:name w:val="xl157"/>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20"/>
      <w:szCs w:val="20"/>
    </w:rPr>
  </w:style>
  <w:style w:type="paragraph" w:customStyle="1" w:styleId="165">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left"/>
    </w:pPr>
    <w:rPr>
      <w:rFonts w:ascii="宋体" w:hAnsi="宋体" w:cs="宋体"/>
      <w:b/>
      <w:bCs/>
      <w:kern w:val="0"/>
      <w:sz w:val="20"/>
      <w:szCs w:val="20"/>
    </w:rPr>
  </w:style>
  <w:style w:type="paragraph" w:customStyle="1" w:styleId="166">
    <w:name w:val="xl159"/>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18"/>
      <w:szCs w:val="18"/>
    </w:rPr>
  </w:style>
  <w:style w:type="paragraph" w:customStyle="1" w:styleId="167">
    <w:name w:val="xl160"/>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18"/>
      <w:szCs w:val="18"/>
    </w:rPr>
  </w:style>
  <w:style w:type="paragraph" w:customStyle="1" w:styleId="168">
    <w:name w:val="xl161"/>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20"/>
      <w:szCs w:val="20"/>
    </w:rPr>
  </w:style>
  <w:style w:type="paragraph" w:customStyle="1" w:styleId="169">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jc w:val="center"/>
    </w:pPr>
    <w:rPr>
      <w:rFonts w:ascii="宋体" w:hAnsi="宋体" w:cs="宋体"/>
      <w:b/>
      <w:bCs/>
      <w:kern w:val="0"/>
      <w:sz w:val="20"/>
      <w:szCs w:val="20"/>
    </w:rPr>
  </w:style>
  <w:style w:type="paragraph" w:customStyle="1" w:styleId="170">
    <w:name w:val="xl1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1">
    <w:name w:val="xl16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2">
    <w:name w:val="xl16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3">
    <w:name w:val="xl1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4">
    <w:name w:val="xl16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5">
    <w:name w:val="xl1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6">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7">
    <w:name w:val="xl170"/>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40"/>
      <w:szCs w:val="40"/>
    </w:rPr>
  </w:style>
  <w:style w:type="paragraph" w:customStyle="1" w:styleId="178">
    <w:name w:val="修订11"/>
    <w:hidden/>
    <w:semiHidden/>
    <w:qFormat/>
    <w:uiPriority w:val="99"/>
    <w:pPr>
      <w:spacing w:after="160" w:line="278" w:lineRule="auto"/>
    </w:pPr>
    <w:rPr>
      <w:rFonts w:ascii="Times New Roman" w:hAnsi="Times New Roman" w:eastAsia="仿宋" w:cs="Times New Roman"/>
      <w:kern w:val="2"/>
      <w:sz w:val="32"/>
      <w:szCs w:val="22"/>
      <w:lang w:val="en-US" w:eastAsia="zh-CN" w:bidi="ar-SA"/>
    </w:rPr>
  </w:style>
  <w:style w:type="character" w:customStyle="1" w:styleId="179">
    <w:name w:val="未处理的提及2"/>
    <w:basedOn w:val="26"/>
    <w:semiHidden/>
    <w:unhideWhenUsed/>
    <w:qFormat/>
    <w:uiPriority w:val="99"/>
    <w:rPr>
      <w:color w:val="605E5C"/>
      <w:shd w:val="clear" w:color="auto" w:fill="E1DFDD"/>
    </w:rPr>
  </w:style>
  <w:style w:type="table" w:customStyle="1" w:styleId="180">
    <w:name w:val="网格型3"/>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网格型4"/>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网格型5"/>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
    <w:name w:val="网格型6"/>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
    <w:name w:val="网格型7"/>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5">
    <w:name w:val="修订2"/>
    <w:hidden/>
    <w:unhideWhenUsed/>
    <w:qFormat/>
    <w:uiPriority w:val="99"/>
    <w:pPr>
      <w:spacing w:after="160" w:line="278" w:lineRule="auto"/>
    </w:pPr>
    <w:rPr>
      <w:rFonts w:ascii="Times New Roman" w:hAnsi="Times New Roman" w:eastAsia="仿宋_GB2312" w:cs="Times New Roman"/>
      <w:kern w:val="2"/>
      <w:sz w:val="32"/>
      <w:szCs w:val="22"/>
      <w:lang w:val="en-US" w:eastAsia="zh-CN" w:bidi="ar-SA"/>
    </w:rPr>
  </w:style>
  <w:style w:type="table" w:customStyle="1" w:styleId="186">
    <w:name w:val="网格型8"/>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
    <w:name w:val="网格型9"/>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1541</Words>
  <Characters>1627</Characters>
  <Lines>194</Lines>
  <Paragraphs>54</Paragraphs>
  <TotalTime>27</TotalTime>
  <ScaleCrop>false</ScaleCrop>
  <LinksUpToDate>false</LinksUpToDate>
  <CharactersWithSpaces>1720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uos</cp:lastModifiedBy>
  <cp:lastPrinted>2026-07-13T16:29:56Z</cp:lastPrinted>
  <dcterms:modified xsi:type="dcterms:W3CDTF">2026-07-13T16:39:36Z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B961E347BF3A4F4AB1CC8BF82C47A844_13</vt:lpwstr>
  </property>
  <property fmtid="{D5CDD505-2E9C-101B-9397-08002B2CF9AE}" pid="4" name="KSOTemplateDocerSaveRecord">
    <vt:lpwstr>eyJoZGlkIjoiZmVlNzcwZWM1NDM2MWU3MjdlYzNjYzkxMjNkYjBjNDUiLCJ1c2VySWQiOiIzMDY4ODU3OTgifQ==</vt:lpwstr>
  </property>
</Properties>
</file>