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D492C">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baseline"/>
        <w:rPr>
          <w:rFonts w:hint="eastAsia" w:ascii="黑体" w:hAnsi="黑体" w:eastAsia="黑体" w:cs="黑体"/>
          <w:snapToGrid w:val="0"/>
          <w:color w:val="000000"/>
          <w:spacing w:val="-4"/>
          <w:kern w:val="0"/>
          <w:sz w:val="32"/>
          <w:szCs w:val="32"/>
          <w:lang w:eastAsia="zh-CN"/>
        </w:rPr>
      </w:pPr>
      <w:r>
        <w:rPr>
          <w:rFonts w:ascii="黑体" w:hAnsi="黑体" w:eastAsia="黑体" w:cs="黑体"/>
          <w:snapToGrid w:val="0"/>
          <w:color w:val="000000"/>
          <w:spacing w:val="-4"/>
          <w:kern w:val="0"/>
          <w:sz w:val="32"/>
          <w:szCs w:val="32"/>
          <w:lang w:eastAsia="zh-CN"/>
        </w:rPr>
        <w:t>附件</w:t>
      </w:r>
      <w:r>
        <w:rPr>
          <w:rFonts w:hint="eastAsia" w:ascii="黑体" w:hAnsi="黑体" w:eastAsia="黑体" w:cs="黑体"/>
          <w:snapToGrid w:val="0"/>
          <w:color w:val="000000"/>
          <w:spacing w:val="-4"/>
          <w:kern w:val="0"/>
          <w:sz w:val="32"/>
          <w:szCs w:val="32"/>
          <w:lang w:val="en-US" w:eastAsia="zh-CN"/>
        </w:rPr>
        <w:t>3</w:t>
      </w:r>
    </w:p>
    <w:p w14:paraId="0AA35F5A">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baseline"/>
        <w:rPr>
          <w:rFonts w:hint="eastAsia" w:ascii="黑体" w:hAnsi="黑体" w:eastAsia="黑体" w:cs="黑体"/>
          <w:snapToGrid w:val="0"/>
          <w:color w:val="000000"/>
          <w:spacing w:val="-4"/>
          <w:kern w:val="0"/>
          <w:sz w:val="32"/>
          <w:szCs w:val="32"/>
          <w:lang w:eastAsia="zh-CN"/>
        </w:rPr>
      </w:pPr>
    </w:p>
    <w:p w14:paraId="18B7080D">
      <w:pPr>
        <w:keepNext w:val="0"/>
        <w:keepLines w:val="0"/>
        <w:pageBreakBefore w:val="0"/>
        <w:widowControl w:val="0"/>
        <w:kinsoku/>
        <w:wordWrap/>
        <w:overflowPunct/>
        <w:topLinePunct w:val="0"/>
        <w:autoSpaceDE/>
        <w:autoSpaceDN/>
        <w:bidi w:val="0"/>
        <w:adjustRightInd/>
        <w:snapToGrid/>
        <w:spacing w:before="0" w:after="0"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bookmarkStart w:id="0" w:name="_GoBack"/>
      <w:r>
        <w:rPr>
          <w:rFonts w:hint="eastAsia" w:ascii="方正小标宋_GBK" w:hAnsi="方正小标宋_GBK" w:eastAsia="方正小标宋_GBK" w:cs="方正小标宋_GBK"/>
          <w:snapToGrid w:val="0"/>
          <w:color w:val="000000"/>
          <w:kern w:val="44"/>
          <w:sz w:val="44"/>
          <w:szCs w:val="21"/>
          <w:lang w:val="en-US" w:eastAsia="zh-CN" w:bidi="ar-SA"/>
        </w:rPr>
        <w:t>市政基础设施建设工程办理施工意见函</w:t>
      </w:r>
    </w:p>
    <w:p w14:paraId="3E1B51F7">
      <w:pPr>
        <w:keepNext w:val="0"/>
        <w:keepLines w:val="0"/>
        <w:pageBreakBefore w:val="0"/>
        <w:widowControl w:val="0"/>
        <w:kinsoku/>
        <w:wordWrap/>
        <w:overflowPunct/>
        <w:topLinePunct w:val="0"/>
        <w:autoSpaceDE/>
        <w:autoSpaceDN/>
        <w:bidi w:val="0"/>
        <w:adjustRightInd/>
        <w:snapToGrid/>
        <w:spacing w:before="0" w:after="0"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办事指南</w:t>
      </w:r>
    </w:p>
    <w:bookmarkEnd w:id="0"/>
    <w:p w14:paraId="34961EF2">
      <w:pPr>
        <w:keepNext w:val="0"/>
        <w:keepLines w:val="0"/>
        <w:pageBreakBefore w:val="0"/>
        <w:widowControl w:val="0"/>
        <w:kinsoku/>
        <w:wordWrap/>
        <w:overflowPunct/>
        <w:topLinePunct w:val="0"/>
        <w:autoSpaceDE/>
        <w:autoSpaceDN/>
        <w:bidi w:val="0"/>
        <w:adjustRightInd/>
        <w:snapToGrid/>
        <w:spacing w:before="0" w:after="0" w:line="578" w:lineRule="exact"/>
        <w:ind w:firstLine="0" w:firstLineChars="0"/>
        <w:jc w:val="both"/>
        <w:textAlignment w:val="baseline"/>
        <w:outlineLvl w:val="0"/>
        <w:rPr>
          <w:rFonts w:hint="eastAsia" w:ascii="Arial" w:hAnsi="Arial" w:eastAsia="仿宋_GB2312" w:cs="Arial"/>
          <w:b/>
          <w:snapToGrid w:val="0"/>
          <w:color w:val="000000"/>
          <w:sz w:val="32"/>
          <w:szCs w:val="21"/>
          <w:lang w:val="en-US" w:eastAsia="zh-CN" w:bidi="ar-SA"/>
        </w:rPr>
      </w:pPr>
    </w:p>
    <w:p w14:paraId="16AE4E68">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r>
        <w:rPr>
          <w:rFonts w:ascii="Arial" w:hAnsi="Arial" w:eastAsia="黑体" w:cs="Arial"/>
          <w:snapToGrid w:val="0"/>
          <w:color w:val="000000"/>
          <w:sz w:val="32"/>
          <w:szCs w:val="21"/>
          <w:lang w:val="en-US" w:eastAsia="zh-CN" w:bidi="ar-SA"/>
        </w:rPr>
        <w:t>一、办理对象</w:t>
      </w:r>
    </w:p>
    <w:p w14:paraId="433A7CBC">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left"/>
        <w:textAlignment w:val="baseline"/>
        <w:rPr>
          <w:rFonts w:ascii="Times New Roman" w:hAnsi="Times New Roman" w:eastAsia="仿宋_GB2312" w:cs="Arial"/>
          <w:snapToGrid w:val="0"/>
          <w:color w:val="000000"/>
          <w:sz w:val="32"/>
          <w:szCs w:val="21"/>
          <w:lang w:val="en-US" w:eastAsia="zh-CN" w:bidi="ar-SA"/>
        </w:rPr>
      </w:pPr>
      <w:r>
        <w:rPr>
          <w:rFonts w:hint="eastAsia" w:ascii="Times New Roman" w:hAnsi="Times New Roman" w:eastAsia="仿宋_GB2312" w:cs="Arial"/>
          <w:snapToGrid w:val="0"/>
          <w:color w:val="000000"/>
          <w:sz w:val="32"/>
          <w:szCs w:val="21"/>
          <w:lang w:val="en-US" w:eastAsia="zh-CN" w:bidi="ar-SA"/>
        </w:rPr>
        <w:t>对于</w:t>
      </w:r>
      <w:r>
        <w:rPr>
          <w:rFonts w:ascii="Times New Roman" w:hAnsi="Times New Roman" w:eastAsia="仿宋_GB2312" w:cs="Arial"/>
          <w:snapToGrid w:val="0"/>
          <w:color w:val="000000"/>
          <w:sz w:val="32"/>
          <w:szCs w:val="21"/>
          <w:lang w:val="en-US" w:eastAsia="zh-CN" w:bidi="ar-SA"/>
        </w:rPr>
        <w:t>三亚崖州湾科技城管理局</w:t>
      </w:r>
      <w:r>
        <w:rPr>
          <w:rFonts w:hint="eastAsia" w:ascii="仿宋_GB2312" w:hAnsi="仿宋_GB2312" w:eastAsia="仿宋_GB2312" w:cs="仿宋_GB2312"/>
          <w:snapToGrid w:val="0"/>
          <w:color w:val="000000"/>
          <w:sz w:val="32"/>
          <w:szCs w:val="21"/>
          <w:lang w:val="en-US" w:eastAsia="zh-CN" w:bidi="ar-SA"/>
        </w:rPr>
        <w:t>在受委托范围内以委托机关名义作出</w:t>
      </w:r>
      <w:r>
        <w:rPr>
          <w:rFonts w:hint="eastAsia" w:ascii="Times New Roman" w:hAnsi="Times New Roman" w:eastAsia="仿宋_GB2312" w:cs="Arial"/>
          <w:snapToGrid w:val="0"/>
          <w:color w:val="000000"/>
          <w:sz w:val="32"/>
          <w:szCs w:val="21"/>
          <w:lang w:val="en-US" w:eastAsia="zh-CN" w:bidi="ar-SA"/>
        </w:rPr>
        <w:t>的</w:t>
      </w:r>
      <w:r>
        <w:rPr>
          <w:rFonts w:ascii="Times New Roman" w:hAnsi="Times New Roman" w:eastAsia="仿宋_GB2312" w:cs="Arial"/>
          <w:snapToGrid w:val="0"/>
          <w:color w:val="000000"/>
          <w:sz w:val="32"/>
          <w:szCs w:val="21"/>
          <w:lang w:val="en-US" w:eastAsia="zh-CN" w:bidi="ar-SA"/>
        </w:rPr>
        <w:t>行政审批适用范围内的</w:t>
      </w:r>
      <w:r>
        <w:rPr>
          <w:rFonts w:hint="eastAsia" w:ascii="Times New Roman" w:hAnsi="Times New Roman" w:eastAsia="仿宋_GB2312" w:cs="Arial"/>
          <w:snapToGrid w:val="0"/>
          <w:color w:val="000000"/>
          <w:sz w:val="32"/>
          <w:szCs w:val="21"/>
          <w:lang w:val="en-US" w:eastAsia="zh-CN" w:bidi="ar-SA"/>
        </w:rPr>
        <w:t>应当依法办理施工许可的城市道路、桥隧、管廊、排水、供水等市政基础设施建设工程</w:t>
      </w:r>
      <w:r>
        <w:rPr>
          <w:rFonts w:hint="eastAsia" w:ascii="Times New Roman" w:hAnsi="Times New Roman" w:eastAsia="仿宋_GB2312" w:cs="Arial"/>
          <w:b w:val="0"/>
          <w:bCs w:val="0"/>
          <w:snapToGrid w:val="0"/>
          <w:color w:val="000000"/>
          <w:sz w:val="32"/>
          <w:szCs w:val="21"/>
          <w:lang w:val="en-US" w:eastAsia="zh-CN" w:bidi="ar-SA"/>
        </w:rPr>
        <w:t>（涉及公共安全、生态安全、危险化学品、输油、供气、文物等特殊工程除外）</w:t>
      </w:r>
      <w:r>
        <w:rPr>
          <w:rFonts w:hint="eastAsia" w:ascii="Times New Roman" w:hAnsi="Times New Roman" w:eastAsia="仿宋_GB2312" w:cs="Arial"/>
          <w:snapToGrid w:val="0"/>
          <w:color w:val="000000"/>
          <w:sz w:val="32"/>
          <w:szCs w:val="21"/>
          <w:lang w:val="en-US" w:eastAsia="zh-CN" w:bidi="ar-SA"/>
        </w:rPr>
        <w:t>，可申请办理施工意见函。</w:t>
      </w:r>
    </w:p>
    <w:p w14:paraId="43B8F42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黑体" w:hAnsi="黑体" w:eastAsia="黑体" w:cs="黑体"/>
          <w:snapToGrid w:val="0"/>
          <w:color w:val="000000"/>
          <w:kern w:val="0"/>
          <w:sz w:val="32"/>
          <w:szCs w:val="21"/>
          <w:lang w:eastAsia="zh-CN"/>
        </w:rPr>
      </w:pPr>
      <w:r>
        <w:rPr>
          <w:rFonts w:hint="eastAsia" w:ascii="黑体" w:hAnsi="黑体" w:eastAsia="黑体" w:cs="黑体"/>
          <w:snapToGrid w:val="0"/>
          <w:color w:val="000000"/>
          <w:kern w:val="0"/>
          <w:sz w:val="32"/>
          <w:szCs w:val="21"/>
          <w:lang w:eastAsia="zh-CN"/>
        </w:rPr>
        <w:t>二、办理条件</w:t>
      </w:r>
    </w:p>
    <w:p w14:paraId="028066B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（1）依法应当办理用地批准手续的，已经办理该</w:t>
      </w:r>
      <w:r>
        <w:rPr>
          <w:rFonts w:hint="eastAsia" w:ascii="Times New Roman" w:hAnsi="Times New Roman" w:eastAsia="仿宋_GB2312" w:cs="Arial"/>
          <w:snapToGrid w:val="0"/>
          <w:color w:val="000000"/>
          <w:kern w:val="0"/>
          <w:sz w:val="32"/>
          <w:szCs w:val="21"/>
          <w:lang w:eastAsia="zh-CN"/>
        </w:rPr>
        <w:t>建设</w:t>
      </w:r>
      <w:r>
        <w:rPr>
          <w:rFonts w:ascii="Times New Roman" w:hAnsi="Times New Roman" w:eastAsia="仿宋_GB2312" w:cs="Arial"/>
          <w:snapToGrid w:val="0"/>
          <w:color w:val="000000"/>
          <w:kern w:val="0"/>
          <w:sz w:val="32"/>
          <w:szCs w:val="21"/>
          <w:lang w:eastAsia="zh-CN"/>
        </w:rPr>
        <w:t>工程用地批准手续。</w:t>
      </w:r>
    </w:p>
    <w:p w14:paraId="59A8FA0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（2）</w:t>
      </w:r>
      <w:r>
        <w:rPr>
          <w:rFonts w:hint="eastAsia" w:ascii="Times New Roman" w:hAnsi="Times New Roman" w:eastAsia="仿宋_GB2312" w:cs="Arial"/>
          <w:snapToGrid w:val="0"/>
          <w:color w:val="000000"/>
          <w:kern w:val="0"/>
          <w:sz w:val="32"/>
          <w:szCs w:val="21"/>
          <w:lang w:val="en-US" w:eastAsia="zh-CN"/>
        </w:rPr>
        <w:t>施工</w:t>
      </w:r>
      <w:r>
        <w:rPr>
          <w:rFonts w:hint="eastAsia" w:ascii="Times New Roman" w:hAnsi="Times New Roman" w:eastAsia="仿宋_GB2312" w:cs="Arial"/>
          <w:snapToGrid w:val="0"/>
          <w:color w:val="000000"/>
          <w:kern w:val="0"/>
          <w:sz w:val="32"/>
          <w:szCs w:val="21"/>
          <w:lang w:eastAsia="zh-CN"/>
        </w:rPr>
        <w:t>现场已具备交通、水电等施工条件，能够满足施工企业进场的需求，具备开工条件，需要征收房屋的，其进度符合施工要求。</w:t>
      </w:r>
    </w:p>
    <w:p w14:paraId="13986AB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3）</w:t>
      </w:r>
      <w:r>
        <w:rPr>
          <w:rFonts w:ascii="Times New Roman" w:hAnsi="Times New Roman" w:eastAsia="仿宋_GB2312" w:cs="Arial"/>
          <w:snapToGrid w:val="0"/>
          <w:color w:val="000000"/>
          <w:kern w:val="0"/>
          <w:sz w:val="32"/>
          <w:szCs w:val="21"/>
          <w:lang w:eastAsia="zh-CN"/>
        </w:rPr>
        <w:t>已取得</w:t>
      </w:r>
      <w:r>
        <w:rPr>
          <w:rFonts w:hint="eastAsia" w:ascii="Times New Roman" w:hAnsi="Times New Roman" w:eastAsia="仿宋_GB2312" w:cs="Arial"/>
          <w:snapToGrid w:val="0"/>
          <w:color w:val="000000"/>
          <w:kern w:val="0"/>
          <w:sz w:val="32"/>
          <w:szCs w:val="21"/>
          <w:lang w:val="en-US" w:eastAsia="zh-CN"/>
        </w:rPr>
        <w:t>规划部门出具的同意意见</w:t>
      </w:r>
      <w:r>
        <w:rPr>
          <w:rFonts w:hint="eastAsia" w:ascii="Times New Roman" w:hAnsi="Times New Roman" w:eastAsia="仿宋_GB2312" w:cs="Arial"/>
          <w:snapToGrid w:val="0"/>
          <w:color w:val="000000"/>
          <w:kern w:val="0"/>
          <w:sz w:val="32"/>
          <w:szCs w:val="21"/>
          <w:lang w:eastAsia="zh-CN"/>
        </w:rPr>
        <w:t>。</w:t>
      </w:r>
    </w:p>
    <w:p w14:paraId="47545B8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4）</w:t>
      </w:r>
      <w:r>
        <w:rPr>
          <w:rFonts w:ascii="Times New Roman" w:hAnsi="Times New Roman" w:eastAsia="仿宋_GB2312" w:cs="Arial"/>
          <w:snapToGrid w:val="0"/>
          <w:color w:val="000000"/>
          <w:kern w:val="0"/>
          <w:sz w:val="32"/>
          <w:szCs w:val="21"/>
          <w:lang w:eastAsia="zh-CN"/>
        </w:rPr>
        <w:t>已经确定施工</w:t>
      </w:r>
      <w:r>
        <w:rPr>
          <w:rFonts w:hint="eastAsia" w:ascii="Times New Roman" w:hAnsi="Times New Roman" w:eastAsia="仿宋_GB2312" w:cs="Arial"/>
          <w:snapToGrid w:val="0"/>
          <w:color w:val="000000"/>
          <w:kern w:val="0"/>
          <w:sz w:val="32"/>
          <w:szCs w:val="21"/>
          <w:lang w:eastAsia="zh-CN"/>
        </w:rPr>
        <w:t>总承包单位，</w:t>
      </w:r>
      <w:r>
        <w:rPr>
          <w:rFonts w:hint="eastAsia" w:ascii="Times New Roman" w:hAnsi="Times New Roman" w:eastAsia="仿宋_GB2312" w:cs="Arial"/>
          <w:snapToGrid w:val="0"/>
          <w:color w:val="000000"/>
          <w:kern w:val="0"/>
          <w:sz w:val="32"/>
          <w:szCs w:val="21"/>
          <w:lang w:val="en-US" w:eastAsia="zh-CN"/>
        </w:rPr>
        <w:t>并签订合同。</w:t>
      </w:r>
    </w:p>
    <w:p w14:paraId="2BF771C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（5）有保证工程质量和安全的具体措施。</w:t>
      </w:r>
    </w:p>
    <w:p w14:paraId="64A2A2D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（6）</w:t>
      </w:r>
      <w:r>
        <w:rPr>
          <w:rFonts w:ascii="Times New Roman" w:hAnsi="Times New Roman" w:eastAsia="仿宋_GB2312" w:cs="Arial"/>
          <w:snapToGrid w:val="0"/>
          <w:color w:val="000000"/>
          <w:kern w:val="0"/>
          <w:sz w:val="32"/>
          <w:szCs w:val="21"/>
          <w:lang w:eastAsia="zh-CN"/>
        </w:rPr>
        <w:t>建设资金</w:t>
      </w:r>
      <w:r>
        <w:rPr>
          <w:rFonts w:hint="eastAsia" w:ascii="Times New Roman" w:hAnsi="Times New Roman" w:eastAsia="仿宋_GB2312" w:cs="Arial"/>
          <w:snapToGrid w:val="0"/>
          <w:color w:val="000000"/>
          <w:kern w:val="0"/>
          <w:sz w:val="32"/>
          <w:szCs w:val="21"/>
          <w:lang w:val="en-US" w:eastAsia="zh-CN"/>
        </w:rPr>
        <w:t>已落实</w:t>
      </w:r>
      <w:r>
        <w:rPr>
          <w:rFonts w:ascii="Times New Roman" w:hAnsi="Times New Roman" w:eastAsia="仿宋_GB2312" w:cs="Arial"/>
          <w:snapToGrid w:val="0"/>
          <w:color w:val="000000"/>
          <w:kern w:val="0"/>
          <w:sz w:val="32"/>
          <w:szCs w:val="21"/>
          <w:lang w:eastAsia="zh-CN"/>
        </w:rPr>
        <w:t>。</w:t>
      </w:r>
    </w:p>
    <w:p w14:paraId="0F76419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7</w:t>
      </w:r>
      <w:r>
        <w:rPr>
          <w:rFonts w:ascii="Times New Roman" w:hAnsi="Times New Roman" w:eastAsia="仿宋_GB2312" w:cs="Arial"/>
          <w:snapToGrid w:val="0"/>
          <w:color w:val="000000"/>
          <w:kern w:val="0"/>
          <w:sz w:val="32"/>
          <w:szCs w:val="21"/>
          <w:lang w:eastAsia="zh-CN"/>
        </w:rPr>
        <w:t>）法律、行政法规规定的其他条件。</w:t>
      </w:r>
    </w:p>
    <w:p w14:paraId="2E8F3CB0">
      <w:pPr>
        <w:keepNext w:val="0"/>
        <w:keepLines w:val="0"/>
        <w:pageBreakBefore w:val="0"/>
        <w:widowControl w:val="0"/>
        <w:kinsoku/>
        <w:wordWrap/>
        <w:overflowPunct/>
        <w:topLinePunct w:val="0"/>
        <w:autoSpaceDE/>
        <w:autoSpaceDN/>
        <w:bidi w:val="0"/>
        <w:adjustRightInd/>
        <w:snapToGrid/>
        <w:spacing w:before="0" w:after="0"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r>
        <w:rPr>
          <w:rFonts w:hint="eastAsia" w:ascii="Arial" w:hAnsi="Arial" w:eastAsia="黑体" w:cs="Arial"/>
          <w:snapToGrid w:val="0"/>
          <w:color w:val="000000"/>
          <w:sz w:val="32"/>
          <w:szCs w:val="21"/>
          <w:lang w:val="en-US" w:eastAsia="zh-CN" w:bidi="ar-SA"/>
        </w:rPr>
        <w:t>三、申请材料</w:t>
      </w:r>
    </w:p>
    <w:tbl>
      <w:tblPr>
        <w:tblStyle w:val="96"/>
        <w:tblW w:w="88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2477"/>
        <w:gridCol w:w="1137"/>
        <w:gridCol w:w="1675"/>
        <w:gridCol w:w="2643"/>
      </w:tblGrid>
      <w:tr w14:paraId="66B98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jc w:val="center"/>
        </w:trPr>
        <w:tc>
          <w:tcPr>
            <w:tcW w:w="934" w:type="dxa"/>
            <w:vAlign w:val="center"/>
          </w:tcPr>
          <w:p w14:paraId="5E23EC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序号</w:t>
            </w:r>
          </w:p>
        </w:tc>
        <w:tc>
          <w:tcPr>
            <w:tcW w:w="2477" w:type="dxa"/>
            <w:vAlign w:val="center"/>
          </w:tcPr>
          <w:p w14:paraId="4C5E15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材料名称</w:t>
            </w:r>
          </w:p>
        </w:tc>
        <w:tc>
          <w:tcPr>
            <w:tcW w:w="1137" w:type="dxa"/>
            <w:vAlign w:val="center"/>
          </w:tcPr>
          <w:p w14:paraId="132D2F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份数</w:t>
            </w:r>
          </w:p>
        </w:tc>
        <w:tc>
          <w:tcPr>
            <w:tcW w:w="1675" w:type="dxa"/>
            <w:vAlign w:val="center"/>
          </w:tcPr>
          <w:p w14:paraId="4AEA8E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材料形式</w:t>
            </w:r>
          </w:p>
        </w:tc>
        <w:tc>
          <w:tcPr>
            <w:tcW w:w="2643" w:type="dxa"/>
            <w:vAlign w:val="center"/>
          </w:tcPr>
          <w:p w14:paraId="056396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备注</w:t>
            </w:r>
          </w:p>
        </w:tc>
      </w:tr>
      <w:tr w14:paraId="44CD4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934" w:type="dxa"/>
            <w:vAlign w:val="center"/>
          </w:tcPr>
          <w:p w14:paraId="327EDD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2477" w:type="dxa"/>
            <w:vAlign w:val="center"/>
          </w:tcPr>
          <w:p w14:paraId="2355A5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施工许可申请说明</w:t>
            </w:r>
          </w:p>
        </w:tc>
        <w:tc>
          <w:tcPr>
            <w:tcW w:w="1137" w:type="dxa"/>
            <w:vAlign w:val="center"/>
          </w:tcPr>
          <w:p w14:paraId="08EA37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424A10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2643" w:type="dxa"/>
          </w:tcPr>
          <w:p w14:paraId="3BCD0A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p>
        </w:tc>
      </w:tr>
      <w:tr w14:paraId="7B7CA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9" w:hRule="atLeast"/>
          <w:jc w:val="center"/>
        </w:trPr>
        <w:tc>
          <w:tcPr>
            <w:tcW w:w="934" w:type="dxa"/>
            <w:vAlign w:val="center"/>
          </w:tcPr>
          <w:p w14:paraId="6788C5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w:t>
            </w:r>
          </w:p>
        </w:tc>
        <w:tc>
          <w:tcPr>
            <w:tcW w:w="2477" w:type="dxa"/>
            <w:vAlign w:val="center"/>
          </w:tcPr>
          <w:p w14:paraId="5C8B11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用地手续</w:t>
            </w:r>
          </w:p>
        </w:tc>
        <w:tc>
          <w:tcPr>
            <w:tcW w:w="1137" w:type="dxa"/>
            <w:vAlign w:val="center"/>
          </w:tcPr>
          <w:p w14:paraId="693AB1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2D4263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1C975D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565C00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vAlign w:val="center"/>
          </w:tcPr>
          <w:p w14:paraId="1CA0E2BD">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1.政府投资项目，任选下列材料之一：（1）划拨决定书；</w:t>
            </w:r>
          </w:p>
          <w:p w14:paraId="50FD9C60">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（2）不动产权证；</w:t>
            </w:r>
          </w:p>
          <w:p w14:paraId="1A026805">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（3）建设用地规划许可证（2019年4月1日后核发的）；</w:t>
            </w:r>
          </w:p>
          <w:p w14:paraId="1D2E4D0B">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both"/>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（4）项目农转用文件。</w:t>
            </w:r>
          </w:p>
          <w:p w14:paraId="17E4A45A">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2.社会投资项目，任选下列材料之一：</w:t>
            </w:r>
          </w:p>
          <w:p w14:paraId="195C9951">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（1）国有建设用地使用权出让合同或土地成交确认书；</w:t>
            </w:r>
          </w:p>
          <w:p w14:paraId="4FCAE4AF">
            <w:pPr>
              <w:keepNext w:val="0"/>
              <w:keepLines w:val="0"/>
              <w:pageBreakBefore w:val="0"/>
              <w:widowControl w:val="0"/>
              <w:kinsoku/>
              <w:wordWrap/>
              <w:overflowPunct/>
              <w:topLinePunct w:val="0"/>
              <w:autoSpaceDE/>
              <w:autoSpaceDN/>
              <w:bidi w:val="0"/>
              <w:adjustRightInd w:val="0"/>
              <w:snapToGrid w:val="0"/>
              <w:spacing w:line="231"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（2）政府部门关于用地置换批复；</w:t>
            </w:r>
          </w:p>
          <w:p w14:paraId="3E7AD9D7">
            <w:pPr>
              <w:keepNext w:val="0"/>
              <w:keepLines w:val="0"/>
              <w:pageBreakBefore w:val="0"/>
              <w:widowControl w:val="0"/>
              <w:kinsoku/>
              <w:wordWrap/>
              <w:overflowPunct/>
              <w:topLinePunct w:val="0"/>
              <w:autoSpaceDE/>
              <w:autoSpaceDN/>
              <w:bidi w:val="0"/>
              <w:adjustRightInd w:val="0"/>
              <w:snapToGrid w:val="0"/>
              <w:spacing w:line="231" w:lineRule="auto"/>
              <w:ind w:hanging="4"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（3）不动产权证。</w:t>
            </w:r>
          </w:p>
        </w:tc>
      </w:tr>
      <w:tr w14:paraId="73D93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jc w:val="center"/>
        </w:trPr>
        <w:tc>
          <w:tcPr>
            <w:tcW w:w="934" w:type="dxa"/>
            <w:vAlign w:val="center"/>
          </w:tcPr>
          <w:p w14:paraId="33FDC80A">
            <w:pPr>
              <w:keepNext w:val="0"/>
              <w:keepLines w:val="0"/>
              <w:pageBreakBefore w:val="0"/>
              <w:widowControl w:val="0"/>
              <w:kinsoku/>
              <w:wordWrap/>
              <w:overflowPunct/>
              <w:topLinePunct w:val="0"/>
              <w:autoSpaceDE/>
              <w:autoSpaceDN/>
              <w:bidi w:val="0"/>
              <w:adjustRightInd w:val="0"/>
              <w:snapToGrid w:val="0"/>
              <w:spacing w:before="91" w:line="181" w:lineRule="auto"/>
              <w:ind w:left="402"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w:t>
            </w:r>
          </w:p>
        </w:tc>
        <w:tc>
          <w:tcPr>
            <w:tcW w:w="2477" w:type="dxa"/>
            <w:vAlign w:val="center"/>
          </w:tcPr>
          <w:p w14:paraId="0418C019">
            <w:pPr>
              <w:keepNext w:val="0"/>
              <w:keepLines w:val="0"/>
              <w:pageBreakBefore w:val="0"/>
              <w:widowControl w:val="0"/>
              <w:kinsoku/>
              <w:wordWrap/>
              <w:overflowPunct/>
              <w:topLinePunct w:val="0"/>
              <w:autoSpaceDE/>
              <w:autoSpaceDN/>
              <w:bidi w:val="0"/>
              <w:adjustRightInd w:val="0"/>
              <w:snapToGrid w:val="0"/>
              <w:spacing w:before="48" w:line="222" w:lineRule="auto"/>
              <w:ind w:left="1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2"/>
                <w:sz w:val="28"/>
                <w:szCs w:val="28"/>
                <w:lang w:val="en-US" w:eastAsia="zh-CN" w:bidi="ar-SA"/>
              </w:rPr>
              <w:t>施工总</w:t>
            </w:r>
            <w:r>
              <w:rPr>
                <w:rFonts w:hint="eastAsia" w:ascii="Times New Roman" w:hAnsi="Times New Roman" w:eastAsia="仿宋_GB2312" w:cs="仿宋"/>
                <w:snapToGrid w:val="0"/>
                <w:color w:val="000000"/>
                <w:spacing w:val="-2"/>
                <w:sz w:val="28"/>
                <w:szCs w:val="28"/>
                <w:lang w:val="en-US" w:eastAsia="zh-CN" w:bidi="ar-SA"/>
              </w:rPr>
              <w:t>承</w:t>
            </w:r>
            <w:r>
              <w:rPr>
                <w:rFonts w:ascii="Times New Roman" w:hAnsi="Times New Roman" w:eastAsia="仿宋_GB2312" w:cs="仿宋"/>
                <w:snapToGrid w:val="0"/>
                <w:color w:val="000000"/>
                <w:spacing w:val="-2"/>
                <w:sz w:val="28"/>
                <w:szCs w:val="28"/>
                <w:lang w:val="en-US" w:eastAsia="zh-CN" w:bidi="ar-SA"/>
              </w:rPr>
              <w:t>包单位中标</w:t>
            </w:r>
            <w:r>
              <w:rPr>
                <w:rFonts w:ascii="Times New Roman" w:hAnsi="Times New Roman" w:eastAsia="仿宋_GB2312" w:cs="仿宋"/>
                <w:snapToGrid w:val="0"/>
                <w:color w:val="000000"/>
                <w:spacing w:val="-3"/>
                <w:sz w:val="28"/>
                <w:szCs w:val="28"/>
                <w:lang w:val="en-US" w:eastAsia="zh-CN" w:bidi="ar-SA"/>
              </w:rPr>
              <w:t>通知书（直接发包</w:t>
            </w:r>
            <w:r>
              <w:rPr>
                <w:rFonts w:ascii="Times New Roman" w:hAnsi="Times New Roman" w:eastAsia="仿宋_GB2312" w:cs="仿宋"/>
                <w:snapToGrid w:val="0"/>
                <w:color w:val="000000"/>
                <w:spacing w:val="-5"/>
                <w:sz w:val="28"/>
                <w:szCs w:val="28"/>
                <w:lang w:val="en-US" w:eastAsia="zh-CN" w:bidi="ar-SA"/>
              </w:rPr>
              <w:t>的工程无需提供）</w:t>
            </w:r>
            <w:r>
              <w:rPr>
                <w:rFonts w:ascii="Times New Roman" w:hAnsi="Times New Roman" w:eastAsia="仿宋_GB2312" w:cs="仿宋"/>
                <w:snapToGrid w:val="0"/>
                <w:color w:val="000000"/>
                <w:spacing w:val="-4"/>
                <w:sz w:val="28"/>
                <w:szCs w:val="28"/>
                <w:lang w:val="en-US" w:eastAsia="zh-CN" w:bidi="ar-SA"/>
              </w:rPr>
              <w:t>和施工合同</w:t>
            </w:r>
          </w:p>
        </w:tc>
        <w:tc>
          <w:tcPr>
            <w:tcW w:w="1137" w:type="dxa"/>
            <w:vAlign w:val="center"/>
          </w:tcPr>
          <w:p w14:paraId="36D33B6E">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54976513">
            <w:pPr>
              <w:keepNext w:val="0"/>
              <w:keepLines w:val="0"/>
              <w:pageBreakBefore w:val="0"/>
              <w:widowControl w:val="0"/>
              <w:kinsoku/>
              <w:wordWrap/>
              <w:overflowPunct/>
              <w:topLinePunct w:val="0"/>
              <w:autoSpaceDE/>
              <w:autoSpaceDN/>
              <w:bidi w:val="0"/>
              <w:adjustRightInd w:val="0"/>
              <w:snapToGrid w:val="0"/>
              <w:spacing w:before="229" w:line="223" w:lineRule="auto"/>
              <w:ind w:left="300"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原件彩色</w:t>
            </w:r>
          </w:p>
          <w:p w14:paraId="2B5E08EA">
            <w:pPr>
              <w:keepNext w:val="0"/>
              <w:keepLines w:val="0"/>
              <w:pageBreakBefore w:val="0"/>
              <w:widowControl w:val="0"/>
              <w:kinsoku/>
              <w:wordWrap/>
              <w:overflowPunct/>
              <w:topLinePunct w:val="0"/>
              <w:autoSpaceDE/>
              <w:autoSpaceDN/>
              <w:bidi w:val="0"/>
              <w:adjustRightInd w:val="0"/>
              <w:snapToGrid w:val="0"/>
              <w:spacing w:before="21" w:line="223" w:lineRule="auto"/>
              <w:ind w:left="4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扫描件</w:t>
            </w:r>
          </w:p>
          <w:p w14:paraId="03902EB3">
            <w:pPr>
              <w:keepNext w:val="0"/>
              <w:keepLines w:val="0"/>
              <w:pageBreakBefore w:val="0"/>
              <w:widowControl w:val="0"/>
              <w:kinsoku/>
              <w:wordWrap/>
              <w:overflowPunct/>
              <w:topLinePunct w:val="0"/>
              <w:autoSpaceDE/>
              <w:autoSpaceDN/>
              <w:bidi w:val="0"/>
              <w:adjustRightInd w:val="0"/>
              <w:snapToGrid w:val="0"/>
              <w:spacing w:before="21" w:line="223"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（PDF格式）</w:t>
            </w:r>
          </w:p>
        </w:tc>
        <w:tc>
          <w:tcPr>
            <w:tcW w:w="2643" w:type="dxa"/>
          </w:tcPr>
          <w:p w14:paraId="7F9480DC">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zh-CN"/>
              </w:rPr>
            </w:pPr>
          </w:p>
        </w:tc>
      </w:tr>
      <w:tr w14:paraId="6DF7B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jc w:val="center"/>
        </w:trPr>
        <w:tc>
          <w:tcPr>
            <w:tcW w:w="934" w:type="dxa"/>
            <w:vAlign w:val="center"/>
          </w:tcPr>
          <w:p w14:paraId="6EDA3233">
            <w:pPr>
              <w:keepNext w:val="0"/>
              <w:keepLines w:val="0"/>
              <w:pageBreakBefore w:val="0"/>
              <w:widowControl w:val="0"/>
              <w:kinsoku/>
              <w:wordWrap/>
              <w:overflowPunct/>
              <w:topLinePunct w:val="0"/>
              <w:autoSpaceDE/>
              <w:autoSpaceDN/>
              <w:bidi w:val="0"/>
              <w:adjustRightInd w:val="0"/>
              <w:snapToGrid w:val="0"/>
              <w:spacing w:before="91" w:line="179" w:lineRule="auto"/>
              <w:ind w:left="409"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4</w:t>
            </w:r>
          </w:p>
        </w:tc>
        <w:tc>
          <w:tcPr>
            <w:tcW w:w="2477" w:type="dxa"/>
            <w:vAlign w:val="center"/>
          </w:tcPr>
          <w:p w14:paraId="0C6DBBFA">
            <w:pPr>
              <w:keepNext w:val="0"/>
              <w:keepLines w:val="0"/>
              <w:pageBreakBefore w:val="0"/>
              <w:widowControl w:val="0"/>
              <w:kinsoku/>
              <w:wordWrap/>
              <w:overflowPunct/>
              <w:topLinePunct w:val="0"/>
              <w:autoSpaceDE/>
              <w:autoSpaceDN/>
              <w:bidi w:val="0"/>
              <w:adjustRightInd w:val="0"/>
              <w:snapToGrid w:val="0"/>
              <w:spacing w:before="165" w:line="233" w:lineRule="auto"/>
              <w:ind w:left="133" w:right="115" w:firstLine="1"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3"/>
                <w:sz w:val="28"/>
                <w:szCs w:val="28"/>
                <w:lang w:val="en-US" w:eastAsia="zh-CN" w:bidi="ar-SA"/>
              </w:rPr>
              <w:t>质量</w:t>
            </w:r>
            <w:r>
              <w:rPr>
                <w:rFonts w:hint="eastAsia" w:ascii="Times New Roman" w:hAnsi="Times New Roman" w:eastAsia="仿宋_GB2312" w:cs="仿宋"/>
                <w:snapToGrid w:val="0"/>
                <w:color w:val="000000"/>
                <w:spacing w:val="-3"/>
                <w:sz w:val="28"/>
                <w:szCs w:val="28"/>
                <w:lang w:val="en-US" w:eastAsia="zh-CN" w:bidi="ar-SA"/>
              </w:rPr>
              <w:t>安全</w:t>
            </w:r>
            <w:r>
              <w:rPr>
                <w:rFonts w:ascii="Times New Roman" w:hAnsi="Times New Roman" w:eastAsia="仿宋_GB2312" w:cs="仿宋"/>
                <w:snapToGrid w:val="0"/>
                <w:color w:val="000000"/>
                <w:spacing w:val="-3"/>
                <w:sz w:val="28"/>
                <w:szCs w:val="28"/>
                <w:lang w:val="en-US" w:eastAsia="zh-CN" w:bidi="ar-SA"/>
              </w:rPr>
              <w:t>承诺书（建设、勘察、设计及施工</w:t>
            </w:r>
            <w:r>
              <w:rPr>
                <w:rFonts w:hint="eastAsia" w:ascii="Times New Roman" w:hAnsi="Times New Roman" w:eastAsia="仿宋_GB2312" w:cs="仿宋"/>
                <w:snapToGrid w:val="0"/>
                <w:color w:val="000000"/>
                <w:spacing w:val="-3"/>
                <w:sz w:val="28"/>
                <w:szCs w:val="28"/>
                <w:lang w:val="en-US" w:eastAsia="zh-CN" w:bidi="ar-SA"/>
              </w:rPr>
              <w:t>单位</w:t>
            </w:r>
            <w:r>
              <w:rPr>
                <w:rFonts w:ascii="Times New Roman" w:hAnsi="Times New Roman" w:eastAsia="仿宋_GB2312" w:cs="仿宋"/>
                <w:snapToGrid w:val="0"/>
                <w:color w:val="000000"/>
                <w:spacing w:val="-3"/>
                <w:sz w:val="28"/>
                <w:szCs w:val="28"/>
                <w:lang w:val="en-US" w:eastAsia="zh-CN" w:bidi="ar-SA"/>
              </w:rPr>
              <w:t>）</w:t>
            </w:r>
          </w:p>
        </w:tc>
        <w:tc>
          <w:tcPr>
            <w:tcW w:w="1137" w:type="dxa"/>
            <w:vAlign w:val="center"/>
          </w:tcPr>
          <w:p w14:paraId="5D56033F">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3DF8796C">
            <w:pPr>
              <w:keepNext w:val="0"/>
              <w:keepLines w:val="0"/>
              <w:pageBreakBefore w:val="0"/>
              <w:widowControl w:val="0"/>
              <w:kinsoku/>
              <w:wordWrap/>
              <w:overflowPunct/>
              <w:topLinePunct w:val="0"/>
              <w:autoSpaceDE/>
              <w:autoSpaceDN/>
              <w:bidi w:val="0"/>
              <w:adjustRightInd w:val="0"/>
              <w:snapToGrid w:val="0"/>
              <w:spacing w:before="91" w:line="223" w:lineRule="auto"/>
              <w:ind w:left="580"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pacing w:val="-12"/>
                <w:sz w:val="28"/>
                <w:szCs w:val="28"/>
                <w:lang w:val="en-US" w:eastAsia="en-US" w:bidi="ar-SA"/>
              </w:rPr>
              <w:t>原件</w:t>
            </w:r>
          </w:p>
        </w:tc>
        <w:tc>
          <w:tcPr>
            <w:tcW w:w="2643" w:type="dxa"/>
          </w:tcPr>
          <w:p w14:paraId="4CF098BA">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en-US"/>
              </w:rPr>
            </w:pPr>
          </w:p>
        </w:tc>
      </w:tr>
      <w:tr w14:paraId="6FB7A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934" w:type="dxa"/>
            <w:vAlign w:val="center"/>
          </w:tcPr>
          <w:p w14:paraId="1BAA3ABC">
            <w:pPr>
              <w:keepNext w:val="0"/>
              <w:keepLines w:val="0"/>
              <w:pageBreakBefore w:val="0"/>
              <w:widowControl w:val="0"/>
              <w:kinsoku/>
              <w:wordWrap/>
              <w:overflowPunct/>
              <w:topLinePunct w:val="0"/>
              <w:autoSpaceDE/>
              <w:autoSpaceDN/>
              <w:bidi w:val="0"/>
              <w:adjustRightInd w:val="0"/>
              <w:snapToGrid w:val="0"/>
              <w:spacing w:before="91" w:line="179" w:lineRule="auto"/>
              <w:ind w:left="409"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5</w:t>
            </w:r>
          </w:p>
        </w:tc>
        <w:tc>
          <w:tcPr>
            <w:tcW w:w="2477" w:type="dxa"/>
            <w:vAlign w:val="center"/>
          </w:tcPr>
          <w:p w14:paraId="7113136B">
            <w:pPr>
              <w:keepNext w:val="0"/>
              <w:keepLines w:val="0"/>
              <w:pageBreakBefore w:val="0"/>
              <w:widowControl w:val="0"/>
              <w:kinsoku/>
              <w:wordWrap/>
              <w:overflowPunct/>
              <w:topLinePunct w:val="0"/>
              <w:autoSpaceDE/>
              <w:autoSpaceDN/>
              <w:bidi w:val="0"/>
              <w:adjustRightInd w:val="0"/>
              <w:snapToGrid w:val="0"/>
              <w:spacing w:before="165" w:line="233" w:lineRule="auto"/>
              <w:ind w:left="133" w:right="115" w:firstLine="1" w:firstLineChars="0"/>
              <w:jc w:val="center"/>
              <w:textAlignment w:val="baseline"/>
              <w:rPr>
                <w:rFonts w:hint="default" w:ascii="Times New Roman" w:hAnsi="Times New Roman" w:eastAsia="仿宋_GB2312" w:cs="仿宋"/>
                <w:snapToGrid w:val="0"/>
                <w:color w:val="000000"/>
                <w:spacing w:val="-3"/>
                <w:sz w:val="28"/>
                <w:szCs w:val="28"/>
                <w:lang w:val="en-US" w:eastAsia="zh-CN" w:bidi="ar-SA"/>
              </w:rPr>
            </w:pPr>
            <w:r>
              <w:rPr>
                <w:rFonts w:hint="eastAsia" w:ascii="仿宋_GB2312" w:hAnsi="仿宋_GB2312" w:eastAsia="仿宋_GB2312" w:cs="仿宋_GB2312"/>
                <w:snapToGrid w:val="0"/>
                <w:color w:val="000000"/>
                <w:sz w:val="28"/>
                <w:szCs w:val="32"/>
                <w:lang w:val="en-US" w:eastAsia="zh-CN" w:bidi="ar-SA"/>
              </w:rPr>
              <w:t>规划部门出具的同意意见</w:t>
            </w:r>
          </w:p>
        </w:tc>
        <w:tc>
          <w:tcPr>
            <w:tcW w:w="1137" w:type="dxa"/>
            <w:vAlign w:val="center"/>
          </w:tcPr>
          <w:p w14:paraId="4B3B68E6">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w:t>
            </w:r>
          </w:p>
        </w:tc>
        <w:tc>
          <w:tcPr>
            <w:tcW w:w="1675" w:type="dxa"/>
            <w:vAlign w:val="center"/>
          </w:tcPr>
          <w:p w14:paraId="06081100">
            <w:pPr>
              <w:keepNext w:val="0"/>
              <w:keepLines w:val="0"/>
              <w:pageBreakBefore w:val="0"/>
              <w:widowControl w:val="0"/>
              <w:kinsoku/>
              <w:wordWrap/>
              <w:overflowPunct/>
              <w:topLinePunct w:val="0"/>
              <w:autoSpaceDE/>
              <w:autoSpaceDN/>
              <w:bidi w:val="0"/>
              <w:adjustRightInd w:val="0"/>
              <w:snapToGrid w:val="0"/>
              <w:spacing w:before="229" w:line="223" w:lineRule="auto"/>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原件彩色</w:t>
            </w:r>
          </w:p>
          <w:p w14:paraId="38E69780">
            <w:pPr>
              <w:keepNext w:val="0"/>
              <w:keepLines w:val="0"/>
              <w:pageBreakBefore w:val="0"/>
              <w:widowControl w:val="0"/>
              <w:kinsoku/>
              <w:wordWrap/>
              <w:overflowPunct/>
              <w:topLinePunct w:val="0"/>
              <w:autoSpaceDE/>
              <w:autoSpaceDN/>
              <w:bidi w:val="0"/>
              <w:adjustRightInd w:val="0"/>
              <w:snapToGrid w:val="0"/>
              <w:spacing w:before="21" w:line="223" w:lineRule="auto"/>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扫描件</w:t>
            </w:r>
          </w:p>
          <w:p w14:paraId="56C19789">
            <w:pPr>
              <w:keepNext w:val="0"/>
              <w:keepLines w:val="0"/>
              <w:pageBreakBefore w:val="0"/>
              <w:widowControl w:val="0"/>
              <w:kinsoku/>
              <w:wordWrap/>
              <w:overflowPunct/>
              <w:topLinePunct w:val="0"/>
              <w:autoSpaceDE/>
              <w:autoSpaceDN/>
              <w:bidi w:val="0"/>
              <w:adjustRightInd w:val="0"/>
              <w:snapToGrid w:val="0"/>
              <w:spacing w:before="91" w:line="223" w:lineRule="auto"/>
              <w:ind w:firstLine="0" w:firstLineChars="0"/>
              <w:jc w:val="center"/>
              <w:textAlignment w:val="baseline"/>
              <w:rPr>
                <w:rFonts w:ascii="Times New Roman" w:hAnsi="Times New Roman" w:eastAsia="仿宋_GB2312" w:cs="仿宋"/>
                <w:snapToGrid w:val="0"/>
                <w:color w:val="000000"/>
                <w:spacing w:val="-12"/>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（PDF格式）</w:t>
            </w:r>
          </w:p>
        </w:tc>
        <w:tc>
          <w:tcPr>
            <w:tcW w:w="2643" w:type="dxa"/>
          </w:tcPr>
          <w:p w14:paraId="6D840CFE">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zh-CN"/>
              </w:rPr>
            </w:pPr>
          </w:p>
        </w:tc>
      </w:tr>
    </w:tbl>
    <w:p w14:paraId="5898396A">
      <w:pPr>
        <w:keepNext w:val="0"/>
        <w:keepLines w:val="0"/>
        <w:pageBreakBefore w:val="0"/>
        <w:widowControl w:val="0"/>
        <w:kinsoku/>
        <w:wordWrap/>
        <w:overflowPunct/>
        <w:topLinePunct w:val="0"/>
        <w:autoSpaceDE/>
        <w:autoSpaceDN/>
        <w:bidi w:val="0"/>
        <w:ind w:firstLine="640" w:firstLineChars="200"/>
        <w:rPr>
          <w:rFonts w:hint="default" w:ascii="Times New Roman" w:hAnsi="Times New Roman" w:cs="Times New Roman"/>
          <w:lang w:val="en-US" w:eastAsia="zh-CN"/>
        </w:rPr>
      </w:pPr>
      <w:r>
        <w:rPr>
          <w:rFonts w:ascii="Times New Roman" w:hAnsi="Times New Roman" w:eastAsia="仿宋_GB2312" w:cs="Arial"/>
          <w:snapToGrid w:val="0"/>
          <w:color w:val="000000"/>
          <w:kern w:val="0"/>
          <w:sz w:val="32"/>
          <w:szCs w:val="21"/>
          <w:lang w:eastAsia="zh-CN"/>
        </w:rPr>
        <w:t>注：根据《危险性较大的分部分项工程安全管理规定</w:t>
      </w:r>
      <w:r>
        <w:rPr>
          <w:rFonts w:hint="eastAsia" w:ascii="Times New Roman" w:hAnsi="Times New Roman" w:eastAsia="仿宋_GB2312" w:cs="Arial"/>
          <w:snapToGrid w:val="0"/>
          <w:color w:val="000000"/>
          <w:kern w:val="0"/>
          <w:sz w:val="32"/>
          <w:szCs w:val="21"/>
          <w:lang w:eastAsia="zh-CN"/>
        </w:rPr>
        <w:t>（2019修正）</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住房和城乡建设部令第</w:t>
      </w:r>
      <w:r>
        <w:rPr>
          <w:rFonts w:hint="eastAsia" w:ascii="Times New Roman" w:hAnsi="Times New Roman" w:eastAsia="仿宋_GB2312" w:cs="Arial"/>
          <w:snapToGrid w:val="0"/>
          <w:color w:val="000000"/>
          <w:kern w:val="0"/>
          <w:sz w:val="32"/>
          <w:szCs w:val="21"/>
          <w:lang w:eastAsia="zh-CN"/>
        </w:rPr>
        <w:t>4</w:t>
      </w:r>
      <w:r>
        <w:rPr>
          <w:rFonts w:ascii="Times New Roman" w:hAnsi="Times New Roman" w:eastAsia="仿宋_GB2312" w:cs="Arial"/>
          <w:snapToGrid w:val="0"/>
          <w:color w:val="000000"/>
          <w:kern w:val="0"/>
          <w:sz w:val="32"/>
          <w:szCs w:val="21"/>
          <w:lang w:eastAsia="zh-CN"/>
        </w:rPr>
        <w:t>7号</w:t>
      </w:r>
      <w:r>
        <w:rPr>
          <w:rFonts w:hint="eastAsia" w:ascii="Times New Roman" w:hAnsi="Times New Roman" w:eastAsia="仿宋_GB2312" w:cs="Arial"/>
          <w:snapToGrid w:val="0"/>
          <w:color w:val="000000"/>
          <w:kern w:val="0"/>
          <w:sz w:val="32"/>
          <w:szCs w:val="21"/>
          <w:lang w:eastAsia="zh-CN"/>
        </w:rPr>
        <w:t>）第十二条</w:t>
      </w:r>
      <w:r>
        <w:rPr>
          <w:rFonts w:hint="eastAsia" w:ascii="Times New Roman" w:hAnsi="Times New Roman" w:eastAsia="仿宋_GB2312" w:cs="Arial"/>
          <w:snapToGrid w:val="0"/>
          <w:color w:val="000000"/>
          <w:kern w:val="0"/>
          <w:sz w:val="32"/>
          <w:szCs w:val="21"/>
          <w:lang w:val="en-US" w:eastAsia="zh-CN"/>
        </w:rPr>
        <w:t>第一款</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建设单位最迟须在进入危险性较大的分部分项工程工序施工前，向</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报送</w:t>
      </w:r>
      <w:r>
        <w:rPr>
          <w:rFonts w:hint="eastAsia" w:ascii="Times New Roman" w:hAnsi="Times New Roman" w:eastAsia="仿宋_GB2312" w:cs="Arial"/>
          <w:snapToGrid w:val="0"/>
          <w:color w:val="000000"/>
          <w:kern w:val="0"/>
          <w:sz w:val="32"/>
          <w:szCs w:val="21"/>
          <w:lang w:eastAsia="zh-CN"/>
        </w:rPr>
        <w:t>危险性较大的分部分项工程清单及安全管理措施的</w:t>
      </w:r>
      <w:r>
        <w:rPr>
          <w:rFonts w:ascii="Times New Roman" w:hAnsi="Times New Roman" w:eastAsia="仿宋_GB2312" w:cs="Arial"/>
          <w:snapToGrid w:val="0"/>
          <w:color w:val="000000"/>
          <w:kern w:val="0"/>
          <w:sz w:val="32"/>
          <w:szCs w:val="21"/>
          <w:lang w:eastAsia="zh-CN"/>
        </w:rPr>
        <w:t>纸质文件，同时应</w:t>
      </w:r>
      <w:r>
        <w:rPr>
          <w:rFonts w:hint="eastAsia" w:ascii="Times New Roman" w:hAnsi="Times New Roman" w:eastAsia="仿宋_GB2312" w:cs="仿宋_GB2312"/>
          <w:snapToGrid w:val="0"/>
          <w:color w:val="000000"/>
          <w:kern w:val="0"/>
          <w:sz w:val="32"/>
          <w:szCs w:val="21"/>
          <w:lang w:val="en-US" w:eastAsia="zh-CN" w:bidi="ar"/>
        </w:rPr>
        <w:t>当</w:t>
      </w:r>
      <w:r>
        <w:rPr>
          <w:rFonts w:ascii="Times New Roman" w:hAnsi="Times New Roman" w:eastAsia="仿宋_GB2312" w:cs="Arial"/>
          <w:snapToGrid w:val="0"/>
          <w:color w:val="000000"/>
          <w:kern w:val="0"/>
          <w:sz w:val="32"/>
          <w:szCs w:val="21"/>
          <w:lang w:eastAsia="zh-CN"/>
        </w:rPr>
        <w:t>提供危险性较大的分部分项工程专家通过意见</w:t>
      </w:r>
      <w:r>
        <w:rPr>
          <w:rFonts w:hint="eastAsia" w:ascii="Times New Roman" w:hAnsi="Times New Roman" w:eastAsia="仿宋_GB2312" w:cs="Arial"/>
          <w:snapToGrid w:val="0"/>
          <w:color w:val="000000"/>
          <w:kern w:val="0"/>
          <w:sz w:val="32"/>
          <w:szCs w:val="21"/>
          <w:lang w:eastAsia="zh-CN"/>
        </w:rPr>
        <w:t>。</w:t>
      </w:r>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2E2FA91-87BF-4858-B2BD-E1672B741CC1}"/>
  </w:font>
  <w:font w:name="黑体">
    <w:panose1 w:val="02010600030101010101"/>
    <w:charset w:val="86"/>
    <w:family w:val="auto"/>
    <w:pitch w:val="default"/>
    <w:sig w:usb0="800002BF" w:usb1="38CF7CFA" w:usb2="00000016" w:usb3="00000000" w:csb0="00040001" w:csb1="00000000"/>
    <w:embedRegular r:id="rId2" w:fontKey="{E00F5A3E-ECDD-4F0C-A096-A699CB1C29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4AC3DD96-3880-4150-A9E6-9204622CB579}"/>
  </w:font>
  <w:font w:name="Consolas">
    <w:panose1 w:val="020B0609020204030204"/>
    <w:charset w:val="00"/>
    <w:family w:val="auto"/>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4" w:fontKey="{FB9D70EA-FC91-488B-8792-A8F61BC602B2}"/>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5" w:fontKey="{584D0A2F-CAE0-4C59-99CB-FBB6426DF2B4}"/>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E55D9">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EC429">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5EC429">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C0A1D">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175C3E"/>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AD4C0A"/>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3F46A5B"/>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BB5A1E"/>
    <w:rsid w:val="5DE77E61"/>
    <w:rsid w:val="5DF70225"/>
    <w:rsid w:val="5E526C50"/>
    <w:rsid w:val="5E8A16D2"/>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9"/>
    <w:pPr>
      <w:keepNext/>
      <w:keepLines/>
      <w:outlineLvl w:val="0"/>
    </w:pPr>
    <w:rPr>
      <w:rFonts w:ascii="黑体" w:hAnsi="黑体" w:eastAsia="黑体"/>
      <w:bCs/>
      <w:kern w:val="44"/>
      <w:sz w:val="36"/>
      <w:szCs w:val="44"/>
    </w:rPr>
  </w:style>
  <w:style w:type="paragraph" w:styleId="5">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6">
    <w:name w:val="heading 3"/>
    <w:basedOn w:val="1"/>
    <w:next w:val="1"/>
    <w:link w:val="94"/>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4">
    <w:name w:val="Title"/>
    <w:basedOn w:val="1"/>
    <w:qFormat/>
    <w:uiPriority w:val="0"/>
    <w:pPr>
      <w:spacing w:before="240" w:after="60"/>
      <w:jc w:val="center"/>
      <w:outlineLvl w:val="0"/>
    </w:pPr>
    <w:rPr>
      <w:rFonts w:ascii="Arial" w:hAnsi="Arial"/>
      <w:b/>
    </w:rPr>
  </w:style>
  <w:style w:type="paragraph" w:styleId="7">
    <w:name w:val="Normal Indent"/>
    <w:basedOn w:val="1"/>
    <w:qFormat/>
    <w:uiPriority w:val="0"/>
    <w:pPr>
      <w:ind w:firstLine="680"/>
    </w:pPr>
  </w:style>
  <w:style w:type="paragraph" w:styleId="8">
    <w:name w:val="annotation text"/>
    <w:basedOn w:val="1"/>
    <w:qFormat/>
    <w:uiPriority w:val="0"/>
    <w:pPr>
      <w:jc w:val="left"/>
    </w:pPr>
  </w:style>
  <w:style w:type="paragraph" w:styleId="9">
    <w:name w:val="Body Text"/>
    <w:basedOn w:val="1"/>
    <w:qFormat/>
    <w:uiPriority w:val="0"/>
  </w:style>
  <w:style w:type="paragraph" w:styleId="10">
    <w:name w:val="Body Text Indent"/>
    <w:basedOn w:val="1"/>
    <w:unhideWhenUsed/>
    <w:qFormat/>
    <w:uiPriority w:val="99"/>
    <w:pPr>
      <w:ind w:firstLine="630"/>
    </w:pPr>
    <w:rPr>
      <w:rFonts w:ascii="仿宋_GB2312" w:eastAsia="仿宋_GB2312"/>
      <w:sz w:val="32"/>
    </w:rPr>
  </w:style>
  <w:style w:type="paragraph" w:styleId="11">
    <w:name w:val="Date"/>
    <w:basedOn w:val="1"/>
    <w:next w:val="1"/>
    <w:qFormat/>
    <w:uiPriority w:val="0"/>
    <w:rPr>
      <w:snapToGrid w:val="0"/>
      <w:kern w:val="0"/>
    </w:rPr>
  </w:style>
  <w:style w:type="paragraph" w:styleId="12">
    <w:name w:val="footer"/>
    <w:basedOn w:val="1"/>
    <w:link w:val="35"/>
    <w:qFormat/>
    <w:uiPriority w:val="0"/>
    <w:pPr>
      <w:tabs>
        <w:tab w:val="center" w:pos="4153"/>
        <w:tab w:val="right" w:pos="8306"/>
      </w:tabs>
      <w:snapToGrid w:val="0"/>
      <w:jc w:val="left"/>
    </w:pPr>
    <w:rPr>
      <w:sz w:val="18"/>
      <w:szCs w:val="18"/>
    </w:rPr>
  </w:style>
  <w:style w:type="paragraph" w:styleId="13">
    <w:name w:val="header"/>
    <w:basedOn w:val="1"/>
    <w:link w:val="34"/>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szCs w:val="18"/>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Emphasis"/>
    <w:basedOn w:val="20"/>
    <w:qFormat/>
    <w:uiPriority w:val="0"/>
    <w:rPr>
      <w:i/>
    </w:rPr>
  </w:style>
  <w:style w:type="character" w:styleId="25">
    <w:name w:val="HTML Definition"/>
    <w:basedOn w:val="20"/>
    <w:qFormat/>
    <w:uiPriority w:val="0"/>
    <w:rPr>
      <w:i/>
      <w:bdr w:val="single" w:color="CCCCCC" w:sz="6" w:space="0"/>
      <w:shd w:val="clear" w:fill="CCCCCC"/>
    </w:rPr>
  </w:style>
  <w:style w:type="character" w:styleId="26">
    <w:name w:val="Hyperlink"/>
    <w:basedOn w:val="20"/>
    <w:qFormat/>
    <w:uiPriority w:val="0"/>
    <w:rPr>
      <w:color w:val="4D7AD8"/>
      <w:u w:val="none"/>
    </w:rPr>
  </w:style>
  <w:style w:type="character" w:styleId="27">
    <w:name w:val="HTML Code"/>
    <w:basedOn w:val="20"/>
    <w:qFormat/>
    <w:uiPriority w:val="0"/>
    <w:rPr>
      <w:rFonts w:ascii="Consolas" w:hAnsi="Consolas" w:eastAsia="Consolas" w:cs="Consolas"/>
      <w:sz w:val="21"/>
      <w:szCs w:val="21"/>
    </w:rPr>
  </w:style>
  <w:style w:type="character" w:styleId="28">
    <w:name w:val="annotation reference"/>
    <w:basedOn w:val="20"/>
    <w:qFormat/>
    <w:uiPriority w:val="0"/>
    <w:rPr>
      <w:sz w:val="21"/>
      <w:szCs w:val="21"/>
    </w:rPr>
  </w:style>
  <w:style w:type="character" w:styleId="29">
    <w:name w:val="footnote reference"/>
    <w:basedOn w:val="20"/>
    <w:qFormat/>
    <w:uiPriority w:val="0"/>
    <w:rPr>
      <w:vertAlign w:val="superscript"/>
    </w:rPr>
  </w:style>
  <w:style w:type="character" w:styleId="30">
    <w:name w:val="HTML Keyboard"/>
    <w:basedOn w:val="20"/>
    <w:qFormat/>
    <w:uiPriority w:val="0"/>
    <w:rPr>
      <w:rFonts w:hint="default" w:ascii="Consolas" w:hAnsi="Consolas" w:eastAsia="Consolas" w:cs="Consolas"/>
      <w:sz w:val="21"/>
      <w:szCs w:val="21"/>
    </w:rPr>
  </w:style>
  <w:style w:type="character" w:styleId="31">
    <w:name w:val="HTML Sample"/>
    <w:basedOn w:val="20"/>
    <w:qFormat/>
    <w:uiPriority w:val="0"/>
    <w:rPr>
      <w:rFonts w:hint="default" w:ascii="Consolas" w:hAnsi="Consolas" w:eastAsia="Consolas" w:cs="Consolas"/>
      <w:sz w:val="21"/>
      <w:szCs w:val="21"/>
    </w:rPr>
  </w:style>
  <w:style w:type="paragraph" w:customStyle="1" w:styleId="32">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4">
    <w:name w:val="页眉 字符"/>
    <w:basedOn w:val="20"/>
    <w:link w:val="13"/>
    <w:qFormat/>
    <w:uiPriority w:val="0"/>
    <w:rPr>
      <w:rFonts w:asciiTheme="minorHAnsi" w:hAnsiTheme="minorHAnsi" w:eastAsiaTheme="minorEastAsia" w:cstheme="minorBidi"/>
      <w:kern w:val="2"/>
      <w:sz w:val="18"/>
      <w:szCs w:val="18"/>
    </w:rPr>
  </w:style>
  <w:style w:type="character" w:customStyle="1" w:styleId="35">
    <w:name w:val="页脚 字符"/>
    <w:basedOn w:val="20"/>
    <w:link w:val="12"/>
    <w:qFormat/>
    <w:uiPriority w:val="0"/>
    <w:rPr>
      <w:rFonts w:asciiTheme="minorHAnsi" w:hAnsiTheme="minorHAnsi" w:eastAsiaTheme="minorEastAsia" w:cstheme="minorBidi"/>
      <w:kern w:val="2"/>
      <w:sz w:val="18"/>
      <w:szCs w:val="18"/>
    </w:rPr>
  </w:style>
  <w:style w:type="paragraph" w:styleId="36">
    <w:name w:val="List Paragraph"/>
    <w:basedOn w:val="1"/>
    <w:qFormat/>
    <w:uiPriority w:val="99"/>
    <w:pPr>
      <w:ind w:firstLine="420" w:firstLineChars="200"/>
    </w:pPr>
  </w:style>
  <w:style w:type="paragraph" w:customStyle="1" w:styleId="37">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8">
    <w:name w:val="s3"/>
    <w:basedOn w:val="20"/>
    <w:qFormat/>
    <w:uiPriority w:val="99"/>
  </w:style>
  <w:style w:type="paragraph" w:customStyle="1" w:styleId="39">
    <w:name w:val="列出段落1"/>
    <w:basedOn w:val="1"/>
    <w:qFormat/>
    <w:uiPriority w:val="99"/>
    <w:pPr>
      <w:ind w:firstLine="420" w:firstLineChars="200"/>
    </w:pPr>
    <w:rPr>
      <w:rFonts w:cs="Times New Roman"/>
      <w:szCs w:val="24"/>
    </w:rPr>
  </w:style>
  <w:style w:type="paragraph" w:customStyle="1" w:styleId="40">
    <w:name w:val="p0"/>
    <w:basedOn w:val="1"/>
    <w:qFormat/>
    <w:uiPriority w:val="0"/>
    <w:pPr>
      <w:widowControl/>
    </w:pPr>
    <w:rPr>
      <w:rFonts w:ascii="宋体" w:hAnsi="宋体" w:cs="宋体"/>
      <w:kern w:val="0"/>
      <w:szCs w:val="21"/>
    </w:rPr>
  </w:style>
  <w:style w:type="character" w:customStyle="1" w:styleId="41">
    <w:name w:val="NormalCharacter"/>
    <w:semiHidden/>
    <w:qFormat/>
    <w:uiPriority w:val="0"/>
    <w:rPr>
      <w:rFonts w:ascii="Calibri" w:hAnsi="Calibri" w:eastAsia="宋体" w:cs="Times New Roman"/>
      <w:kern w:val="2"/>
      <w:sz w:val="21"/>
      <w:szCs w:val="24"/>
      <w:lang w:val="en-US" w:eastAsia="zh-CN" w:bidi="ar-SA"/>
    </w:rPr>
  </w:style>
  <w:style w:type="paragraph" w:customStyle="1" w:styleId="42">
    <w:name w:val="彩色列表1"/>
    <w:basedOn w:val="1"/>
    <w:qFormat/>
    <w:uiPriority w:val="34"/>
    <w:pPr>
      <w:ind w:firstLine="420" w:firstLineChars="200"/>
    </w:p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正式文档"/>
    <w:basedOn w:val="1"/>
    <w:qFormat/>
    <w:uiPriority w:val="0"/>
    <w:pPr>
      <w:ind w:firstLine="420"/>
    </w:pPr>
    <w:rPr>
      <w:rFonts w:ascii="Times New Roman" w:hAnsi="Times New Roman"/>
      <w:sz w:val="32"/>
    </w:rPr>
  </w:style>
  <w:style w:type="paragraph" w:customStyle="1" w:styleId="45">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6">
    <w:name w:val="ant-select-tree-checkbox"/>
    <w:basedOn w:val="20"/>
    <w:qFormat/>
    <w:uiPriority w:val="0"/>
  </w:style>
  <w:style w:type="character" w:customStyle="1" w:styleId="47">
    <w:name w:val="ant-tree-iconele"/>
    <w:basedOn w:val="20"/>
    <w:qFormat/>
    <w:uiPriority w:val="0"/>
  </w:style>
  <w:style w:type="character" w:customStyle="1" w:styleId="48">
    <w:name w:val="ant-tree-switcher"/>
    <w:basedOn w:val="20"/>
    <w:qFormat/>
    <w:uiPriority w:val="0"/>
  </w:style>
  <w:style w:type="character" w:customStyle="1" w:styleId="49">
    <w:name w:val="ant-tree-checkbox6"/>
    <w:basedOn w:val="20"/>
    <w:qFormat/>
    <w:uiPriority w:val="0"/>
  </w:style>
  <w:style w:type="character" w:customStyle="1" w:styleId="50">
    <w:name w:val="current-node"/>
    <w:basedOn w:val="20"/>
    <w:qFormat/>
    <w:uiPriority w:val="0"/>
    <w:rPr>
      <w:bdr w:val="single" w:color="F5B87B" w:sz="6" w:space="0"/>
      <w:shd w:val="clear" w:fill="FFE8CC"/>
    </w:rPr>
  </w:style>
  <w:style w:type="character" w:customStyle="1" w:styleId="51">
    <w:name w:val="ant-radio+*"/>
    <w:basedOn w:val="20"/>
    <w:qFormat/>
    <w:uiPriority w:val="0"/>
  </w:style>
  <w:style w:type="character" w:customStyle="1" w:styleId="52">
    <w:name w:val="button"/>
    <w:basedOn w:val="20"/>
    <w:qFormat/>
    <w:uiPriority w:val="0"/>
  </w:style>
  <w:style w:type="character" w:customStyle="1" w:styleId="53">
    <w:name w:val="button1"/>
    <w:basedOn w:val="20"/>
    <w:qFormat/>
    <w:uiPriority w:val="0"/>
  </w:style>
  <w:style w:type="character" w:customStyle="1" w:styleId="54">
    <w:name w:val="passed-node"/>
    <w:basedOn w:val="20"/>
    <w:qFormat/>
    <w:uiPriority w:val="0"/>
    <w:rPr>
      <w:bdr w:val="single" w:color="49A8D4" w:sz="6" w:space="0"/>
      <w:shd w:val="clear" w:fill="A9E3FF"/>
    </w:rPr>
  </w:style>
  <w:style w:type="character" w:customStyle="1" w:styleId="55">
    <w:name w:val="not-pass-node"/>
    <w:basedOn w:val="20"/>
    <w:qFormat/>
    <w:uiPriority w:val="0"/>
    <w:rPr>
      <w:bdr w:val="single" w:color="5ABD6B" w:sz="6" w:space="0"/>
      <w:shd w:val="clear" w:fill="BFF3C3"/>
    </w:rPr>
  </w:style>
  <w:style w:type="character" w:customStyle="1" w:styleId="56">
    <w:name w:val="auto-pass-node"/>
    <w:basedOn w:val="20"/>
    <w:qFormat/>
    <w:uiPriority w:val="0"/>
    <w:rPr>
      <w:bdr w:val="single" w:color="DC4446" w:sz="6" w:space="0"/>
      <w:shd w:val="clear" w:fill="A9E2FF"/>
    </w:rPr>
  </w:style>
  <w:style w:type="character" w:customStyle="1" w:styleId="57">
    <w:name w:val="wea-thumbnails-doc-content-subtitle"/>
    <w:basedOn w:val="20"/>
    <w:qFormat/>
    <w:uiPriority w:val="0"/>
    <w:rPr>
      <w:color w:val="9A9A9A"/>
    </w:rPr>
  </w:style>
  <w:style w:type="character" w:customStyle="1" w:styleId="58">
    <w:name w:val="ant-select-tree-switcher"/>
    <w:basedOn w:val="20"/>
    <w:qFormat/>
    <w:uiPriority w:val="0"/>
  </w:style>
  <w:style w:type="character" w:customStyle="1" w:styleId="59">
    <w:name w:val="ant-select-tree-iconele"/>
    <w:basedOn w:val="20"/>
    <w:qFormat/>
    <w:uiPriority w:val="0"/>
  </w:style>
  <w:style w:type="character" w:customStyle="1" w:styleId="60">
    <w:name w:val="first-of-type"/>
    <w:basedOn w:val="20"/>
    <w:qFormat/>
    <w:uiPriority w:val="0"/>
    <w:rPr>
      <w:color w:val="FF0000"/>
    </w:rPr>
  </w:style>
  <w:style w:type="character" w:customStyle="1" w:styleId="61">
    <w:name w:val="first-of-type1"/>
    <w:basedOn w:val="20"/>
    <w:qFormat/>
    <w:uiPriority w:val="0"/>
    <w:rPr>
      <w:color w:val="FF0000"/>
    </w:rPr>
  </w:style>
  <w:style w:type="character" w:customStyle="1" w:styleId="62">
    <w:name w:val="tmpztreemove_arrow"/>
    <w:basedOn w:val="20"/>
    <w:qFormat/>
    <w:uiPriority w:val="0"/>
  </w:style>
  <w:style w:type="character" w:customStyle="1" w:styleId="63">
    <w:name w:val="ant-tree-checkbox"/>
    <w:basedOn w:val="20"/>
    <w:qFormat/>
    <w:uiPriority w:val="0"/>
  </w:style>
  <w:style w:type="character" w:customStyle="1" w:styleId="64">
    <w:name w:val="ant-select-tree-checkbox2"/>
    <w:basedOn w:val="20"/>
    <w:qFormat/>
    <w:uiPriority w:val="0"/>
  </w:style>
  <w:style w:type="character" w:customStyle="1" w:styleId="65">
    <w:name w:val="font91"/>
    <w:basedOn w:val="20"/>
    <w:qFormat/>
    <w:uiPriority w:val="0"/>
    <w:rPr>
      <w:rFonts w:hint="eastAsia" w:ascii="仿宋" w:hAnsi="仿宋" w:eastAsia="仿宋" w:cs="仿宋"/>
      <w:b/>
      <w:color w:val="000000"/>
      <w:sz w:val="24"/>
      <w:szCs w:val="24"/>
      <w:u w:val="none"/>
    </w:rPr>
  </w:style>
  <w:style w:type="character" w:customStyle="1" w:styleId="66">
    <w:name w:val="font21"/>
    <w:basedOn w:val="20"/>
    <w:qFormat/>
    <w:uiPriority w:val="0"/>
    <w:rPr>
      <w:rFonts w:ascii="font-weight : 400" w:hAnsi="font-weight : 400" w:eastAsia="font-weight : 400" w:cs="font-weight : 400"/>
      <w:color w:val="000000"/>
      <w:sz w:val="22"/>
      <w:szCs w:val="22"/>
      <w:u w:val="single"/>
    </w:rPr>
  </w:style>
  <w:style w:type="character" w:customStyle="1" w:styleId="67">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8">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9">
    <w:name w:val="16"/>
    <w:qFormat/>
    <w:uiPriority w:val="0"/>
    <w:rPr>
      <w:rFonts w:hint="default" w:ascii="Times New Roman" w:hAnsi="Times New Roman" w:cs="Times New Roman"/>
      <w:sz w:val="21"/>
      <w:szCs w:val="21"/>
    </w:rPr>
  </w:style>
  <w:style w:type="character" w:customStyle="1" w:styleId="70">
    <w:name w:val="nth-child(2)"/>
    <w:basedOn w:val="20"/>
    <w:qFormat/>
    <w:uiPriority w:val="0"/>
  </w:style>
  <w:style w:type="character" w:customStyle="1" w:styleId="71">
    <w:name w:val="top-label"/>
    <w:basedOn w:val="20"/>
    <w:qFormat/>
    <w:uiPriority w:val="0"/>
  </w:style>
  <w:style w:type="character" w:customStyle="1" w:styleId="72">
    <w:name w:val="first-child"/>
    <w:basedOn w:val="20"/>
    <w:qFormat/>
    <w:uiPriority w:val="0"/>
  </w:style>
  <w:style w:type="character" w:customStyle="1" w:styleId="73">
    <w:name w:val="first-child1"/>
    <w:basedOn w:val="20"/>
    <w:qFormat/>
    <w:uiPriority w:val="0"/>
    <w:rPr>
      <w:color w:val="999999"/>
      <w:sz w:val="33"/>
      <w:szCs w:val="33"/>
    </w:rPr>
  </w:style>
  <w:style w:type="character" w:customStyle="1" w:styleId="74">
    <w:name w:val="first-child2"/>
    <w:basedOn w:val="20"/>
    <w:qFormat/>
    <w:uiPriority w:val="0"/>
  </w:style>
  <w:style w:type="character" w:customStyle="1" w:styleId="75">
    <w:name w:val="label16"/>
    <w:basedOn w:val="20"/>
    <w:qFormat/>
    <w:uiPriority w:val="0"/>
  </w:style>
  <w:style w:type="character" w:customStyle="1" w:styleId="76">
    <w:name w:val="label17"/>
    <w:basedOn w:val="20"/>
    <w:qFormat/>
    <w:uiPriority w:val="0"/>
  </w:style>
  <w:style w:type="character" w:customStyle="1" w:styleId="77">
    <w:name w:val="ant-tree-checkbox8"/>
    <w:basedOn w:val="20"/>
    <w:qFormat/>
    <w:uiPriority w:val="0"/>
  </w:style>
  <w:style w:type="character" w:customStyle="1" w:styleId="78">
    <w:name w:val="hover41"/>
    <w:basedOn w:val="20"/>
    <w:qFormat/>
    <w:uiPriority w:val="0"/>
    <w:rPr>
      <w:color w:val="009DFF"/>
    </w:rPr>
  </w:style>
  <w:style w:type="character" w:customStyle="1" w:styleId="79">
    <w:name w:val="hover42"/>
    <w:basedOn w:val="20"/>
    <w:qFormat/>
    <w:uiPriority w:val="0"/>
    <w:rPr>
      <w:color w:val="009DFF"/>
    </w:rPr>
  </w:style>
  <w:style w:type="character" w:customStyle="1" w:styleId="80">
    <w:name w:val="disabled4"/>
    <w:basedOn w:val="20"/>
    <w:qFormat/>
    <w:uiPriority w:val="0"/>
    <w:rPr>
      <w:color w:val="AAAAAA"/>
      <w:shd w:val="clear" w:fill="F7F7F7"/>
    </w:rPr>
  </w:style>
  <w:style w:type="character" w:customStyle="1" w:styleId="81">
    <w:name w:val="first-of-type2"/>
    <w:basedOn w:val="20"/>
    <w:qFormat/>
    <w:uiPriority w:val="0"/>
    <w:rPr>
      <w:color w:val="FF0000"/>
    </w:rPr>
  </w:style>
  <w:style w:type="character" w:customStyle="1" w:styleId="82">
    <w:name w:val="ant-tree-switcher15"/>
    <w:basedOn w:val="20"/>
    <w:qFormat/>
    <w:uiPriority w:val="0"/>
  </w:style>
  <w:style w:type="character" w:customStyle="1" w:styleId="83">
    <w:name w:val="ant-table-row-expand-icon4"/>
    <w:basedOn w:val="20"/>
    <w:qFormat/>
    <w:uiPriority w:val="0"/>
    <w:rPr>
      <w:vanish/>
    </w:rPr>
  </w:style>
  <w:style w:type="character" w:customStyle="1" w:styleId="84">
    <w:name w:val="cke_colorbox"/>
    <w:basedOn w:val="20"/>
    <w:qFormat/>
    <w:uiPriority w:val="0"/>
  </w:style>
  <w:style w:type="character" w:customStyle="1" w:styleId="85">
    <w:name w:val="cke_colorbox1"/>
    <w:basedOn w:val="20"/>
    <w:qFormat/>
    <w:uiPriority w:val="0"/>
  </w:style>
  <w:style w:type="character" w:customStyle="1" w:styleId="86">
    <w:name w:val="cke_colorbox2"/>
    <w:basedOn w:val="20"/>
    <w:qFormat/>
    <w:uiPriority w:val="0"/>
  </w:style>
  <w:style w:type="character" w:customStyle="1" w:styleId="87">
    <w:name w:val="cke_colorbox3"/>
    <w:basedOn w:val="20"/>
    <w:qFormat/>
    <w:uiPriority w:val="0"/>
    <w:rPr>
      <w:bdr w:val="single" w:color="808080" w:sz="6" w:space="0"/>
    </w:rPr>
  </w:style>
  <w:style w:type="character" w:customStyle="1" w:styleId="88">
    <w:name w:val="last-child1"/>
    <w:basedOn w:val="20"/>
    <w:qFormat/>
    <w:uiPriority w:val="0"/>
  </w:style>
  <w:style w:type="character" w:customStyle="1" w:styleId="89">
    <w:name w:val="wea-dropdown-triangle2"/>
    <w:basedOn w:val="20"/>
    <w:qFormat/>
    <w:uiPriority w:val="0"/>
  </w:style>
  <w:style w:type="character" w:customStyle="1" w:styleId="90">
    <w:name w:val="isrevision"/>
    <w:basedOn w:val="20"/>
    <w:qFormat/>
    <w:uiPriority w:val="0"/>
    <w:rPr>
      <w:color w:val="000000"/>
      <w:sz w:val="18"/>
      <w:szCs w:val="18"/>
      <w:bdr w:val="single" w:color="E9E9E9" w:sz="6" w:space="0"/>
      <w:shd w:val="clear" w:fill="FFFFFF"/>
    </w:rPr>
  </w:style>
  <w:style w:type="character" w:customStyle="1" w:styleId="91">
    <w:name w:val="cke_notification_progress"/>
    <w:basedOn w:val="20"/>
    <w:qFormat/>
    <w:uiPriority w:val="0"/>
    <w:rPr>
      <w:shd w:val="clear" w:fill="0F74A8"/>
    </w:rPr>
  </w:style>
  <w:style w:type="character" w:customStyle="1" w:styleId="92">
    <w:name w:val="cke_path_empty2"/>
    <w:basedOn w:val="20"/>
    <w:qFormat/>
    <w:uiPriority w:val="0"/>
    <w:rPr>
      <w:b/>
      <w:color w:val="484848"/>
      <w:sz w:val="16"/>
      <w:szCs w:val="16"/>
      <w:u w:val="none"/>
    </w:rPr>
  </w:style>
  <w:style w:type="character" w:customStyle="1" w:styleId="93">
    <w:name w:val="cke_dialog_ui_button1"/>
    <w:basedOn w:val="20"/>
    <w:qFormat/>
    <w:uiPriority w:val="0"/>
  </w:style>
  <w:style w:type="character" w:customStyle="1" w:styleId="94">
    <w:name w:val="标题 3 字符"/>
    <w:link w:val="6"/>
    <w:qFormat/>
    <w:uiPriority w:val="0"/>
    <w:rPr>
      <w:b/>
      <w:sz w:val="32"/>
    </w:rPr>
  </w:style>
  <w:style w:type="paragraph" w:customStyle="1" w:styleId="95">
    <w:name w:val="Table Text"/>
    <w:basedOn w:val="1"/>
    <w:semiHidden/>
    <w:qFormat/>
    <w:uiPriority w:val="0"/>
    <w:pPr>
      <w:spacing w:line="240" w:lineRule="auto"/>
      <w:ind w:firstLine="0" w:firstLineChars="0"/>
    </w:pPr>
    <w:rPr>
      <w:rFonts w:cs="仿宋"/>
      <w:sz w:val="28"/>
      <w:szCs w:val="28"/>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3</Pages>
  <Words>12416</Words>
  <Characters>12542</Characters>
  <Lines>6</Lines>
  <Paragraphs>1</Paragraphs>
  <TotalTime>4</TotalTime>
  <ScaleCrop>false</ScaleCrop>
  <LinksUpToDate>false</LinksUpToDate>
  <CharactersWithSpaces>13753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李思怡</cp:lastModifiedBy>
  <cp:lastPrinted>2021-10-11T12:02:00Z</cp:lastPrinted>
  <dcterms:modified xsi:type="dcterms:W3CDTF">2025-06-19T08:15:52Z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eyJoZGlkIjoiODZmOTdkNzg5MzM0ZTcxNjhiZmY4OGRhZWM2OWZkOWQiLCJ1c2VySWQiOiIyNTI2MDI4NzgifQ==</vt:lpwstr>
  </property>
  <property fmtid="{D5CDD505-2E9C-101B-9397-08002B2CF9AE}" pid="4" name="ICV">
    <vt:lpwstr>74527E43B2934E51B43B119E85F35B6A_13</vt:lpwstr>
  </property>
</Properties>
</file>