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0"/>
        <w:keepNext w:val="0"/>
        <w:keepLines w:val="0"/>
        <w:pageBreakBefore w:val="0"/>
        <w:widowControl w:val="0"/>
        <w:kinsoku/>
        <w:wordWrap/>
        <w:overflowPunct/>
        <w:topLinePunct w:val="0"/>
        <w:autoSpaceDE/>
        <w:autoSpaceDN/>
        <w:bidi w:val="0"/>
        <w:adjustRightInd/>
        <w:snapToGrid/>
        <w:spacing w:afterLines="0" w:line="578" w:lineRule="exact"/>
        <w:jc w:val="both"/>
        <w:textAlignment w:val="auto"/>
        <w:rPr>
          <w:rFonts w:hint="default" w:ascii="Times New Roman" w:hAnsi="Times New Roman" w:cs="Times New Roman"/>
          <w:lang w:val="en-US" w:eastAsia="zh-CN"/>
        </w:rPr>
      </w:pPr>
    </w:p>
    <w:p>
      <w:pPr>
        <w:pStyle w:val="30"/>
        <w:keepNext w:val="0"/>
        <w:keepLines w:val="0"/>
        <w:pageBreakBefore w:val="0"/>
        <w:widowControl w:val="0"/>
        <w:kinsoku/>
        <w:wordWrap/>
        <w:overflowPunct/>
        <w:topLinePunct w:val="0"/>
        <w:autoSpaceDE/>
        <w:autoSpaceDN/>
        <w:bidi w:val="0"/>
        <w:adjustRightInd/>
        <w:snapToGrid/>
        <w:spacing w:afterLines="0" w:line="578" w:lineRule="exact"/>
        <w:jc w:val="both"/>
        <w:textAlignment w:val="auto"/>
        <w:rPr>
          <w:rFonts w:hint="default" w:ascii="Times New Roman" w:hAnsi="Times New Roman" w:cs="Times New Roman"/>
          <w:lang w:val="en-US" w:eastAsia="zh-CN"/>
        </w:rPr>
      </w:pPr>
    </w:p>
    <w:p>
      <w:pPr>
        <w:pStyle w:val="30"/>
        <w:keepNext w:val="0"/>
        <w:keepLines w:val="0"/>
        <w:pageBreakBefore w:val="0"/>
        <w:widowControl w:val="0"/>
        <w:kinsoku/>
        <w:wordWrap/>
        <w:overflowPunct/>
        <w:topLinePunct w:val="0"/>
        <w:autoSpaceDE/>
        <w:autoSpaceDN/>
        <w:bidi w:val="0"/>
        <w:adjustRightInd/>
        <w:snapToGrid/>
        <w:spacing w:afterLines="0" w:line="578" w:lineRule="exact"/>
        <w:jc w:val="both"/>
        <w:textAlignment w:val="auto"/>
        <w:rPr>
          <w:rFonts w:hint="default" w:ascii="Times New Roman" w:hAnsi="Times New Roman" w:cs="Times New Roman"/>
          <w:lang w:eastAsia="zh-CN"/>
        </w:rPr>
      </w:pPr>
    </w:p>
    <w:p>
      <w:pPr>
        <w:pStyle w:val="30"/>
        <w:keepNext w:val="0"/>
        <w:keepLines w:val="0"/>
        <w:pageBreakBefore w:val="0"/>
        <w:widowControl w:val="0"/>
        <w:kinsoku/>
        <w:wordWrap/>
        <w:overflowPunct/>
        <w:topLinePunct w:val="0"/>
        <w:autoSpaceDE/>
        <w:autoSpaceDN/>
        <w:bidi w:val="0"/>
        <w:adjustRightInd/>
        <w:snapToGrid/>
        <w:spacing w:afterLines="0" w:line="578" w:lineRule="exact"/>
        <w:jc w:val="both"/>
        <w:textAlignment w:val="auto"/>
        <w:rPr>
          <w:rFonts w:hint="default" w:ascii="Times New Roman" w:hAnsi="Times New Roman" w:cs="Times New Roman"/>
          <w:lang w:eastAsia="zh-CN"/>
        </w:rPr>
      </w:pPr>
    </w:p>
    <w:p>
      <w:pPr>
        <w:keepNext w:val="0"/>
        <w:keepLines w:val="0"/>
        <w:pageBreakBefore w:val="0"/>
        <w:widowControl w:val="0"/>
        <w:tabs>
          <w:tab w:val="left" w:pos="1665"/>
        </w:tabs>
        <w:kinsoku/>
        <w:wordWrap/>
        <w:overflowPunct/>
        <w:topLinePunct w:val="0"/>
        <w:autoSpaceDE/>
        <w:autoSpaceDN/>
        <w:bidi w:val="0"/>
        <w:adjustRightInd/>
        <w:snapToGrid/>
        <w:spacing w:beforeAutospacing="0" w:afterAutospacing="0" w:line="578" w:lineRule="exact"/>
        <w:ind w:left="0" w:leftChars="0"/>
        <w:textAlignment w:val="auto"/>
        <w:outlineLvl w:val="9"/>
        <w:rPr>
          <w:rFonts w:hint="default" w:ascii="Times New Roman" w:hAnsi="Times New Roman" w:cs="Times New Roman"/>
          <w:color w:val="000000"/>
        </w:rPr>
      </w:pPr>
      <w:r>
        <w:rPr>
          <w:rFonts w:hint="default" w:ascii="Times New Roman" w:hAnsi="Times New Roman" w:cs="Times New Roman"/>
          <w:color w:val="000000"/>
        </w:rPr>
        <w:pict>
          <v:shape id="_x0000_s2050" o:spid="_x0000_s2050" o:spt="136" type="#_x0000_t136" style="position:absolute;left:0pt;margin-left:33.7pt;margin-top:14.4pt;height:42.8pt;width:385.25pt;z-index:251659264;mso-width-relative:page;mso-height-relative:page;" fillcolor="#FF0000" filled="t" stroked="t" coordsize="21600,21600" adj="10800">
            <v:path/>
            <v:fill on="t" color2="#FFFFFF" focussize="0,0"/>
            <v:stroke color="#FF0000"/>
            <v:imagedata o:title=""/>
            <o:lock v:ext="edit" aspectratio="f"/>
            <v:textpath on="t" fitshape="t" fitpath="t" trim="t" xscale="f" string="三亚崖州湾科技城管理局文件" style="font-family:宋体;font-size:32pt;font-weight:bold;v-rotate-letters:f;v-same-letter-heights:f;v-text-align:center;v-text-spacing:58985f;"/>
          </v:shape>
        </w:pict>
      </w:r>
    </w:p>
    <w:p>
      <w:pPr>
        <w:keepNext w:val="0"/>
        <w:keepLines w:val="0"/>
        <w:pageBreakBefore w:val="0"/>
        <w:widowControl w:val="0"/>
        <w:tabs>
          <w:tab w:val="left" w:pos="1665"/>
        </w:tabs>
        <w:kinsoku/>
        <w:wordWrap/>
        <w:overflowPunct/>
        <w:topLinePunct w:val="0"/>
        <w:autoSpaceDE/>
        <w:autoSpaceDN/>
        <w:bidi w:val="0"/>
        <w:adjustRightInd/>
        <w:snapToGrid/>
        <w:spacing w:beforeAutospacing="0" w:afterAutospacing="0" w:line="578" w:lineRule="exact"/>
        <w:textAlignment w:val="auto"/>
        <w:outlineLvl w:val="9"/>
        <w:rPr>
          <w:rFonts w:hint="default" w:ascii="Times New Roman" w:hAnsi="Times New Roman" w:cs="Times New Roman"/>
          <w:color w:val="000000"/>
        </w:rPr>
      </w:pP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textAlignment w:val="auto"/>
        <w:outlineLvl w:val="9"/>
        <w:rPr>
          <w:rFonts w:hint="default" w:ascii="Times New Roman" w:hAnsi="Times New Roman" w:cs="Times New Roman" w:eastAsiaTheme="minorEastAsia"/>
          <w:color w:val="000000"/>
          <w:lang w:val="en-US" w:eastAsia="zh-CN"/>
        </w:rPr>
      </w:pPr>
    </w:p>
    <w:p>
      <w:pPr>
        <w:pStyle w:val="30"/>
        <w:keepNext w:val="0"/>
        <w:keepLines w:val="0"/>
        <w:pageBreakBefore w:val="0"/>
        <w:widowControl w:val="0"/>
        <w:kinsoku/>
        <w:wordWrap/>
        <w:overflowPunct/>
        <w:topLinePunct w:val="0"/>
        <w:autoSpaceDE/>
        <w:autoSpaceDN/>
        <w:bidi w:val="0"/>
        <w:adjustRightInd/>
        <w:snapToGrid/>
        <w:spacing w:afterLines="0" w:line="578" w:lineRule="exact"/>
        <w:jc w:val="both"/>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jc w:val="center"/>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仿宋_GB2312" w:cs="Times New Roman"/>
          <w:sz w:val="32"/>
          <w:szCs w:val="32"/>
        </w:rPr>
        <w:t>三</w:t>
      </w:r>
      <w:r>
        <w:rPr>
          <w:rFonts w:hint="default" w:ascii="Times New Roman" w:hAnsi="Times New Roman" w:eastAsia="仿宋_GB2312" w:cs="Times New Roman"/>
          <w:sz w:val="32"/>
          <w:szCs w:val="32"/>
          <w:lang w:val="en-US" w:eastAsia="zh-CN"/>
        </w:rPr>
        <w:t>科技城</w:t>
      </w:r>
      <w:r>
        <w:rPr>
          <w:rFonts w:hint="eastAsia" w:ascii="Times New Roman" w:hAnsi="Times New Roman" w:eastAsia="仿宋_GB2312" w:cs="Times New Roman"/>
          <w:sz w:val="32"/>
          <w:szCs w:val="32"/>
          <w:lang w:val="en-US" w:eastAsia="zh-CN"/>
        </w:rPr>
        <w:t>规</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号</w:t>
      </w:r>
    </w:p>
    <w:p>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210" w:firstLineChars="100"/>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cs="Times New Roman"/>
          <w:color w:val="000000"/>
        </w:rPr>
        <mc:AlternateContent>
          <mc:Choice Requires="wps">
            <w:drawing>
              <wp:anchor distT="0" distB="0" distL="114300" distR="114300" simplePos="0" relativeHeight="251658240" behindDoc="0" locked="0" layoutInCell="1" allowOverlap="1">
                <wp:simplePos x="0" y="0"/>
                <wp:positionH relativeFrom="column">
                  <wp:posOffset>200660</wp:posOffset>
                </wp:positionH>
                <wp:positionV relativeFrom="paragraph">
                  <wp:posOffset>0</wp:posOffset>
                </wp:positionV>
                <wp:extent cx="5285105" cy="0"/>
                <wp:effectExtent l="0" t="9525" r="10795" b="9525"/>
                <wp:wrapNone/>
                <wp:docPr id="1" name="直接连接符 1"/>
                <wp:cNvGraphicFramePr/>
                <a:graphic xmlns:a="http://schemas.openxmlformats.org/drawingml/2006/main">
                  <a:graphicData uri="http://schemas.microsoft.com/office/word/2010/wordprocessingShape">
                    <wps:wsp>
                      <wps:cNvCnPr/>
                      <wps:spPr>
                        <a:xfrm>
                          <a:off x="0" y="0"/>
                          <a:ext cx="5285105"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5.8pt;margin-top:0pt;height:0pt;width:416.15pt;z-index:251658240;mso-width-relative:page;mso-height-relative:page;" filled="f" stroked="t" coordsize="21600,21600" o:gfxdata="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l+H+TUAAAABAEAAA8AAAAAAAAAAQAgAAAAIgAAAGRycy9kb3ducmV2LnhtbFBLAQIU&#10;ABQAAAAIAIdO4kBmx2ef9wEAAOUDAAAOAAAAAAAAAAEAIAAAACMBAABkcnMvZTJvRG9jLnhtbFBL&#10;BQYAAAAABgAGAFkBAACMBQAAAAA=&#10;">
                <v:fill on="f" focussize="0,0"/>
                <v:stroke weight="1.5pt" color="#FF0000" joinstyle="round"/>
                <v:imagedata o:title=""/>
                <o:lock v:ext="edit" aspectratio="f"/>
              </v:line>
            </w:pict>
          </mc:Fallback>
        </mc:AlternateContent>
      </w:r>
      <w:bookmarkStart w:id="0" w:name="copy_to"/>
      <w:bookmarkEnd w:id="0"/>
      <w:bookmarkStart w:id="1" w:name="Content"/>
      <w:bookmarkEnd w:id="1"/>
    </w:p>
    <w:p>
      <w:pPr>
        <w:keepNext w:val="0"/>
        <w:keepLines w:val="0"/>
        <w:pageBreakBefore w:val="0"/>
        <w:widowControl w:val="0"/>
        <w:kinsoku/>
        <w:wordWrap/>
        <w:overflowPunct/>
        <w:topLinePunct w:val="0"/>
        <w:autoSpaceDE/>
        <w:autoSpaceDN/>
        <w:bidi w:val="0"/>
        <w:adjustRightInd/>
        <w:snapToGrid/>
        <w:spacing w:line="500" w:lineRule="exact"/>
        <w:ind w:left="0"/>
        <w:jc w:val="center"/>
        <w:textAlignment w:val="auto"/>
        <w:rPr>
          <w:rFonts w:hint="eastAsia" w:ascii="方正小标宋_GBK" w:hAnsi="方正小标宋_GBK" w:eastAsia="方正小标宋_GBK" w:cs="方正小标宋_GBK"/>
          <w:b w:val="0"/>
          <w:bCs/>
          <w:i w:val="0"/>
          <w:caps w:val="0"/>
          <w:spacing w:val="0"/>
          <w:w w:val="100"/>
          <w:sz w:val="44"/>
          <w:szCs w:val="44"/>
        </w:rPr>
      </w:pPr>
      <w:r>
        <w:rPr>
          <w:rFonts w:hint="eastAsia" w:ascii="方正小标宋_GBK" w:hAnsi="方正小标宋_GBK" w:eastAsia="方正小标宋_GBK" w:cs="方正小标宋_GBK"/>
          <w:b w:val="0"/>
          <w:bCs/>
          <w:i w:val="0"/>
          <w:caps w:val="0"/>
          <w:spacing w:val="0"/>
          <w:w w:val="100"/>
          <w:sz w:val="44"/>
          <w:szCs w:val="44"/>
        </w:rPr>
        <w:t>三亚崖州湾科技城管理局</w:t>
      </w:r>
    </w:p>
    <w:p>
      <w:pPr>
        <w:keepNext w:val="0"/>
        <w:keepLines w:val="0"/>
        <w:pageBreakBefore w:val="0"/>
        <w:widowControl w:val="0"/>
        <w:kinsoku/>
        <w:wordWrap/>
        <w:overflowPunct/>
        <w:topLinePunct w:val="0"/>
        <w:autoSpaceDE/>
        <w:autoSpaceDN/>
        <w:bidi w:val="0"/>
        <w:adjustRightInd/>
        <w:snapToGrid/>
        <w:spacing w:line="500" w:lineRule="exact"/>
        <w:ind w:left="0"/>
        <w:jc w:val="center"/>
        <w:textAlignment w:val="auto"/>
        <w:rPr>
          <w:rFonts w:hint="eastAsia" w:ascii="方正小标宋_GBK" w:hAnsi="方正小标宋_GBK" w:eastAsia="方正小标宋_GBK" w:cs="方正小标宋_GBK"/>
          <w:b w:val="0"/>
          <w:bCs/>
          <w:i w:val="0"/>
          <w:caps w:val="0"/>
          <w:spacing w:val="0"/>
          <w:w w:val="100"/>
          <w:sz w:val="44"/>
          <w:szCs w:val="44"/>
        </w:rPr>
      </w:pPr>
      <w:r>
        <w:rPr>
          <w:rFonts w:hint="eastAsia" w:ascii="方正小标宋_GBK" w:hAnsi="方正小标宋_GBK" w:eastAsia="方正小标宋_GBK" w:cs="方正小标宋_GBK"/>
          <w:b w:val="0"/>
          <w:bCs/>
          <w:i w:val="0"/>
          <w:caps w:val="0"/>
          <w:spacing w:val="0"/>
          <w:w w:val="100"/>
          <w:sz w:val="44"/>
          <w:szCs w:val="44"/>
        </w:rPr>
        <w:t>关于印发《三亚崖州湾科技城关于支持开展</w:t>
      </w:r>
    </w:p>
    <w:p>
      <w:pPr>
        <w:keepNext w:val="0"/>
        <w:keepLines w:val="0"/>
        <w:pageBreakBefore w:val="0"/>
        <w:widowControl w:val="0"/>
        <w:kinsoku/>
        <w:wordWrap/>
        <w:overflowPunct/>
        <w:topLinePunct w:val="0"/>
        <w:autoSpaceDE/>
        <w:autoSpaceDN/>
        <w:bidi w:val="0"/>
        <w:adjustRightInd/>
        <w:snapToGrid/>
        <w:spacing w:line="500" w:lineRule="exact"/>
        <w:ind w:left="0"/>
        <w:jc w:val="center"/>
        <w:textAlignment w:val="auto"/>
        <w:rPr>
          <w:rFonts w:hint="eastAsia" w:ascii="方正小标宋_GBK" w:hAnsi="方正小标宋_GBK" w:eastAsia="方正小标宋_GBK" w:cs="方正小标宋_GBK"/>
          <w:b w:val="0"/>
          <w:bCs/>
          <w:i w:val="0"/>
          <w:caps w:val="0"/>
          <w:spacing w:val="0"/>
          <w:w w:val="100"/>
          <w:sz w:val="44"/>
          <w:szCs w:val="44"/>
        </w:rPr>
      </w:pPr>
      <w:r>
        <w:rPr>
          <w:rFonts w:hint="eastAsia" w:ascii="方正小标宋_GBK" w:hAnsi="方正小标宋_GBK" w:eastAsia="方正小标宋_GBK" w:cs="方正小标宋_GBK"/>
          <w:b w:val="0"/>
          <w:bCs/>
          <w:i w:val="0"/>
          <w:caps w:val="0"/>
          <w:spacing w:val="0"/>
          <w:w w:val="100"/>
          <w:sz w:val="44"/>
          <w:szCs w:val="44"/>
        </w:rPr>
        <w:t>有害生物风险评估的鼓励措施》的通知</w:t>
      </w:r>
    </w:p>
    <w:p>
      <w:pPr>
        <w:keepNext w:val="0"/>
        <w:keepLines w:val="0"/>
        <w:pageBreakBefore w:val="0"/>
        <w:widowControl w:val="0"/>
        <w:kinsoku/>
        <w:wordWrap/>
        <w:overflowPunct/>
        <w:topLinePunct w:val="0"/>
        <w:autoSpaceDE/>
        <w:autoSpaceDN/>
        <w:bidi w:val="0"/>
        <w:adjustRightInd/>
        <w:snapToGrid/>
        <w:spacing w:line="462" w:lineRule="exact"/>
        <w:ind w:left="0"/>
        <w:jc w:val="both"/>
        <w:textAlignment w:val="auto"/>
        <w:rPr>
          <w:rFonts w:hint="eastAsia" w:ascii="Times New Roman" w:hAnsi="Times New Roman" w:eastAsia="仿宋_GB2312" w:cs="Times New Roman"/>
          <w:b w:val="0"/>
          <w:i w:val="0"/>
          <w:caps w:val="0"/>
          <w:spacing w:val="0"/>
          <w:w w:val="1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62" w:lineRule="exact"/>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三亚崖州湾科技城各有关单位</w:t>
      </w:r>
      <w:r>
        <w:rPr>
          <w:rFonts w:ascii="Times New Roman" w:hAnsi="Times New Roman"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462" w:lineRule="exact"/>
        <w:ind w:left="0" w:firstLine="640" w:firstLineChars="200"/>
        <w:jc w:val="both"/>
        <w:textAlignment w:val="auto"/>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sz w:val="32"/>
          <w:szCs w:val="32"/>
          <w:lang w:val="en-US" w:eastAsia="zh-CN"/>
        </w:rPr>
        <w:t>《三亚崖州湾科技城关于支持开展有害生物风险评估的鼓励措施》已经我局2025年第5次局务会审议通过，现予以印发，自2025年4月16日起生效，有效期两年，</w:t>
      </w:r>
      <w:r>
        <w:rPr>
          <w:rFonts w:hint="eastAsia" w:ascii="Times New Roman" w:eastAsia="仿宋_GB2312" w:cs="Times New Roman"/>
          <w:sz w:val="32"/>
          <w:szCs w:val="32"/>
        </w:rPr>
        <w:t>实施至</w:t>
      </w:r>
      <w:r>
        <w:rPr>
          <w:rFonts w:hint="eastAsia" w:ascii="Times New Roman" w:eastAsia="仿宋_GB2312" w:cs="Times New Roman"/>
          <w:sz w:val="32"/>
          <w:szCs w:val="32"/>
          <w:lang w:val="en-US" w:eastAsia="zh-CN"/>
        </w:rPr>
        <w:t>2027</w:t>
      </w:r>
      <w:r>
        <w:rPr>
          <w:rFonts w:hint="eastAsia" w:ascii="Times New Roman" w:eastAsia="仿宋_GB2312" w:cs="Times New Roman"/>
          <w:sz w:val="32"/>
          <w:szCs w:val="32"/>
        </w:rPr>
        <w:t>年</w:t>
      </w:r>
      <w:r>
        <w:rPr>
          <w:rFonts w:hint="default" w:ascii="Times New Roman" w:hAnsi="Times New Roman" w:eastAsia="宋体" w:cs="Times New Roman"/>
          <w:sz w:val="32"/>
          <w:szCs w:val="32"/>
          <w:lang w:val="en-US" w:eastAsia="zh-CN"/>
        </w:rPr>
        <w:t>4</w:t>
      </w:r>
      <w:r>
        <w:rPr>
          <w:rFonts w:hint="eastAsia" w:ascii="Times New Roman" w:eastAsia="仿宋_GB2312" w:cs="Times New Roman"/>
          <w:sz w:val="32"/>
          <w:szCs w:val="32"/>
        </w:rPr>
        <w:t>月</w:t>
      </w:r>
      <w:r>
        <w:rPr>
          <w:rFonts w:hint="eastAsia" w:ascii="Times New Roman" w:eastAsia="仿宋_GB2312" w:cs="Times New Roman"/>
          <w:sz w:val="32"/>
          <w:szCs w:val="32"/>
          <w:lang w:val="en-US" w:eastAsia="zh-CN"/>
        </w:rPr>
        <w:t>15</w:t>
      </w:r>
      <w:r>
        <w:rPr>
          <w:rFonts w:hint="eastAsia" w:ascii="Times New Roman" w:eastAsia="仿宋_GB2312" w:cs="Times New Roman"/>
          <w:sz w:val="32"/>
          <w:szCs w:val="32"/>
        </w:rPr>
        <w:t>日</w:t>
      </w:r>
      <w:r>
        <w:rPr>
          <w:rFonts w:hint="eastAsia" w:ascii="Times New Roman" w:hAnsi="Times New Roman"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462" w:lineRule="exact"/>
        <w:ind w:left="0"/>
        <w:jc w:val="both"/>
        <w:textAlignment w:val="auto"/>
        <w:rPr>
          <w:rFonts w:hint="eastAsia" w:ascii="Times New Roman" w:hAnsi="Times New Roman" w:eastAsia="仿宋_GB2312" w:cs="Times New Roman"/>
          <w:b w:val="0"/>
          <w:i w:val="0"/>
          <w:caps w:val="0"/>
          <w:spacing w:val="0"/>
          <w:w w:val="1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62" w:lineRule="exact"/>
        <w:ind w:left="0"/>
        <w:jc w:val="both"/>
        <w:textAlignment w:val="auto"/>
        <w:rPr>
          <w:rFonts w:hint="eastAsia" w:ascii="Times New Roman" w:hAnsi="Times New Roman" w:eastAsia="仿宋_GB2312" w:cs="Times New Roman"/>
          <w:b w:val="0"/>
          <w:i w:val="0"/>
          <w:caps w:val="0"/>
          <w:spacing w:val="0"/>
          <w:w w:val="1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62" w:lineRule="exact"/>
        <w:ind w:left="0"/>
        <w:jc w:val="both"/>
        <w:textAlignment w:val="auto"/>
        <w:rPr>
          <w:rFonts w:hint="eastAsia" w:ascii="Times New Roman" w:hAnsi="Times New Roman" w:eastAsia="仿宋_GB2312" w:cs="Times New Roman"/>
          <w:b w:val="0"/>
          <w:i w:val="0"/>
          <w:caps w:val="0"/>
          <w:spacing w:val="0"/>
          <w:w w:val="1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62" w:lineRule="exact"/>
        <w:ind w:left="0" w:firstLine="4560" w:firstLineChars="1425"/>
        <w:jc w:val="both"/>
        <w:textAlignment w:val="auto"/>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三亚崖州湾科技城管理局</w:t>
      </w:r>
    </w:p>
    <w:p>
      <w:pPr>
        <w:pStyle w:val="2"/>
        <w:keepNext w:val="0"/>
        <w:keepLines w:val="0"/>
        <w:pageBreakBefore w:val="0"/>
        <w:widowControl w:val="0"/>
        <w:kinsoku/>
        <w:wordWrap/>
        <w:overflowPunct/>
        <w:topLinePunct w:val="0"/>
        <w:autoSpaceDE/>
        <w:autoSpaceDN/>
        <w:bidi w:val="0"/>
        <w:adjustRightInd/>
        <w:snapToGrid/>
        <w:spacing w:line="462" w:lineRule="exact"/>
        <w:ind w:left="0" w:firstLine="5120" w:firstLineChars="1600"/>
        <w:jc w:val="both"/>
        <w:textAlignment w:val="auto"/>
        <w:rPr>
          <w:rFonts w:hint="eastAsia" w:ascii="Times New Roman" w:hAnsi="Times New Roman" w:eastAsia="仿宋_GB2312" w:cs="Times New Roman"/>
          <w:b w:val="0"/>
          <w:i w:val="0"/>
          <w:caps w:val="0"/>
          <w:spacing w:val="0"/>
          <w:w w:val="100"/>
          <w:sz w:val="32"/>
          <w:szCs w:val="32"/>
          <w:lang w:val="en-US" w:eastAsia="zh-CN"/>
        </w:rPr>
      </w:pPr>
      <w:r>
        <w:rPr>
          <w:rFonts w:hint="eastAsia" w:ascii="Times New Roman" w:hAnsi="Times New Roman" w:eastAsia="仿宋_GB2312" w:cs="Times New Roman"/>
          <w:b w:val="0"/>
          <w:i w:val="0"/>
          <w:caps w:val="0"/>
          <w:spacing w:val="0"/>
          <w:w w:val="100"/>
          <w:sz w:val="32"/>
          <w:szCs w:val="32"/>
          <w:lang w:val="en-US" w:eastAsia="zh-CN"/>
        </w:rPr>
        <w:t>2025年4月15日</w:t>
      </w:r>
    </w:p>
    <w:p>
      <w:pPr>
        <w:keepNext w:val="0"/>
        <w:keepLines w:val="0"/>
        <w:pageBreakBefore w:val="0"/>
        <w:widowControl w:val="0"/>
        <w:numPr>
          <w:ilvl w:val="0"/>
          <w:numId w:val="0"/>
        </w:numPr>
        <w:kinsoku/>
        <w:wordWrap/>
        <w:overflowPunct/>
        <w:topLinePunct w:val="0"/>
        <w:autoSpaceDE/>
        <w:autoSpaceDN/>
        <w:bidi w:val="0"/>
        <w:adjustRightInd/>
        <w:snapToGrid/>
        <w:spacing w:line="462" w:lineRule="exact"/>
        <w:ind w:right="0" w:rightChars="0" w:firstLine="640" w:firstLineChars="200"/>
        <w:jc w:val="both"/>
        <w:textAlignment w:val="auto"/>
        <w:rPr>
          <w:rFonts w:hint="default" w:ascii="Times New Roman" w:hAnsi="Times New Roman" w:eastAsia="仿宋_GB2312" w:cs="Times New Roman"/>
          <w:kern w:val="0"/>
          <w:sz w:val="32"/>
          <w:szCs w:val="32"/>
          <w:lang w:val="en-US" w:eastAsia="zh-CN" w:bidi="en-US"/>
        </w:rPr>
      </w:pPr>
      <w:r>
        <w:rPr>
          <w:rFonts w:hint="eastAsia" w:ascii="Times New Roman" w:hAnsi="Times New Roman" w:eastAsia="仿宋_GB2312" w:cs="Times New Roman"/>
          <w:kern w:val="0"/>
          <w:sz w:val="32"/>
          <w:szCs w:val="32"/>
          <w:lang w:val="en-US" w:eastAsia="zh-CN" w:bidi="en-US"/>
        </w:rPr>
        <w:t>（此件主动公开）</w:t>
      </w:r>
    </w:p>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三亚崖州湾科技城</w:t>
      </w:r>
    </w:p>
    <w:p>
      <w:pPr>
        <w:keepNext w:val="0"/>
        <w:keepLines w:val="0"/>
        <w:pageBreakBefore w:val="0"/>
        <w:widowControl w:val="0"/>
        <w:kinsoku/>
        <w:wordWrap/>
        <w:overflowPunct/>
        <w:topLinePunct w:val="0"/>
        <w:autoSpaceDE/>
        <w:autoSpaceDN/>
        <w:bidi w:val="0"/>
        <w:adjustRightInd/>
        <w:snapToGrid/>
        <w:spacing w:line="578" w:lineRule="exact"/>
        <w:ind w:left="0"/>
        <w:jc w:val="center"/>
        <w:textAlignment w:val="auto"/>
        <w:rPr>
          <w:rFonts w:hint="eastAsia" w:ascii="方正小标宋_GBK" w:hAnsi="方正小标宋_GBK" w:eastAsia="方正小标宋_GBK" w:cs="方正小标宋_GBK"/>
          <w:sz w:val="28"/>
          <w:szCs w:val="28"/>
        </w:rPr>
      </w:pPr>
      <w:r>
        <w:rPr>
          <w:rFonts w:hint="eastAsia" w:ascii="方正小标宋_GBK" w:hAnsi="方正小标宋_GBK" w:eastAsia="方正小标宋_GBK" w:cs="方正小标宋_GBK"/>
          <w:sz w:val="44"/>
          <w:szCs w:val="44"/>
        </w:rPr>
        <w:t>关于支持开展有害生物风险评估的鼓励措施</w:t>
      </w:r>
    </w:p>
    <w:p>
      <w:pPr>
        <w:keepNext w:val="0"/>
        <w:keepLines w:val="0"/>
        <w:pageBreakBefore w:val="0"/>
        <w:widowControl w:val="0"/>
        <w:kinsoku/>
        <w:wordWrap/>
        <w:overflowPunct/>
        <w:topLinePunct w:val="0"/>
        <w:autoSpaceDE/>
        <w:autoSpaceDN/>
        <w:bidi w:val="0"/>
        <w:adjustRightInd/>
        <w:snapToGrid/>
        <w:spacing w:beforeAutospacing="0" w:afterAutospacing="0" w:line="578" w:lineRule="exact"/>
        <w:ind w:left="0"/>
        <w:jc w:val="both"/>
        <w:textAlignment w:val="auto"/>
        <w:outlineLvl w:val="9"/>
        <w:rPr>
          <w:rFonts w:hint="eastAsia" w:ascii="Times New Roman" w:hAnsi="Times New Roman" w:eastAsia="方正小标宋_GBK" w:cs="Times New Roman"/>
          <w:b w:val="0"/>
          <w:kern w:val="2"/>
          <w:sz w:val="44"/>
          <w:szCs w:val="44"/>
          <w:lang w:val="en-US" w:eastAsia="zh-CN" w:bidi="ar-SA"/>
        </w:rPr>
      </w:pPr>
    </w:p>
    <w:p>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left="0" w:firstLine="643" w:firstLineChars="200"/>
        <w:textAlignment w:val="auto"/>
        <w:rPr>
          <w:rFonts w:hint="eastAsia" w:ascii="Times New Roman" w:hAnsi="Times New Roman" w:eastAsia="仿宋_GB2312" w:cs="仿宋_GB2312"/>
          <w:spacing w:val="0"/>
          <w:kern w:val="0"/>
          <w:sz w:val="32"/>
          <w:szCs w:val="32"/>
        </w:rPr>
      </w:pPr>
      <w:r>
        <w:rPr>
          <w:rFonts w:hint="eastAsia" w:ascii="Times New Roman" w:hAnsi="Times New Roman" w:eastAsia="仿宋_GB2312" w:cs="仿宋_GB2312"/>
          <w:b/>
          <w:bCs/>
          <w:spacing w:val="0"/>
          <w:kern w:val="0"/>
          <w:sz w:val="32"/>
          <w:szCs w:val="32"/>
        </w:rPr>
        <w:t>【制定目的】</w:t>
      </w:r>
      <w:r>
        <w:rPr>
          <w:rFonts w:hint="eastAsia" w:ascii="Times New Roman" w:hAnsi="Times New Roman" w:eastAsia="仿宋_GB2312" w:cs="仿宋_GB2312"/>
          <w:spacing w:val="0"/>
          <w:kern w:val="0"/>
          <w:sz w:val="32"/>
          <w:szCs w:val="32"/>
        </w:rPr>
        <w:t>为深入贯彻习近平总书记关于建设</w:t>
      </w:r>
      <w:r>
        <w:rPr>
          <w:rFonts w:hint="eastAsia" w:ascii="Times New Roman" w:hAnsi="Times New Roman" w:eastAsia="仿宋_GB2312" w:cs="仿宋_GB2312"/>
          <w:spacing w:val="0"/>
          <w:kern w:val="0"/>
          <w:sz w:val="32"/>
          <w:szCs w:val="32"/>
          <w:lang w:val="en-US" w:eastAsia="zh-CN"/>
        </w:rPr>
        <w:t xml:space="preserve">  </w:t>
      </w:r>
      <w:r>
        <w:rPr>
          <w:rFonts w:hint="eastAsia" w:ascii="Times New Roman" w:hAnsi="Times New Roman" w:eastAsia="仿宋_GB2312" w:cs="仿宋_GB2312"/>
          <w:spacing w:val="0"/>
          <w:kern w:val="0"/>
          <w:sz w:val="32"/>
          <w:szCs w:val="32"/>
        </w:rPr>
        <w:t>“全球动植物种质资源引进中转基地”“南繁硅谷”的重要指示，全力落实《海南自由贸易港建设总体方案》《国家南繁硅谷建设规划（</w:t>
      </w:r>
      <w:r>
        <w:rPr>
          <w:rFonts w:ascii="Times New Roman" w:hAnsi="Times New Roman" w:eastAsia="仿宋_GB2312"/>
          <w:spacing w:val="0"/>
          <w:kern w:val="0"/>
          <w:sz w:val="32"/>
          <w:szCs w:val="32"/>
        </w:rPr>
        <w:t>2023—2030</w:t>
      </w:r>
      <w:r>
        <w:rPr>
          <w:rFonts w:hint="eastAsia" w:ascii="Times New Roman" w:hAnsi="Times New Roman" w:eastAsia="仿宋_GB2312" w:cs="仿宋_GB2312"/>
          <w:spacing w:val="0"/>
          <w:kern w:val="0"/>
          <w:sz w:val="32"/>
          <w:szCs w:val="32"/>
        </w:rPr>
        <w:t>年）》等重大国家战略任务，聚焦引种堵点难点，帮助市场主体解决从国外引进农作物和林草种子、苗木成本高的问题，进一步激发市场主体引种积极性，促进种业高质量发展，结合三亚崖州湾科技城（以下简称“科技城”）实际，三亚崖州湾科技城管理局（以下简称“管理局”）特制定本措施。</w:t>
      </w:r>
    </w:p>
    <w:p>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left="0" w:firstLine="643" w:firstLineChars="200"/>
        <w:textAlignment w:val="auto"/>
        <w:rPr>
          <w:rFonts w:hint="eastAsia" w:ascii="Times New Roman" w:hAnsi="Times New Roman" w:eastAsia="仿宋_GB2312" w:cs="仿宋_GB2312"/>
          <w:spacing w:val="0"/>
          <w:kern w:val="0"/>
          <w:sz w:val="32"/>
          <w:szCs w:val="32"/>
        </w:rPr>
      </w:pPr>
      <w:r>
        <w:rPr>
          <w:rFonts w:hint="eastAsia" w:ascii="Times New Roman" w:hAnsi="Times New Roman" w:eastAsia="仿宋_GB2312" w:cs="仿宋_GB2312"/>
          <w:b/>
          <w:bCs/>
          <w:spacing w:val="0"/>
          <w:kern w:val="0"/>
          <w:sz w:val="32"/>
          <w:szCs w:val="32"/>
        </w:rPr>
        <w:t>【适用范围】</w:t>
      </w:r>
      <w:r>
        <w:rPr>
          <w:rFonts w:hint="eastAsia" w:ascii="Times New Roman" w:hAnsi="Times New Roman" w:eastAsia="仿宋_GB2312" w:cs="仿宋_GB2312"/>
          <w:spacing w:val="0"/>
          <w:kern w:val="0"/>
          <w:sz w:val="32"/>
          <w:szCs w:val="32"/>
        </w:rPr>
        <w:t>本措施施行后，对从国（境）外引进农作物和林草种子、苗木，并根据农业农村、林业草原、海关等主管部门要求开展有害生物风险评估（以下简称“风险评估”）的主体，给予当年度开展风险评估实际支付费用</w:t>
      </w:r>
      <w:r>
        <w:rPr>
          <w:rFonts w:ascii="Times New Roman" w:hAnsi="Times New Roman" w:eastAsia="仿宋_GB2312"/>
          <w:spacing w:val="0"/>
          <w:kern w:val="0"/>
          <w:sz w:val="32"/>
          <w:szCs w:val="32"/>
        </w:rPr>
        <w:t>50%的一次性奖励</w:t>
      </w:r>
      <w:r>
        <w:rPr>
          <w:rFonts w:hint="eastAsia" w:ascii="Times New Roman" w:hAnsi="Times New Roman" w:eastAsia="仿宋_GB2312"/>
          <w:spacing w:val="0"/>
          <w:kern w:val="0"/>
          <w:sz w:val="32"/>
          <w:szCs w:val="32"/>
        </w:rPr>
        <w:t>，单个项目风险评估奖励金额最高不超过10万元</w:t>
      </w:r>
      <w:r>
        <w:rPr>
          <w:rFonts w:ascii="Times New Roman" w:hAnsi="Times New Roman" w:eastAsia="仿宋_GB2312"/>
          <w:spacing w:val="0"/>
          <w:kern w:val="0"/>
          <w:sz w:val="32"/>
          <w:szCs w:val="32"/>
        </w:rPr>
        <w:t>，单个主体每年奖励总额最高不超过50万元</w:t>
      </w:r>
      <w:r>
        <w:rPr>
          <w:rFonts w:hint="eastAsia" w:ascii="Times New Roman" w:hAnsi="Times New Roman" w:eastAsia="仿宋_GB2312" w:cs="仿宋_GB2312"/>
          <w:spacing w:val="0"/>
          <w:kern w:val="0"/>
          <w:sz w:val="32"/>
          <w:szCs w:val="32"/>
        </w:rPr>
        <w:t>。申报奖励的主体（以下简称“申报主体”）</w:t>
      </w:r>
      <w:r>
        <w:rPr>
          <w:rFonts w:ascii="Times New Roman" w:hAnsi="Times New Roman" w:eastAsia="仿宋_GB2312"/>
          <w:spacing w:val="0"/>
          <w:kern w:val="0"/>
          <w:sz w:val="32"/>
          <w:szCs w:val="32"/>
        </w:rPr>
        <w:t>按照本措施要求提交申报材料的时间应不晚于</w:t>
      </w:r>
      <w:r>
        <w:rPr>
          <w:rFonts w:hint="eastAsia" w:ascii="Times New Roman" w:hAnsi="Times New Roman" w:eastAsia="仿宋_GB2312"/>
          <w:spacing w:val="0"/>
          <w:kern w:val="0"/>
          <w:sz w:val="32"/>
          <w:szCs w:val="32"/>
        </w:rPr>
        <w:t>本措施有效期</w:t>
      </w:r>
      <w:r>
        <w:rPr>
          <w:rFonts w:hint="eastAsia" w:ascii="Times New Roman" w:hAnsi="Times New Roman" w:eastAsia="仿宋_GB2312" w:cs="仿宋_GB2312"/>
          <w:spacing w:val="0"/>
          <w:kern w:val="0"/>
          <w:sz w:val="32"/>
          <w:szCs w:val="32"/>
        </w:rPr>
        <w:t>。</w:t>
      </w:r>
    </w:p>
    <w:p>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left="0" w:firstLine="643" w:firstLineChars="200"/>
        <w:textAlignment w:val="auto"/>
        <w:rPr>
          <w:rFonts w:hint="eastAsia" w:ascii="Times New Roman" w:hAnsi="Times New Roman" w:eastAsia="仿宋_GB2312" w:cs="仿宋_GB2312"/>
          <w:spacing w:val="0"/>
          <w:kern w:val="0"/>
          <w:sz w:val="32"/>
          <w:szCs w:val="32"/>
        </w:rPr>
      </w:pPr>
      <w:r>
        <w:rPr>
          <w:rFonts w:hint="eastAsia" w:ascii="Times New Roman" w:hAnsi="Times New Roman" w:eastAsia="仿宋_GB2312" w:cs="仿宋_GB2312"/>
          <w:b/>
          <w:bCs/>
          <w:spacing w:val="0"/>
          <w:kern w:val="0"/>
          <w:sz w:val="32"/>
          <w:szCs w:val="32"/>
        </w:rPr>
        <w:t>【适用对象】</w:t>
      </w:r>
      <w:r>
        <w:rPr>
          <w:rFonts w:hint="eastAsia" w:ascii="Times New Roman" w:hAnsi="Times New Roman" w:eastAsia="仿宋_GB2312" w:cs="仿宋_GB2312"/>
          <w:spacing w:val="0"/>
          <w:kern w:val="0"/>
          <w:sz w:val="32"/>
          <w:szCs w:val="32"/>
        </w:rPr>
        <w:t>申报主体应同时符合以下条件：</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textAlignment w:val="auto"/>
        <w:rPr>
          <w:rFonts w:hint="eastAsia" w:ascii="Times New Roman" w:hAnsi="Times New Roman" w:eastAsia="仿宋_GB2312" w:cs="仿宋_GB2312"/>
          <w:spacing w:val="0"/>
          <w:kern w:val="0"/>
          <w:sz w:val="32"/>
          <w:szCs w:val="32"/>
        </w:rPr>
      </w:pPr>
      <w:r>
        <w:rPr>
          <w:rFonts w:hint="eastAsia" w:ascii="楷体_GB2312" w:hAnsi="楷体_GB2312" w:eastAsia="楷体_GB2312" w:cs="楷体_GB2312"/>
          <w:spacing w:val="0"/>
          <w:kern w:val="0"/>
          <w:sz w:val="32"/>
          <w:szCs w:val="32"/>
        </w:rPr>
        <w:t>（一）</w:t>
      </w:r>
      <w:r>
        <w:rPr>
          <w:rFonts w:hint="eastAsia" w:ascii="Times New Roman" w:hAnsi="Times New Roman" w:eastAsia="仿宋_GB2312" w:cs="仿宋_GB2312"/>
          <w:spacing w:val="0"/>
          <w:kern w:val="0"/>
          <w:sz w:val="32"/>
          <w:szCs w:val="32"/>
        </w:rPr>
        <w:t>依法设立登记的企业事业单位（含分支机构）。自开展风险评估之日起至奖励资金拨付之日止，须在科技城内实质性运营。</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textAlignment w:val="auto"/>
        <w:rPr>
          <w:rFonts w:hint="eastAsia" w:ascii="Times New Roman" w:hAnsi="Times New Roman" w:eastAsia="仿宋_GB2312" w:cs="仿宋_GB2312"/>
          <w:spacing w:val="0"/>
          <w:kern w:val="0"/>
          <w:sz w:val="32"/>
          <w:szCs w:val="32"/>
        </w:rPr>
      </w:pPr>
      <w:r>
        <w:rPr>
          <w:rFonts w:hint="eastAsia" w:ascii="Times New Roman" w:hAnsi="Times New Roman" w:eastAsia="仿宋_GB2312" w:cs="仿宋_GB2312"/>
          <w:spacing w:val="0"/>
          <w:kern w:val="0"/>
          <w:sz w:val="32"/>
          <w:szCs w:val="32"/>
        </w:rPr>
        <w:t>（二）根据农业农村、林业草原、海关等主管部门要求需开展风险评估且实际已开展。</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textAlignment w:val="auto"/>
        <w:rPr>
          <w:rFonts w:ascii="Times New Roman" w:hAnsi="Times New Roman" w:eastAsia="仿宋_GB2312" w:cs="仿宋_GB2312"/>
          <w:spacing w:val="0"/>
          <w:kern w:val="0"/>
          <w:sz w:val="32"/>
          <w:szCs w:val="32"/>
        </w:rPr>
      </w:pPr>
      <w:r>
        <w:rPr>
          <w:rFonts w:hint="eastAsia" w:ascii="Times New Roman" w:hAnsi="Times New Roman" w:eastAsia="仿宋_GB2312" w:cs="仿宋_GB2312"/>
          <w:spacing w:val="0"/>
          <w:kern w:val="0"/>
          <w:sz w:val="32"/>
          <w:szCs w:val="32"/>
        </w:rPr>
        <w:t>已开展风险评估且已完成检疫审批手续的，需取得植物检疫机构颁发的《国（境）外引进农业种苗检疫审批单》或《国外引进林草种子、苗木检疫审批单》或《进境动植物检疫审批许可证》，且隔离种植地区应为海南省。已开展风险评估但植物检疫机构不予通过检疫审批的，需取得植物检疫机构颁发的《不予行政许可决定书》且每年以《不予行政许可决定书》作为申报材料申报奖励的，单个申报主体仅可申报</w:t>
      </w:r>
      <w:r>
        <w:rPr>
          <w:rFonts w:hint="eastAsia" w:ascii="Times New Roman" w:hAnsi="Times New Roman" w:eastAsia="仿宋_GB2312"/>
          <w:spacing w:val="0"/>
          <w:kern w:val="0"/>
          <w:sz w:val="32"/>
          <w:szCs w:val="32"/>
        </w:rPr>
        <w:t>1项</w:t>
      </w:r>
      <w:r>
        <w:rPr>
          <w:rFonts w:hint="eastAsia" w:ascii="Times New Roman" w:hAnsi="Times New Roman" w:eastAsia="仿宋_GB2312" w:cs="仿宋_GB2312"/>
          <w:spacing w:val="0"/>
          <w:kern w:val="0"/>
          <w:sz w:val="32"/>
          <w:szCs w:val="32"/>
        </w:rPr>
        <w:t>；</w:t>
      </w:r>
      <w:r>
        <w:rPr>
          <w:rFonts w:ascii="Times New Roman" w:hAnsi="Times New Roman" w:eastAsia="仿宋_GB2312"/>
          <w:spacing w:val="0"/>
          <w:kern w:val="0"/>
          <w:sz w:val="32"/>
          <w:szCs w:val="32"/>
        </w:rPr>
        <w:t>同一风险评估合同服务方出具的风险评估报告不超过2</w:t>
      </w:r>
      <w:r>
        <w:rPr>
          <w:rFonts w:hint="eastAsia" w:ascii="Times New Roman" w:hAnsi="Times New Roman" w:eastAsia="仿宋_GB2312" w:cs="仿宋_GB2312"/>
          <w:spacing w:val="0"/>
          <w:kern w:val="0"/>
          <w:sz w:val="32"/>
          <w:szCs w:val="32"/>
        </w:rPr>
        <w:t>项，即不同申报主体依据同一风险评估合同服务方的风险评估报告及《不予行政许可决定书》等材料申报奖励在同一年度内已达</w:t>
      </w:r>
      <w:r>
        <w:rPr>
          <w:rFonts w:ascii="Times New Roman" w:hAnsi="Times New Roman" w:eastAsia="仿宋_GB2312"/>
          <w:spacing w:val="0"/>
          <w:kern w:val="0"/>
          <w:sz w:val="32"/>
          <w:szCs w:val="32"/>
        </w:rPr>
        <w:t>2</w:t>
      </w:r>
      <w:r>
        <w:rPr>
          <w:rFonts w:hint="eastAsia" w:ascii="Times New Roman" w:hAnsi="Times New Roman" w:eastAsia="仿宋_GB2312" w:cs="仿宋_GB2312"/>
          <w:spacing w:val="0"/>
          <w:kern w:val="0"/>
          <w:sz w:val="32"/>
          <w:szCs w:val="32"/>
        </w:rPr>
        <w:t>项的，后续申报主体依据该风险评估合同服务方的风险评估报告及《不予行政许可决定书》等材料申报奖励的将不予支持。</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textAlignment w:val="auto"/>
        <w:rPr>
          <w:rFonts w:hint="eastAsia" w:ascii="Times New Roman" w:hAnsi="Times New Roman" w:eastAsia="仿宋_GB2312" w:cs="仿宋_GB2312"/>
          <w:spacing w:val="0"/>
          <w:kern w:val="0"/>
          <w:sz w:val="32"/>
          <w:szCs w:val="32"/>
        </w:rPr>
      </w:pPr>
      <w:r>
        <w:rPr>
          <w:rFonts w:hint="eastAsia" w:ascii="Times New Roman" w:hAnsi="Times New Roman" w:eastAsia="仿宋_GB2312" w:cs="仿宋_GB2312"/>
          <w:spacing w:val="0"/>
          <w:kern w:val="0"/>
          <w:sz w:val="32"/>
          <w:szCs w:val="32"/>
        </w:rPr>
        <w:t>（三）申报主体与申请从国（境）外引进农作物和林草种子、苗木检疫审批的主体一致。</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textAlignment w:val="auto"/>
        <w:rPr>
          <w:rFonts w:hint="eastAsia" w:ascii="Times New Roman" w:hAnsi="Times New Roman" w:eastAsia="仿宋_GB2312" w:cs="仿宋_GB2312"/>
          <w:spacing w:val="0"/>
          <w:kern w:val="0"/>
          <w:sz w:val="32"/>
          <w:szCs w:val="32"/>
        </w:rPr>
      </w:pPr>
      <w:r>
        <w:rPr>
          <w:rFonts w:hint="eastAsia" w:ascii="Times New Roman" w:hAnsi="Times New Roman" w:eastAsia="仿宋_GB2312" w:cs="仿宋_GB2312"/>
          <w:spacing w:val="0"/>
          <w:kern w:val="0"/>
          <w:sz w:val="32"/>
          <w:szCs w:val="32"/>
        </w:rPr>
        <w:t>（四）申报及奖励资金拨付时，申报主体未被列入严重失信主体名单或</w:t>
      </w:r>
      <w:r>
        <w:rPr>
          <w:rFonts w:ascii="Times New Roman" w:hAnsi="Times New Roman" w:eastAsia="仿宋_GB2312"/>
          <w:color w:val="000000"/>
          <w:spacing w:val="0"/>
          <w:kern w:val="0"/>
          <w:sz w:val="32"/>
          <w:szCs w:val="32"/>
        </w:rPr>
        <w:t>失信被执行人</w:t>
      </w:r>
      <w:r>
        <w:rPr>
          <w:rFonts w:hint="eastAsia" w:ascii="Times New Roman" w:hAnsi="Times New Roman" w:eastAsia="仿宋_GB2312"/>
          <w:color w:val="000000"/>
          <w:spacing w:val="0"/>
          <w:kern w:val="0"/>
          <w:sz w:val="32"/>
          <w:szCs w:val="32"/>
        </w:rPr>
        <w:t>名单。</w:t>
      </w:r>
    </w:p>
    <w:p>
      <w:pPr>
        <w:keepNext w:val="0"/>
        <w:keepLines w:val="0"/>
        <w:pageBreakBefore w:val="0"/>
        <w:widowControl w:val="0"/>
        <w:kinsoku/>
        <w:wordWrap/>
        <w:overflowPunct/>
        <w:topLinePunct w:val="0"/>
        <w:autoSpaceDE/>
        <w:autoSpaceDN/>
        <w:bidi w:val="0"/>
        <w:adjustRightInd/>
        <w:snapToGrid/>
        <w:spacing w:line="578" w:lineRule="exact"/>
        <w:ind w:left="0" w:firstLine="640" w:firstLineChars="200"/>
        <w:textAlignment w:val="auto"/>
        <w:rPr>
          <w:rFonts w:hint="eastAsia" w:ascii="Times New Roman" w:hAnsi="Times New Roman" w:eastAsia="仿宋_GB2312" w:cs="仿宋_GB2312"/>
          <w:spacing w:val="0"/>
          <w:kern w:val="0"/>
          <w:sz w:val="32"/>
          <w:szCs w:val="32"/>
        </w:rPr>
      </w:pPr>
      <w:r>
        <w:rPr>
          <w:rFonts w:hint="eastAsia" w:ascii="Times New Roman" w:hAnsi="Times New Roman" w:eastAsia="仿宋_GB2312" w:cs="仿宋_GB2312"/>
          <w:spacing w:val="0"/>
          <w:kern w:val="0"/>
          <w:sz w:val="32"/>
          <w:szCs w:val="32"/>
        </w:rPr>
        <w:t>（五）申报主体与项目风险评估合同服务方不存在关联关系。</w:t>
      </w:r>
    </w:p>
    <w:p>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left="0" w:firstLine="643" w:firstLineChars="200"/>
        <w:textAlignment w:val="auto"/>
        <w:rPr>
          <w:rFonts w:ascii="Times New Roman" w:hAnsi="Times New Roman" w:eastAsia="仿宋_GB2312"/>
          <w:spacing w:val="0"/>
          <w:kern w:val="0"/>
          <w:sz w:val="32"/>
          <w:szCs w:val="32"/>
        </w:rPr>
      </w:pPr>
      <w:r>
        <w:rPr>
          <w:rFonts w:ascii="Times New Roman" w:hAnsi="Times New Roman" w:eastAsia="仿宋_GB2312"/>
          <w:b/>
          <w:bCs/>
          <w:spacing w:val="0"/>
          <w:kern w:val="0"/>
          <w:sz w:val="32"/>
          <w:szCs w:val="32"/>
        </w:rPr>
        <w:t>【申报流程】</w:t>
      </w:r>
      <w:r>
        <w:rPr>
          <w:rFonts w:ascii="Times New Roman" w:hAnsi="Times New Roman" w:eastAsia="仿宋_GB2312"/>
          <w:spacing w:val="0"/>
          <w:kern w:val="0"/>
          <w:sz w:val="32"/>
          <w:szCs w:val="32"/>
        </w:rPr>
        <w:t>管理局</w:t>
      </w:r>
      <w:r>
        <w:rPr>
          <w:rFonts w:hint="eastAsia" w:ascii="Times New Roman" w:hAnsi="Times New Roman" w:eastAsia="仿宋_GB2312"/>
          <w:spacing w:val="0"/>
          <w:kern w:val="0"/>
          <w:sz w:val="32"/>
          <w:szCs w:val="32"/>
          <w:lang w:val="en-US" w:eastAsia="zh-CN"/>
        </w:rPr>
        <w:t>通过</w:t>
      </w:r>
      <w:r>
        <w:rPr>
          <w:rFonts w:hint="eastAsia" w:ascii="Times New Roman" w:hAnsi="Times New Roman" w:eastAsia="仿宋_GB2312"/>
          <w:spacing w:val="0"/>
          <w:kern w:val="0"/>
          <w:sz w:val="32"/>
          <w:szCs w:val="32"/>
        </w:rPr>
        <w:t>海南省惠企政策兑现服务系统（</w:t>
      </w:r>
      <w:r>
        <w:rPr>
          <w:rFonts w:ascii="Times New Roman" w:hAnsi="Times New Roman" w:eastAsia="仿宋_GB2312"/>
          <w:spacing w:val="0"/>
          <w:kern w:val="0"/>
          <w:sz w:val="32"/>
          <w:szCs w:val="32"/>
        </w:rPr>
        <w:t>https://hqzc.wssp.hainan.gov.cn/#/home</w:t>
      </w:r>
      <w:r>
        <w:rPr>
          <w:rFonts w:hint="eastAsia" w:ascii="Times New Roman" w:hAnsi="Times New Roman" w:eastAsia="仿宋_GB2312"/>
          <w:spacing w:val="0"/>
          <w:kern w:val="0"/>
          <w:sz w:val="32"/>
          <w:szCs w:val="32"/>
        </w:rPr>
        <w:t>）</w:t>
      </w:r>
      <w:r>
        <w:rPr>
          <w:rFonts w:ascii="Times New Roman" w:hAnsi="Times New Roman" w:eastAsia="仿宋_GB2312"/>
          <w:spacing w:val="0"/>
          <w:kern w:val="0"/>
          <w:sz w:val="32"/>
          <w:szCs w:val="32"/>
        </w:rPr>
        <w:t>公布</w:t>
      </w:r>
      <w:r>
        <w:rPr>
          <w:rFonts w:hint="eastAsia" w:ascii="Times New Roman" w:hAnsi="Times New Roman" w:eastAsia="仿宋_GB2312"/>
          <w:spacing w:val="0"/>
          <w:kern w:val="0"/>
          <w:sz w:val="32"/>
          <w:szCs w:val="32"/>
          <w:lang w:val="en-US" w:eastAsia="zh-CN"/>
        </w:rPr>
        <w:t>线上办事指南</w:t>
      </w:r>
      <w:r>
        <w:rPr>
          <w:rFonts w:ascii="Times New Roman" w:hAnsi="Times New Roman" w:eastAsia="仿宋_GB2312"/>
          <w:spacing w:val="0"/>
          <w:kern w:val="0"/>
          <w:sz w:val="32"/>
          <w:szCs w:val="32"/>
        </w:rPr>
        <w:t>，符合条件的申报主体按通知要求在申报期限内提交申报材料，管理局</w:t>
      </w:r>
      <w:r>
        <w:rPr>
          <w:rFonts w:hint="eastAsia" w:ascii="Times New Roman" w:hAnsi="Times New Roman" w:eastAsia="仿宋_GB2312"/>
          <w:spacing w:val="0"/>
          <w:kern w:val="0"/>
          <w:sz w:val="32"/>
          <w:szCs w:val="32"/>
        </w:rPr>
        <w:t>在受理申报后的5个工作日内对申报主体提交的材料进行审核，并</w:t>
      </w:r>
      <w:r>
        <w:rPr>
          <w:rFonts w:ascii="Times New Roman" w:hAnsi="Times New Roman" w:eastAsia="仿宋_GB2312"/>
          <w:spacing w:val="0"/>
          <w:kern w:val="0"/>
          <w:sz w:val="32"/>
          <w:szCs w:val="32"/>
        </w:rPr>
        <w:t>依据《境外林草引种检疫审批风险评估管理规范》</w:t>
      </w:r>
      <w:r>
        <w:rPr>
          <w:rFonts w:hint="eastAsia" w:ascii="Times New Roman" w:hAnsi="Times New Roman" w:eastAsia="仿宋_GB2312"/>
          <w:spacing w:val="0"/>
          <w:kern w:val="0"/>
          <w:sz w:val="32"/>
          <w:szCs w:val="32"/>
        </w:rPr>
        <w:t>（</w:t>
      </w:r>
      <w:r>
        <w:rPr>
          <w:rFonts w:ascii="Times New Roman" w:hAnsi="Times New Roman" w:eastAsia="仿宋_GB2312"/>
          <w:spacing w:val="0"/>
          <w:kern w:val="0"/>
          <w:sz w:val="32"/>
          <w:szCs w:val="32"/>
        </w:rPr>
        <w:t>林生规〔2019〕6号</w:t>
      </w:r>
      <w:r>
        <w:rPr>
          <w:rFonts w:hint="eastAsia" w:ascii="Times New Roman" w:hAnsi="Times New Roman" w:eastAsia="仿宋_GB2312"/>
          <w:spacing w:val="0"/>
          <w:kern w:val="0"/>
          <w:sz w:val="32"/>
          <w:szCs w:val="32"/>
        </w:rPr>
        <w:t>）、《进境植物和植物产品风险分析管理规定（2018修正）》等相关规定</w:t>
      </w:r>
      <w:r>
        <w:rPr>
          <w:rFonts w:ascii="Times New Roman" w:hAnsi="Times New Roman" w:eastAsia="仿宋_GB2312"/>
          <w:spacing w:val="0"/>
          <w:kern w:val="0"/>
          <w:sz w:val="32"/>
          <w:szCs w:val="32"/>
        </w:rPr>
        <w:t>审核风险评估的规范性。</w:t>
      </w:r>
      <w:r>
        <w:rPr>
          <w:rFonts w:hint="eastAsia" w:ascii="Times New Roman" w:hAnsi="Times New Roman" w:eastAsia="仿宋_GB2312"/>
          <w:spacing w:val="0"/>
          <w:kern w:val="0"/>
          <w:sz w:val="32"/>
          <w:szCs w:val="32"/>
        </w:rPr>
        <w:t>如有材料不齐全或不符合要求的，管理局应告知申报主体补正材料，申报主体须在10个工作日内按要求补正材料。经审核材料齐全且符合要求的，</w:t>
      </w:r>
      <w:r>
        <w:rPr>
          <w:rFonts w:ascii="Times New Roman" w:hAnsi="Times New Roman" w:eastAsia="仿宋_GB2312"/>
          <w:spacing w:val="0"/>
          <w:kern w:val="0"/>
          <w:sz w:val="32"/>
          <w:szCs w:val="32"/>
        </w:rPr>
        <w:t>管理局经审议确认奖励名单并在科技城兑现平台或科技城官网进行公示，公示期为5个工作日，公示期满无异议或公示期内任何第三方提出异议但经管理局审查异议不成立的，管理局完成资金拨付工作。</w:t>
      </w:r>
    </w:p>
    <w:p>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left="0" w:firstLine="643" w:firstLineChars="200"/>
        <w:textAlignment w:val="auto"/>
        <w:rPr>
          <w:rFonts w:hint="eastAsia" w:ascii="Times New Roman" w:hAnsi="Times New Roman" w:eastAsia="仿宋_GB2312" w:cs="仿宋_GB2312"/>
          <w:spacing w:val="0"/>
          <w:kern w:val="0"/>
          <w:sz w:val="32"/>
          <w:szCs w:val="32"/>
        </w:rPr>
      </w:pPr>
      <w:r>
        <w:rPr>
          <w:rFonts w:ascii="Times New Roman" w:hAnsi="Times New Roman" w:eastAsia="仿宋_GB2312"/>
          <w:b/>
          <w:bCs/>
          <w:spacing w:val="0"/>
          <w:kern w:val="0"/>
          <w:sz w:val="32"/>
          <w:szCs w:val="32"/>
        </w:rPr>
        <w:t>【公示期异议处理】</w:t>
      </w:r>
      <w:r>
        <w:rPr>
          <w:rFonts w:ascii="Times New Roman" w:hAnsi="Times New Roman" w:eastAsia="仿宋_GB2312"/>
          <w:spacing w:val="0"/>
          <w:kern w:val="0"/>
          <w:sz w:val="32"/>
          <w:szCs w:val="32"/>
        </w:rPr>
        <w:t>公示期内，如任何第三方对申报项目或材料提出异议的，</w:t>
      </w:r>
      <w:r>
        <w:rPr>
          <w:rFonts w:hint="eastAsia" w:ascii="Times New Roman" w:hAnsi="Times New Roman" w:eastAsia="仿宋_GB2312"/>
          <w:spacing w:val="0"/>
          <w:kern w:val="0"/>
          <w:sz w:val="32"/>
          <w:szCs w:val="32"/>
        </w:rPr>
        <w:t>应向管理局提出书面异议申请，并提供相应证据材料，交由管理局进行异议审查。管理局在受理异议申请后5个工作日内完成异议审查，并在科技城兑现平台或科技城官网公示异议核实情况及处理意见。</w:t>
      </w:r>
    </w:p>
    <w:p>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left="0" w:firstLine="643" w:firstLineChars="200"/>
        <w:textAlignment w:val="auto"/>
        <w:rPr>
          <w:rFonts w:hint="eastAsia" w:ascii="Times New Roman" w:hAnsi="Times New Roman" w:eastAsia="仿宋_GB2312" w:cs="仿宋_GB2312"/>
          <w:spacing w:val="0"/>
          <w:kern w:val="0"/>
          <w:sz w:val="32"/>
          <w:szCs w:val="32"/>
        </w:rPr>
      </w:pPr>
      <w:r>
        <w:rPr>
          <w:rFonts w:hint="eastAsia" w:ascii="Times New Roman" w:hAnsi="Times New Roman" w:eastAsia="仿宋_GB2312" w:cs="仿宋_GB2312"/>
          <w:b/>
          <w:bCs/>
          <w:spacing w:val="0"/>
          <w:kern w:val="0"/>
          <w:sz w:val="32"/>
          <w:szCs w:val="32"/>
        </w:rPr>
        <w:t>【监督管理】</w:t>
      </w:r>
      <w:r>
        <w:rPr>
          <w:rFonts w:hint="eastAsia" w:ascii="Times New Roman" w:hAnsi="Times New Roman" w:eastAsia="仿宋_GB2312" w:cs="仿宋_GB2312"/>
          <w:spacing w:val="0"/>
          <w:kern w:val="0"/>
          <w:sz w:val="32"/>
          <w:szCs w:val="32"/>
        </w:rPr>
        <w:t>管理局可根据实际需要对政策申报主体进行必要的走访、调查，有权自行或组织第三方对申报主体的申报资格及申报材料进行核验。申报主体签署承诺书，应坚持诚实信用原则，对申报材料真实性、合法性负责，遵守本措施各项要求。如存在申报材料弄虚作假，以任何形式骗取奖励资金或者未履行相应要求的，一经发现，申报主体须全额退还已取得的奖励资金；同时管理局将取消申报主体在本措施下的申请资格，依法依规在三亚崖州湾科技城企业信用服务平台进行信用记录，并视情节轻重追究申报主体和相关责任人员的法律责任。</w:t>
      </w:r>
    </w:p>
    <w:p>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left="0" w:firstLine="643" w:firstLineChars="200"/>
        <w:textAlignment w:val="auto"/>
        <w:rPr>
          <w:rFonts w:hint="eastAsia" w:ascii="Times New Roman" w:hAnsi="Times New Roman" w:eastAsia="仿宋_GB2312" w:cs="仿宋_GB2312"/>
          <w:spacing w:val="0"/>
          <w:kern w:val="0"/>
          <w:sz w:val="32"/>
          <w:szCs w:val="32"/>
        </w:rPr>
      </w:pPr>
      <w:r>
        <w:rPr>
          <w:rFonts w:hint="eastAsia" w:ascii="Times New Roman" w:hAnsi="Times New Roman" w:eastAsia="仿宋_GB2312" w:cs="仿宋_GB2312"/>
          <w:b/>
          <w:bCs/>
          <w:spacing w:val="0"/>
          <w:kern w:val="0"/>
          <w:sz w:val="32"/>
          <w:szCs w:val="32"/>
        </w:rPr>
        <w:t>【廉洁规定】</w:t>
      </w:r>
      <w:r>
        <w:rPr>
          <w:rFonts w:hint="eastAsia" w:ascii="Times New Roman" w:hAnsi="Times New Roman" w:eastAsia="仿宋_GB2312" w:cs="仿宋_GB2312"/>
          <w:spacing w:val="0"/>
          <w:kern w:val="0"/>
          <w:sz w:val="32"/>
          <w:szCs w:val="32"/>
        </w:rPr>
        <w:t>申报主体、审核与兑现工作人员应严格遵守政策申报与政策兑现的廉洁性要求，坚持公私分明，坚持崇廉拒腐。对本措施实施过程中违反廉洁纪律等相关规定的申报主体、审核与兑现工作人员，经核实，依法依规进行处理；构成违法犯罪的，依法追究其相关法律责任。</w:t>
      </w:r>
    </w:p>
    <w:p>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left="0" w:firstLine="640" w:firstLineChars="200"/>
        <w:textAlignment w:val="auto"/>
        <w:rPr>
          <w:rFonts w:hint="eastAsia" w:ascii="Times New Roman" w:hAnsi="Times New Roman" w:eastAsia="仿宋_GB2312" w:cs="仿宋_GB2312"/>
          <w:spacing w:val="0"/>
          <w:kern w:val="0"/>
          <w:sz w:val="32"/>
          <w:szCs w:val="32"/>
        </w:rPr>
      </w:pPr>
      <w:r>
        <w:rPr>
          <w:rFonts w:hint="eastAsia" w:ascii="Times New Roman" w:hAnsi="Times New Roman" w:eastAsia="仿宋_GB2312" w:cs="仿宋_GB2312"/>
          <w:spacing w:val="0"/>
          <w:kern w:val="0"/>
          <w:sz w:val="32"/>
          <w:szCs w:val="32"/>
        </w:rPr>
        <w:t>【</w:t>
      </w:r>
      <w:r>
        <w:rPr>
          <w:rFonts w:hint="eastAsia" w:ascii="Times New Roman" w:hAnsi="Times New Roman" w:eastAsia="仿宋_GB2312" w:cs="仿宋_GB2312"/>
          <w:b/>
          <w:bCs/>
          <w:spacing w:val="0"/>
          <w:kern w:val="0"/>
          <w:sz w:val="32"/>
          <w:szCs w:val="32"/>
        </w:rPr>
        <w:t>特别说明</w:t>
      </w:r>
      <w:r>
        <w:rPr>
          <w:rFonts w:hint="eastAsia" w:ascii="Times New Roman" w:hAnsi="Times New Roman" w:eastAsia="仿宋_GB2312" w:cs="仿宋_GB2312"/>
          <w:spacing w:val="0"/>
          <w:kern w:val="0"/>
          <w:sz w:val="32"/>
          <w:szCs w:val="32"/>
        </w:rPr>
        <w:t>】本措施所称“一次性”“最高不超过”支持标准仅适用于单个主体；本措施所提及的“开展风险评估之日”以申报主体风险评估委托合同签署时间为准；本措施所称“三亚崖州湾科技城内（或科技城内）”的区域范围包括</w:t>
      </w:r>
      <w:r>
        <w:rPr>
          <w:rFonts w:hint="default" w:ascii="Times New Roman" w:hAnsi="Times New Roman" w:eastAsia="仿宋_GB2312" w:cs="Times New Roman"/>
          <w:spacing w:val="0"/>
          <w:kern w:val="0"/>
          <w:sz w:val="32"/>
          <w:szCs w:val="32"/>
        </w:rPr>
        <w:t>：1.三亚崖州湾科技城（中片区），即东起西线铁路、西至崖州湾滨海，南起港口路、北至宁远河；2.全球动植物种质资源引进中转基地起步区，即月亮岛全境；3.中心渔港片区，即东临保港村，西至盐灶河，北抵G98环岛高速公路，南至崖州湾；4.生物谷，即崖州湾科技城开发边界以北，牛腊水库南北两侧，东至天指岭山脊，北至白石岭山脊，西至立村，南至马鞍岭山脊和新村所围合的区域；5.</w:t>
      </w:r>
      <w:r>
        <w:rPr>
          <w:rFonts w:hint="eastAsia" w:ascii="Times New Roman" w:hAnsi="Times New Roman" w:eastAsia="仿宋_GB2312" w:cs="仿宋_GB2312"/>
          <w:spacing w:val="0"/>
          <w:kern w:val="0"/>
          <w:sz w:val="32"/>
          <w:szCs w:val="32"/>
        </w:rPr>
        <w:t>北拓展区先行建设区域,即北至现状南顶岭马鞍岭、南至现状环岛高铁，西至规划高速连接线、东至马丹村。具体以管理局届时更新的片区及对应的四至范围为准；本措施所涉及的金额均以“人民币”为单位；本措施中如有与管理局财政支持的其他同类或相似奖励或补贴政策，按照“就高不重复”的原则执行。</w:t>
      </w:r>
    </w:p>
    <w:p>
      <w:pPr>
        <w:keepNext w:val="0"/>
        <w:keepLines w:val="0"/>
        <w:pageBreakBefore w:val="0"/>
        <w:widowControl w:val="0"/>
        <w:kinsoku/>
        <w:wordWrap/>
        <w:overflowPunct/>
        <w:topLinePunct w:val="0"/>
        <w:autoSpaceDE/>
        <w:autoSpaceDN/>
        <w:bidi w:val="0"/>
        <w:adjustRightInd/>
        <w:snapToGrid/>
        <w:spacing w:line="578" w:lineRule="exact"/>
        <w:ind w:left="0" w:firstLine="643" w:firstLineChars="200"/>
        <w:textAlignment w:val="auto"/>
        <w:rPr>
          <w:rFonts w:hint="default" w:ascii="Times New Roman" w:hAnsi="Times New Roman" w:eastAsia="仿宋_GB2312" w:cs="Times New Roman"/>
          <w:spacing w:val="0"/>
          <w:kern w:val="0"/>
          <w:sz w:val="32"/>
          <w:szCs w:val="28"/>
        </w:rPr>
      </w:pPr>
      <w:r>
        <w:rPr>
          <w:rFonts w:hint="eastAsia" w:ascii="Times New Roman" w:hAnsi="Times New Roman" w:eastAsia="仿宋_GB2312" w:cs="仿宋_GB2312"/>
          <w:b/>
          <w:bCs/>
          <w:spacing w:val="0"/>
          <w:kern w:val="0"/>
          <w:sz w:val="32"/>
          <w:szCs w:val="32"/>
        </w:rPr>
        <w:t>【有效期】</w:t>
      </w:r>
      <w:r>
        <w:rPr>
          <w:rFonts w:hint="eastAsia" w:ascii="Times New Roman" w:hAnsi="Times New Roman" w:eastAsia="仿宋_GB2312" w:cs="仿宋_GB2312"/>
          <w:spacing w:val="0"/>
          <w:kern w:val="0"/>
          <w:sz w:val="32"/>
          <w:szCs w:val="32"/>
        </w:rPr>
        <w:t>本措施</w:t>
      </w:r>
      <w:r>
        <w:rPr>
          <w:rFonts w:ascii="Times New Roman" w:hAnsi="Times New Roman" w:eastAsia="仿宋_GB2312"/>
          <w:spacing w:val="0"/>
          <w:kern w:val="0"/>
          <w:sz w:val="32"/>
          <w:szCs w:val="32"/>
        </w:rPr>
        <w:t>自202</w:t>
      </w:r>
      <w:r>
        <w:rPr>
          <w:rFonts w:hint="eastAsia" w:ascii="Times New Roman" w:hAnsi="Times New Roman" w:eastAsia="仿宋_GB2312"/>
          <w:spacing w:val="0"/>
          <w:kern w:val="0"/>
          <w:sz w:val="32"/>
          <w:szCs w:val="32"/>
        </w:rPr>
        <w:t>5</w:t>
      </w:r>
      <w:r>
        <w:rPr>
          <w:rFonts w:ascii="Times New Roman" w:hAnsi="Times New Roman" w:eastAsia="仿宋_GB2312"/>
          <w:spacing w:val="0"/>
          <w:kern w:val="0"/>
          <w:sz w:val="32"/>
          <w:szCs w:val="32"/>
        </w:rPr>
        <w:t>年</w:t>
      </w:r>
      <w:r>
        <w:rPr>
          <w:rFonts w:hint="eastAsia" w:ascii="Times New Roman" w:hAnsi="Times New Roman" w:eastAsia="仿宋_GB2312"/>
          <w:spacing w:val="0"/>
          <w:kern w:val="0"/>
          <w:sz w:val="32"/>
          <w:szCs w:val="32"/>
          <w:lang w:val="en-US" w:eastAsia="zh-CN"/>
        </w:rPr>
        <w:t>4</w:t>
      </w:r>
      <w:r>
        <w:rPr>
          <w:rFonts w:ascii="Times New Roman" w:hAnsi="Times New Roman" w:eastAsia="仿宋_GB2312"/>
          <w:spacing w:val="0"/>
          <w:kern w:val="0"/>
          <w:sz w:val="32"/>
          <w:szCs w:val="32"/>
        </w:rPr>
        <w:t>月</w:t>
      </w:r>
      <w:r>
        <w:rPr>
          <w:rFonts w:hint="eastAsia" w:ascii="Times New Roman" w:hAnsi="Times New Roman" w:eastAsia="仿宋_GB2312"/>
          <w:spacing w:val="0"/>
          <w:kern w:val="0"/>
          <w:sz w:val="32"/>
          <w:szCs w:val="32"/>
          <w:lang w:val="en-US" w:eastAsia="zh-CN"/>
        </w:rPr>
        <w:t>16</w:t>
      </w:r>
      <w:r>
        <w:rPr>
          <w:rFonts w:ascii="Times New Roman" w:hAnsi="Times New Roman" w:eastAsia="仿宋_GB2312"/>
          <w:spacing w:val="0"/>
          <w:kern w:val="0"/>
          <w:sz w:val="32"/>
          <w:szCs w:val="32"/>
        </w:rPr>
        <w:t>日起施行，有效期至20</w:t>
      </w:r>
      <w:r>
        <w:rPr>
          <w:rFonts w:hint="eastAsia" w:ascii="Times New Roman" w:hAnsi="Times New Roman" w:eastAsia="仿宋_GB2312"/>
          <w:spacing w:val="0"/>
          <w:kern w:val="0"/>
          <w:sz w:val="32"/>
          <w:szCs w:val="32"/>
        </w:rPr>
        <w:t>2</w:t>
      </w:r>
      <w:r>
        <w:rPr>
          <w:rFonts w:hint="eastAsia" w:ascii="Times New Roman" w:hAnsi="Times New Roman" w:eastAsia="仿宋_GB2312"/>
          <w:spacing w:val="0"/>
          <w:kern w:val="0"/>
          <w:sz w:val="32"/>
          <w:szCs w:val="32"/>
          <w:lang w:val="en-US" w:eastAsia="zh-CN"/>
        </w:rPr>
        <w:t>7</w:t>
      </w:r>
      <w:r>
        <w:rPr>
          <w:rFonts w:ascii="Times New Roman" w:hAnsi="Times New Roman" w:eastAsia="仿宋_GB2312"/>
          <w:spacing w:val="0"/>
          <w:kern w:val="0"/>
          <w:sz w:val="32"/>
          <w:szCs w:val="32"/>
        </w:rPr>
        <w:t>年</w:t>
      </w:r>
      <w:r>
        <w:rPr>
          <w:rFonts w:hint="eastAsia" w:ascii="Times New Roman" w:hAnsi="Times New Roman" w:eastAsia="仿宋_GB2312"/>
          <w:spacing w:val="0"/>
          <w:kern w:val="0"/>
          <w:sz w:val="32"/>
          <w:szCs w:val="32"/>
          <w:lang w:val="en-US" w:eastAsia="zh-CN"/>
        </w:rPr>
        <w:t>4</w:t>
      </w:r>
      <w:r>
        <w:rPr>
          <w:rFonts w:ascii="Times New Roman" w:hAnsi="Times New Roman" w:eastAsia="仿宋_GB2312"/>
          <w:spacing w:val="0"/>
          <w:kern w:val="0"/>
          <w:sz w:val="32"/>
          <w:szCs w:val="32"/>
        </w:rPr>
        <w:t>月</w:t>
      </w:r>
      <w:r>
        <w:rPr>
          <w:rFonts w:hint="eastAsia" w:ascii="Times New Roman" w:hAnsi="Times New Roman" w:eastAsia="仿宋_GB2312"/>
          <w:spacing w:val="0"/>
          <w:kern w:val="0"/>
          <w:sz w:val="32"/>
          <w:szCs w:val="32"/>
          <w:lang w:val="en-US" w:eastAsia="zh-CN"/>
        </w:rPr>
        <w:t>15</w:t>
      </w:r>
      <w:r>
        <w:rPr>
          <w:rFonts w:ascii="Times New Roman" w:hAnsi="Times New Roman" w:eastAsia="仿宋_GB2312"/>
          <w:spacing w:val="0"/>
          <w:kern w:val="0"/>
          <w:sz w:val="32"/>
          <w:szCs w:val="32"/>
        </w:rPr>
        <w:t>日</w:t>
      </w:r>
      <w:r>
        <w:rPr>
          <w:rFonts w:hint="eastAsia" w:ascii="Times New Roman" w:hAnsi="Times New Roman" w:eastAsia="仿宋_GB2312"/>
          <w:spacing w:val="0"/>
          <w:kern w:val="0"/>
          <w:sz w:val="32"/>
          <w:szCs w:val="32"/>
        </w:rPr>
        <w:t>；有效期届满后，相关奖补申请经审核确认后应当支付奖补资金的，应继续执行</w:t>
      </w:r>
      <w:r>
        <w:rPr>
          <w:rFonts w:hint="eastAsia" w:ascii="Times New Roman" w:hAnsi="Times New Roman" w:eastAsia="仿宋_GB2312" w:cs="仿宋_GB2312"/>
          <w:spacing w:val="0"/>
          <w:kern w:val="0"/>
          <w:sz w:val="32"/>
          <w:szCs w:val="32"/>
        </w:rPr>
        <w:t>。</w:t>
      </w:r>
    </w:p>
    <w:p>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lang w:val="en-US" w:eastAsia="zh-CN"/>
        </w:rPr>
      </w:pPr>
    </w:p>
    <w:p>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lang w:val="en-US" w:eastAsia="zh-CN"/>
        </w:rPr>
      </w:pPr>
    </w:p>
    <w:p>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lang w:val="en-US" w:eastAsia="zh-CN"/>
        </w:rPr>
      </w:pPr>
    </w:p>
    <w:p>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lang w:val="en-US" w:eastAsia="zh-CN"/>
        </w:rPr>
      </w:pPr>
    </w:p>
    <w:p>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lang w:val="en-US" w:eastAsia="zh-CN"/>
        </w:rPr>
      </w:pPr>
    </w:p>
    <w:p>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lang w:val="en-US" w:eastAsia="zh-CN"/>
        </w:rPr>
      </w:pPr>
    </w:p>
    <w:p>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lang w:val="en-US" w:eastAsia="zh-CN"/>
        </w:rPr>
      </w:pPr>
    </w:p>
    <w:p>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28"/>
          <w:szCs w:val="28"/>
        </w:rPr>
      </w:pPr>
    </w:p>
    <w:p>
      <w:pPr>
        <w:keepNext w:val="0"/>
        <w:keepLines w:val="0"/>
        <w:pageBreakBefore w:val="0"/>
        <w:widowControl w:val="0"/>
        <w:kinsoku/>
        <w:wordWrap/>
        <w:overflowPunct/>
        <w:topLinePunct w:val="0"/>
        <w:bidi w:val="0"/>
        <w:snapToGrid/>
        <w:spacing w:line="578" w:lineRule="exact"/>
        <w:ind w:firstLine="210" w:firstLineChars="100"/>
        <w:textAlignment w:val="auto"/>
        <w:rPr>
          <w:rFonts w:hint="default" w:ascii="Times New Roman" w:hAnsi="Times New Roman" w:cs="Times New Roman"/>
          <w:lang w:val="en-US" w:eastAsia="zh-CN"/>
        </w:rPr>
      </w:pPr>
      <w:r>
        <w:rPr>
          <w:rFonts w:hint="default" w:ascii="Times New Roman" w:hAnsi="Times New Roman" w:cs="Times New Roman"/>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37465</wp:posOffset>
                </wp:positionV>
                <wp:extent cx="56007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2.95pt;height:0pt;width:441pt;z-index:251665408;mso-width-relative:page;mso-height-relative:page;" filled="f" stroked="t" coordsize="21600,21600" o:gfxdata="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srAno0gAAAAQBAAAPAAAAAAAAAAEAIAAAACIAAABkcnMvZG93bnJldi54bWxQSwEC&#10;FAAUAAAACACHTuJArzXzZPoBAADyAwAADgAAAAAAAAABACAAAAAhAQAAZHJzL2Uyb0RvYy54bWxQ&#10;SwUGAAAAAAYABgBZAQAAjQU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三亚</w:t>
      </w:r>
      <w:r>
        <w:rPr>
          <w:rFonts w:hint="default" w:ascii="Times New Roman" w:hAnsi="Times New Roman" w:eastAsia="仿宋_GB2312" w:cs="Times New Roman"/>
          <w:sz w:val="28"/>
          <w:szCs w:val="28"/>
          <w:lang w:eastAsia="zh-CN"/>
        </w:rPr>
        <w:t>崖州湾科技城管理局综合</w:t>
      </w:r>
      <w:r>
        <w:rPr>
          <w:rFonts w:hint="default" w:ascii="Times New Roman" w:hAnsi="Times New Roman" w:eastAsia="仿宋_GB2312" w:cs="Times New Roman"/>
          <w:sz w:val="28"/>
          <w:szCs w:val="28"/>
        </w:rPr>
        <w:t>办公室</w:t>
      </w:r>
      <w:r>
        <w:rPr>
          <w:rFonts w:hint="default" w:ascii="Times New Roman" w:hAnsi="Times New Roman" w:cs="Times New Roman"/>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386080</wp:posOffset>
                </wp:positionV>
                <wp:extent cx="56007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0.4pt;height:0pt;width:441pt;z-index:251664384;mso-width-relative:page;mso-height-relative:page;" filled="f" stroked="t" coordsize="21600,21600" o:gfxdata="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K64Or9MAAAAGAQAADwAAAAAAAAABACAAAAAiAAAAZHJzL2Rvd25yZXYueG1sUEsB&#10;AhQAFAAAAAgAh07iQAABYMb6AQAA8gMAAA4AAAAAAAAAAQAgAAAAIgEAAGRycy9lMm9Eb2MueG1s&#10;UEsFBgAAAAAGAAYAWQEAAI4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2025</w:t>
      </w:r>
      <w:r>
        <w:rPr>
          <w:rFonts w:hint="default" w:ascii="Times New Roman" w:hAnsi="Times New Roman" w:eastAsia="仿宋_GB2312" w:cs="Times New Roman"/>
          <w:sz w:val="28"/>
          <w:szCs w:val="28"/>
        </w:rPr>
        <w:t>年</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rPr>
        <w:t>月</w:t>
      </w:r>
      <w:r>
        <w:rPr>
          <w:rFonts w:hint="default" w:ascii="Times New Roman" w:hAnsi="Times New Roman" w:eastAsia="仿宋_GB2312" w:cs="Times New Roman"/>
          <w:sz w:val="28"/>
          <w:szCs w:val="28"/>
          <w:lang w:val="en-US" w:eastAsia="zh-CN"/>
        </w:rPr>
        <w:t>1</w:t>
      </w:r>
      <w:r>
        <w:rPr>
          <w:rFonts w:hint="eastAsia" w:ascii="Times New Roman" w:hAnsi="Times New Roman" w:eastAsia="仿宋_GB2312" w:cs="Times New Roman"/>
          <w:sz w:val="28"/>
          <w:szCs w:val="28"/>
          <w:lang w:val="en-US" w:eastAsia="zh-CN"/>
        </w:rPr>
        <w:t>5</w:t>
      </w:r>
      <w:bookmarkStart w:id="2" w:name="_GoBack"/>
      <w:bookmarkEnd w:id="2"/>
      <w:r>
        <w:rPr>
          <w:rFonts w:hint="default" w:ascii="Times New Roman" w:hAnsi="Times New Roman" w:eastAsia="仿宋_GB2312" w:cs="Times New Roman"/>
          <w:sz w:val="28"/>
          <w:szCs w:val="28"/>
        </w:rPr>
        <w:t>日印发</w:t>
      </w:r>
    </w:p>
    <w:sectPr>
      <w:headerReference r:id="rId3" w:type="default"/>
      <w:footerReference r:id="rId4" w:type="default"/>
      <w:pgSz w:w="11906" w:h="16838"/>
      <w:pgMar w:top="2098" w:right="1474" w:bottom="1984" w:left="1587" w:header="851" w:footer="1417" w:gutter="0"/>
      <w:pgNumType w:fmt="decimal" w:start="1"/>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7CF7815C-F2FD-482B-9BF1-E29D0D3C329F}"/>
  </w:font>
  <w:font w:name="仿宋_GB2312">
    <w:panose1 w:val="02010609030101010101"/>
    <w:charset w:val="86"/>
    <w:family w:val="modern"/>
    <w:pitch w:val="default"/>
    <w:sig w:usb0="00000001" w:usb1="080E0000" w:usb2="00000000" w:usb3="00000000" w:csb0="00040000" w:csb1="00000000"/>
    <w:embedRegular r:id="rId2" w:fontKey="{CBB6E90D-67AC-4F28-998A-0B198A7A8CF9}"/>
  </w:font>
  <w:font w:name="方正小标宋_GBK">
    <w:panose1 w:val="03000509000000000000"/>
    <w:charset w:val="86"/>
    <w:family w:val="auto"/>
    <w:pitch w:val="default"/>
    <w:sig w:usb0="00000001" w:usb1="080E0000" w:usb2="00000000" w:usb3="00000000" w:csb0="00040000" w:csb1="00000000"/>
    <w:embedRegular r:id="rId3" w:fontKey="{08321379-5AC3-486F-8552-FB815FBEF991}"/>
  </w:font>
  <w:font w:name="Calibri Light">
    <w:panose1 w:val="020F0302020204030204"/>
    <w:charset w:val="00"/>
    <w:family w:val="swiss"/>
    <w:pitch w:val="default"/>
    <w:sig w:usb0="A00002EF" w:usb1="4000207B" w:usb2="00000000" w:usb3="00000000" w:csb0="2000019F" w:csb1="00000000"/>
  </w:font>
  <w:font w:name="Consolas">
    <w:panose1 w:val="020B0609020204030204"/>
    <w:charset w:val="00"/>
    <w:family w:val="auto"/>
    <w:pitch w:val="default"/>
    <w:sig w:usb0="E10002FF" w:usb1="4000FCFF" w:usb2="00000009" w:usb3="00000000" w:csb0="6000019F" w:csb1="DFD7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font-weight : 400">
    <w:altName w:val="Segoe Print"/>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embedRegular r:id="rId4" w:fontKey="{33EC7B06-AEC4-4D9A-8048-3B60B4E8D971}"/>
  </w:font>
  <w:font w:name="方正小标宋简体">
    <w:altName w:val="仿宋_GB2312"/>
    <w:panose1 w:val="02000000000000000000"/>
    <w:charset w:val="86"/>
    <w:family w:val="script"/>
    <w:pitch w:val="default"/>
    <w:sig w:usb0="00000000" w:usb1="00000000" w:usb2="00000000" w:usb3="00000000" w:csb0="00000000" w:csb1="00000000"/>
    <w:embedRegular r:id="rId5" w:fontKey="{24044A64-10B6-4458-BD60-BF4756213104}"/>
  </w:font>
  <w:font w:name="icon-cooperation">
    <w:altName w:val="Segoe Print"/>
    <w:panose1 w:val="00000000000000000000"/>
    <w:charset w:val="00"/>
    <w:family w:val="auto"/>
    <w:pitch w:val="default"/>
    <w:sig w:usb0="00000000" w:usb1="00000000" w:usb2="00000000" w:usb3="00000000" w:csb0="00000000" w:csb1="00000000"/>
  </w:font>
  <w:font w:name="wevicon">
    <w:altName w:val="Segoe Print"/>
    <w:panose1 w:val="00000000000000000000"/>
    <w:charset w:val="00"/>
    <w:family w:val="auto"/>
    <w:pitch w:val="default"/>
    <w:sig w:usb0="00000000" w:usb1="00000000" w:usb2="00000000" w:usb3="00000000" w:csb0="00000000" w:csb1="00000000"/>
  </w:font>
  <w:font w:name="anticon">
    <w:altName w:val="Segoe Print"/>
    <w:panose1 w:val="00000000000000000000"/>
    <w:charset w:val="00"/>
    <w:family w:val="auto"/>
    <w:pitch w:val="default"/>
    <w:sig w:usb0="00000000" w:usb1="00000000" w:usb2="00000000" w:usb3="00000000" w:csb0="00000000" w:csb1="00000000"/>
  </w:font>
  <w:font w:name="menu">
    <w:altName w:val="Segoe Print"/>
    <w:panose1 w:val="00000000000000000000"/>
    <w:charset w:val="00"/>
    <w:family w:val="auto"/>
    <w:pitch w:val="default"/>
    <w:sig w:usb0="00000000" w:usb1="00000000" w:usb2="00000000" w:usb3="00000000" w:csb0="00000000" w:csb1="00000000"/>
  </w:font>
  <w:font w:name="Icon-coms03">
    <w:altName w:val="Segoe Print"/>
    <w:panose1 w:val="00000000000000000000"/>
    <w:charset w:val="00"/>
    <w:family w:val="auto"/>
    <w:pitch w:val="default"/>
    <w:sig w:usb0="00000000" w:usb1="00000000" w:usb2="00000000" w:usb3="00000000" w:csb0="00000000" w:csb1="00000000"/>
  </w:font>
  <w:font w:name="icon-dev">
    <w:altName w:val="Segoe Print"/>
    <w:panose1 w:val="00000000000000000000"/>
    <w:charset w:val="00"/>
    <w:family w:val="auto"/>
    <w:pitch w:val="default"/>
    <w:sig w:usb0="00000000" w:usb1="00000000" w:usb2="00000000" w:usb3="00000000" w:csb0="00000000" w:csb1="00000000"/>
  </w:font>
  <w:font w:name="icon-coms">
    <w:altName w:val="Segoe Print"/>
    <w:panose1 w:val="00000000000000000000"/>
    <w:charset w:val="00"/>
    <w:family w:val="auto"/>
    <w:pitch w:val="default"/>
    <w:sig w:usb0="00000000" w:usb1="00000000" w:usb2="00000000" w:usb3="00000000" w:csb0="00000000" w:csb1="00000000"/>
  </w:font>
  <w:font w:name="icon-portal">
    <w:altName w:val="Segoe Print"/>
    <w:panose1 w:val="00000000000000000000"/>
    <w:charset w:val="00"/>
    <w:family w:val="auto"/>
    <w:pitch w:val="default"/>
    <w:sig w:usb0="00000000" w:usb1="00000000" w:usb2="00000000" w:usb3="00000000" w:csb0="00000000" w:csb1="00000000"/>
  </w:font>
  <w:font w:name="icon-coms02">
    <w:altName w:val="Segoe Print"/>
    <w:panose1 w:val="00000000000000000000"/>
    <w:charset w:val="00"/>
    <w:family w:val="auto"/>
    <w:pitch w:val="default"/>
    <w:sig w:usb0="00000000" w:usb1="00000000" w:usb2="00000000" w:usb3="00000000" w:csb0="00000000" w:csb1="00000000"/>
  </w:font>
  <w:font w:name="icon-workflow">
    <w:altName w:val="Segoe Print"/>
    <w:panose1 w:val="00000000000000000000"/>
    <w:charset w:val="00"/>
    <w:family w:val="auto"/>
    <w:pitch w:val="default"/>
    <w:sig w:usb0="00000000" w:usb1="00000000" w:usb2="00000000" w:usb3="00000000" w:csb0="00000000" w:csb1="00000000"/>
  </w:font>
  <w:font w:name="icon-report">
    <w:altName w:val="Segoe Print"/>
    <w:panose1 w:val="00000000000000000000"/>
    <w:charset w:val="00"/>
    <w:family w:val="auto"/>
    <w:pitch w:val="default"/>
    <w:sig w:usb0="00000000" w:usb1="00000000" w:usb2="00000000" w:usb3="00000000" w:csb0="00000000" w:csb1="00000000"/>
  </w:font>
  <w:font w:name="icon-Human-resources">
    <w:altName w:val="Segoe Print"/>
    <w:panose1 w:val="00000000000000000000"/>
    <w:charset w:val="00"/>
    <w:family w:val="auto"/>
    <w:pitch w:val="default"/>
    <w:sig w:usb0="00000000" w:usb1="00000000" w:usb2="00000000" w:usb3="00000000" w:csb0="00000000" w:csb1="00000000"/>
  </w:font>
  <w:font w:name="conform-rul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pPr>
                      <w:pStyle w:val="11"/>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2EA9BE"/>
    <w:multiLevelType w:val="singleLevel"/>
    <w:tmpl w:val="C72EA9BE"/>
    <w:lvl w:ilvl="0" w:tentative="0">
      <w:start w:val="1"/>
      <w:numFmt w:val="chineseCounting"/>
      <w:suff w:val="space"/>
      <w:lvlText w:val="第%1条"/>
      <w:lvlJc w:val="left"/>
      <w:pPr>
        <w:ind w:left="-1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revisionView w:markup="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784297"/>
    <w:rsid w:val="00185437"/>
    <w:rsid w:val="00434FA9"/>
    <w:rsid w:val="00442FDF"/>
    <w:rsid w:val="0053558D"/>
    <w:rsid w:val="0060535F"/>
    <w:rsid w:val="00623CC9"/>
    <w:rsid w:val="0083351F"/>
    <w:rsid w:val="008749E8"/>
    <w:rsid w:val="009F05DB"/>
    <w:rsid w:val="00A30046"/>
    <w:rsid w:val="00A35A97"/>
    <w:rsid w:val="00BA37CA"/>
    <w:rsid w:val="00C80B89"/>
    <w:rsid w:val="00D23F5D"/>
    <w:rsid w:val="00D66D8C"/>
    <w:rsid w:val="00EF2E69"/>
    <w:rsid w:val="00FE69BC"/>
    <w:rsid w:val="015175B4"/>
    <w:rsid w:val="01887E45"/>
    <w:rsid w:val="02550DB5"/>
    <w:rsid w:val="02862181"/>
    <w:rsid w:val="029B42B1"/>
    <w:rsid w:val="02A16941"/>
    <w:rsid w:val="02BE58E9"/>
    <w:rsid w:val="02DE2944"/>
    <w:rsid w:val="02FB6037"/>
    <w:rsid w:val="03635D6C"/>
    <w:rsid w:val="0366435F"/>
    <w:rsid w:val="03C03D9D"/>
    <w:rsid w:val="040B5638"/>
    <w:rsid w:val="048A4AA1"/>
    <w:rsid w:val="04A541C6"/>
    <w:rsid w:val="04DB43AB"/>
    <w:rsid w:val="05A40099"/>
    <w:rsid w:val="06D21BA1"/>
    <w:rsid w:val="07313432"/>
    <w:rsid w:val="074320DF"/>
    <w:rsid w:val="07A02EC4"/>
    <w:rsid w:val="07D5200F"/>
    <w:rsid w:val="07F1057F"/>
    <w:rsid w:val="08943185"/>
    <w:rsid w:val="08981735"/>
    <w:rsid w:val="08A11A3D"/>
    <w:rsid w:val="08EA5BB0"/>
    <w:rsid w:val="0966669A"/>
    <w:rsid w:val="097F0DAA"/>
    <w:rsid w:val="09B0442A"/>
    <w:rsid w:val="09B34E3D"/>
    <w:rsid w:val="0A6421B7"/>
    <w:rsid w:val="0AEA2F37"/>
    <w:rsid w:val="0BA27F42"/>
    <w:rsid w:val="0C3C0259"/>
    <w:rsid w:val="0C6E5CA1"/>
    <w:rsid w:val="0CE0714E"/>
    <w:rsid w:val="0CF47245"/>
    <w:rsid w:val="0E5F16EA"/>
    <w:rsid w:val="0EB17D51"/>
    <w:rsid w:val="0F384282"/>
    <w:rsid w:val="0FC637C0"/>
    <w:rsid w:val="0FF5288E"/>
    <w:rsid w:val="116E68BB"/>
    <w:rsid w:val="117E0326"/>
    <w:rsid w:val="11FD5830"/>
    <w:rsid w:val="1211104C"/>
    <w:rsid w:val="12DD6B2F"/>
    <w:rsid w:val="130F2D87"/>
    <w:rsid w:val="135A0B91"/>
    <w:rsid w:val="135C42D2"/>
    <w:rsid w:val="13A37818"/>
    <w:rsid w:val="13B52DFB"/>
    <w:rsid w:val="13BA788D"/>
    <w:rsid w:val="14512341"/>
    <w:rsid w:val="14B87A76"/>
    <w:rsid w:val="14E82286"/>
    <w:rsid w:val="15B2319F"/>
    <w:rsid w:val="15B63AB3"/>
    <w:rsid w:val="15BB542D"/>
    <w:rsid w:val="160031E2"/>
    <w:rsid w:val="161159E8"/>
    <w:rsid w:val="16AB092C"/>
    <w:rsid w:val="16C51974"/>
    <w:rsid w:val="16C65F38"/>
    <w:rsid w:val="17344BF0"/>
    <w:rsid w:val="17501833"/>
    <w:rsid w:val="17703AAF"/>
    <w:rsid w:val="17AF5175"/>
    <w:rsid w:val="17BC6D21"/>
    <w:rsid w:val="188678E5"/>
    <w:rsid w:val="19B2095B"/>
    <w:rsid w:val="19D25584"/>
    <w:rsid w:val="1A331F9B"/>
    <w:rsid w:val="1AC30182"/>
    <w:rsid w:val="1AC460FA"/>
    <w:rsid w:val="1AFE785E"/>
    <w:rsid w:val="1B4D234C"/>
    <w:rsid w:val="1B673D12"/>
    <w:rsid w:val="1B846597"/>
    <w:rsid w:val="1B8B4568"/>
    <w:rsid w:val="1D1A1F03"/>
    <w:rsid w:val="1D281CEF"/>
    <w:rsid w:val="1D5B0F63"/>
    <w:rsid w:val="1DB67BAC"/>
    <w:rsid w:val="1DCC14C8"/>
    <w:rsid w:val="1F544FE4"/>
    <w:rsid w:val="1F9F098F"/>
    <w:rsid w:val="1FBA213B"/>
    <w:rsid w:val="1FFE4A21"/>
    <w:rsid w:val="204840E8"/>
    <w:rsid w:val="205C68F5"/>
    <w:rsid w:val="207210D5"/>
    <w:rsid w:val="20A0175B"/>
    <w:rsid w:val="21EF423E"/>
    <w:rsid w:val="232B7E3E"/>
    <w:rsid w:val="23430694"/>
    <w:rsid w:val="234D4D7F"/>
    <w:rsid w:val="236478FB"/>
    <w:rsid w:val="23EC08FB"/>
    <w:rsid w:val="23FE2A9B"/>
    <w:rsid w:val="2407259B"/>
    <w:rsid w:val="246E2F6D"/>
    <w:rsid w:val="2493241D"/>
    <w:rsid w:val="249E4596"/>
    <w:rsid w:val="24B5695D"/>
    <w:rsid w:val="24D84604"/>
    <w:rsid w:val="25143C19"/>
    <w:rsid w:val="25376D5E"/>
    <w:rsid w:val="25797980"/>
    <w:rsid w:val="25A100E5"/>
    <w:rsid w:val="25D65700"/>
    <w:rsid w:val="27011AAC"/>
    <w:rsid w:val="270D457C"/>
    <w:rsid w:val="27156C1E"/>
    <w:rsid w:val="274D3989"/>
    <w:rsid w:val="279B1A8A"/>
    <w:rsid w:val="28060F93"/>
    <w:rsid w:val="280A0FD0"/>
    <w:rsid w:val="28E32E00"/>
    <w:rsid w:val="29215DBB"/>
    <w:rsid w:val="29234C53"/>
    <w:rsid w:val="29AE505E"/>
    <w:rsid w:val="2A4E1D16"/>
    <w:rsid w:val="2B071961"/>
    <w:rsid w:val="2BF2561F"/>
    <w:rsid w:val="2C0E0EC8"/>
    <w:rsid w:val="2C510020"/>
    <w:rsid w:val="2C682AE7"/>
    <w:rsid w:val="2D526339"/>
    <w:rsid w:val="2DAE2883"/>
    <w:rsid w:val="2DFF7A34"/>
    <w:rsid w:val="2E15215E"/>
    <w:rsid w:val="2E234735"/>
    <w:rsid w:val="2E7C1B20"/>
    <w:rsid w:val="2EC550DC"/>
    <w:rsid w:val="2EF24DE6"/>
    <w:rsid w:val="2F9575B9"/>
    <w:rsid w:val="2FDB6AFD"/>
    <w:rsid w:val="2FE30B85"/>
    <w:rsid w:val="305F070F"/>
    <w:rsid w:val="307F43AC"/>
    <w:rsid w:val="311F322E"/>
    <w:rsid w:val="31361AA5"/>
    <w:rsid w:val="31BF3E69"/>
    <w:rsid w:val="320F4253"/>
    <w:rsid w:val="32DE5AD6"/>
    <w:rsid w:val="32DF2D05"/>
    <w:rsid w:val="32F226A4"/>
    <w:rsid w:val="32F82AAB"/>
    <w:rsid w:val="33354282"/>
    <w:rsid w:val="333C65DD"/>
    <w:rsid w:val="335C273A"/>
    <w:rsid w:val="33B7671F"/>
    <w:rsid w:val="33BE6B8B"/>
    <w:rsid w:val="33E8200F"/>
    <w:rsid w:val="340E49D0"/>
    <w:rsid w:val="342F3EF1"/>
    <w:rsid w:val="345725F8"/>
    <w:rsid w:val="3492081D"/>
    <w:rsid w:val="34AE33CE"/>
    <w:rsid w:val="34C472AD"/>
    <w:rsid w:val="34E164C5"/>
    <w:rsid w:val="351C30AC"/>
    <w:rsid w:val="355A0925"/>
    <w:rsid w:val="36AA1A12"/>
    <w:rsid w:val="36D20AB3"/>
    <w:rsid w:val="36FF3742"/>
    <w:rsid w:val="37150637"/>
    <w:rsid w:val="371E17B3"/>
    <w:rsid w:val="372538D1"/>
    <w:rsid w:val="37474023"/>
    <w:rsid w:val="37F0568D"/>
    <w:rsid w:val="382E59A8"/>
    <w:rsid w:val="38DE56D4"/>
    <w:rsid w:val="38E41486"/>
    <w:rsid w:val="38E44CCB"/>
    <w:rsid w:val="394405CC"/>
    <w:rsid w:val="3A004308"/>
    <w:rsid w:val="3A9A772B"/>
    <w:rsid w:val="3B1D1C27"/>
    <w:rsid w:val="3BC25181"/>
    <w:rsid w:val="3C540FF4"/>
    <w:rsid w:val="3C703FDA"/>
    <w:rsid w:val="3C877BFE"/>
    <w:rsid w:val="3CB27502"/>
    <w:rsid w:val="3DC13989"/>
    <w:rsid w:val="3DC65339"/>
    <w:rsid w:val="3EA573D7"/>
    <w:rsid w:val="3F0D2339"/>
    <w:rsid w:val="3F57790D"/>
    <w:rsid w:val="3FCD0602"/>
    <w:rsid w:val="40380099"/>
    <w:rsid w:val="40B0467A"/>
    <w:rsid w:val="40B7528C"/>
    <w:rsid w:val="41C0305F"/>
    <w:rsid w:val="421A349F"/>
    <w:rsid w:val="425E560A"/>
    <w:rsid w:val="42784297"/>
    <w:rsid w:val="429D605D"/>
    <w:rsid w:val="429F37AB"/>
    <w:rsid w:val="42A1330B"/>
    <w:rsid w:val="43552960"/>
    <w:rsid w:val="4428604C"/>
    <w:rsid w:val="44C14686"/>
    <w:rsid w:val="44E8347F"/>
    <w:rsid w:val="45900486"/>
    <w:rsid w:val="4598079A"/>
    <w:rsid w:val="459E4BF1"/>
    <w:rsid w:val="46493557"/>
    <w:rsid w:val="465B4F3C"/>
    <w:rsid w:val="469817D6"/>
    <w:rsid w:val="46A50C15"/>
    <w:rsid w:val="47053444"/>
    <w:rsid w:val="477073CD"/>
    <w:rsid w:val="477F7856"/>
    <w:rsid w:val="478157CE"/>
    <w:rsid w:val="47973F1D"/>
    <w:rsid w:val="47A823D1"/>
    <w:rsid w:val="47E00841"/>
    <w:rsid w:val="483757A7"/>
    <w:rsid w:val="483C440C"/>
    <w:rsid w:val="48470F8F"/>
    <w:rsid w:val="489141FC"/>
    <w:rsid w:val="48EF3FB1"/>
    <w:rsid w:val="49143485"/>
    <w:rsid w:val="492E44E2"/>
    <w:rsid w:val="4934723E"/>
    <w:rsid w:val="49496489"/>
    <w:rsid w:val="49F2770F"/>
    <w:rsid w:val="4A065D5A"/>
    <w:rsid w:val="4A1F68AF"/>
    <w:rsid w:val="4A387403"/>
    <w:rsid w:val="4B235DD7"/>
    <w:rsid w:val="4B880A8D"/>
    <w:rsid w:val="4BC33263"/>
    <w:rsid w:val="4D2C4A12"/>
    <w:rsid w:val="4DA57CD3"/>
    <w:rsid w:val="4DFE6588"/>
    <w:rsid w:val="4E6C4EE2"/>
    <w:rsid w:val="4EA13BB9"/>
    <w:rsid w:val="4EF72071"/>
    <w:rsid w:val="4F386C9E"/>
    <w:rsid w:val="4F6D1A19"/>
    <w:rsid w:val="50194E76"/>
    <w:rsid w:val="502F636F"/>
    <w:rsid w:val="50706543"/>
    <w:rsid w:val="50D63B3C"/>
    <w:rsid w:val="512F34E4"/>
    <w:rsid w:val="51562873"/>
    <w:rsid w:val="51936409"/>
    <w:rsid w:val="51B62C00"/>
    <w:rsid w:val="520F7CA1"/>
    <w:rsid w:val="522C08F6"/>
    <w:rsid w:val="52795D32"/>
    <w:rsid w:val="531E5CD6"/>
    <w:rsid w:val="53514475"/>
    <w:rsid w:val="53531E2C"/>
    <w:rsid w:val="547248EB"/>
    <w:rsid w:val="54B9762A"/>
    <w:rsid w:val="55343F1F"/>
    <w:rsid w:val="55D8541B"/>
    <w:rsid w:val="56A55AE6"/>
    <w:rsid w:val="56EF6039"/>
    <w:rsid w:val="57002360"/>
    <w:rsid w:val="570F1A86"/>
    <w:rsid w:val="573F50BE"/>
    <w:rsid w:val="57610EC3"/>
    <w:rsid w:val="57943E73"/>
    <w:rsid w:val="582452E7"/>
    <w:rsid w:val="58247E5E"/>
    <w:rsid w:val="5855489C"/>
    <w:rsid w:val="590D0072"/>
    <w:rsid w:val="59830492"/>
    <w:rsid w:val="59832777"/>
    <w:rsid w:val="59B278A4"/>
    <w:rsid w:val="5A445AF1"/>
    <w:rsid w:val="5A46224C"/>
    <w:rsid w:val="5AAA0BA1"/>
    <w:rsid w:val="5ADD1D88"/>
    <w:rsid w:val="5B3C62EE"/>
    <w:rsid w:val="5B575498"/>
    <w:rsid w:val="5B7E0A9C"/>
    <w:rsid w:val="5C6D60DE"/>
    <w:rsid w:val="5CBF4B62"/>
    <w:rsid w:val="5DE77E61"/>
    <w:rsid w:val="5DF70225"/>
    <w:rsid w:val="5E526C50"/>
    <w:rsid w:val="5E8A16D2"/>
    <w:rsid w:val="5EAB3E7B"/>
    <w:rsid w:val="5F0227F5"/>
    <w:rsid w:val="5F4C495A"/>
    <w:rsid w:val="5F8564BF"/>
    <w:rsid w:val="5FD06C95"/>
    <w:rsid w:val="60BA69B8"/>
    <w:rsid w:val="60DD3CD4"/>
    <w:rsid w:val="61112A78"/>
    <w:rsid w:val="618448D4"/>
    <w:rsid w:val="619A78F1"/>
    <w:rsid w:val="61C97E3F"/>
    <w:rsid w:val="61E94D6C"/>
    <w:rsid w:val="62B0435B"/>
    <w:rsid w:val="62D1281B"/>
    <w:rsid w:val="631104D8"/>
    <w:rsid w:val="632A7E76"/>
    <w:rsid w:val="632D287D"/>
    <w:rsid w:val="638241D2"/>
    <w:rsid w:val="641E26D7"/>
    <w:rsid w:val="6477576F"/>
    <w:rsid w:val="64862513"/>
    <w:rsid w:val="6510586F"/>
    <w:rsid w:val="654350FE"/>
    <w:rsid w:val="65EA75E4"/>
    <w:rsid w:val="660763B0"/>
    <w:rsid w:val="6677779F"/>
    <w:rsid w:val="667C3224"/>
    <w:rsid w:val="66880A41"/>
    <w:rsid w:val="669B2FC5"/>
    <w:rsid w:val="66CC2FC5"/>
    <w:rsid w:val="67171D31"/>
    <w:rsid w:val="67423FC0"/>
    <w:rsid w:val="677D58B6"/>
    <w:rsid w:val="67B86D93"/>
    <w:rsid w:val="68114E93"/>
    <w:rsid w:val="681A2503"/>
    <w:rsid w:val="690C2049"/>
    <w:rsid w:val="698E2C86"/>
    <w:rsid w:val="699F5A37"/>
    <w:rsid w:val="6A1B1318"/>
    <w:rsid w:val="6A2020FB"/>
    <w:rsid w:val="6A7E0A26"/>
    <w:rsid w:val="6A8D35F7"/>
    <w:rsid w:val="6A8E1D67"/>
    <w:rsid w:val="6AC62CF7"/>
    <w:rsid w:val="6B303711"/>
    <w:rsid w:val="6B8A16EC"/>
    <w:rsid w:val="6C5E0A95"/>
    <w:rsid w:val="6CF217D4"/>
    <w:rsid w:val="6CF40E03"/>
    <w:rsid w:val="6D231C04"/>
    <w:rsid w:val="6E310583"/>
    <w:rsid w:val="6EAB3A73"/>
    <w:rsid w:val="6ECC4FFA"/>
    <w:rsid w:val="702322EF"/>
    <w:rsid w:val="704965AF"/>
    <w:rsid w:val="7060653D"/>
    <w:rsid w:val="706D2B21"/>
    <w:rsid w:val="7074517E"/>
    <w:rsid w:val="70D144B9"/>
    <w:rsid w:val="71582468"/>
    <w:rsid w:val="71A7283C"/>
    <w:rsid w:val="71F23BDE"/>
    <w:rsid w:val="71FB7453"/>
    <w:rsid w:val="72461FF7"/>
    <w:rsid w:val="72C14539"/>
    <w:rsid w:val="72FD505D"/>
    <w:rsid w:val="73304DCC"/>
    <w:rsid w:val="736E25DE"/>
    <w:rsid w:val="73923BC0"/>
    <w:rsid w:val="73D77D55"/>
    <w:rsid w:val="74827483"/>
    <w:rsid w:val="74A04CC2"/>
    <w:rsid w:val="74C82B4E"/>
    <w:rsid w:val="7559346C"/>
    <w:rsid w:val="75A47FD6"/>
    <w:rsid w:val="75AB1F6F"/>
    <w:rsid w:val="75BE564E"/>
    <w:rsid w:val="75D30CCC"/>
    <w:rsid w:val="76593360"/>
    <w:rsid w:val="76802AE3"/>
    <w:rsid w:val="76B837F1"/>
    <w:rsid w:val="77270D07"/>
    <w:rsid w:val="77682E39"/>
    <w:rsid w:val="7786202E"/>
    <w:rsid w:val="77AD5C24"/>
    <w:rsid w:val="77FB3BEE"/>
    <w:rsid w:val="78147BFA"/>
    <w:rsid w:val="78EE6A83"/>
    <w:rsid w:val="79A65137"/>
    <w:rsid w:val="7A1E4AAB"/>
    <w:rsid w:val="7A752663"/>
    <w:rsid w:val="7ACB0DAA"/>
    <w:rsid w:val="7C02664A"/>
    <w:rsid w:val="7C533D29"/>
    <w:rsid w:val="7C8D3BF7"/>
    <w:rsid w:val="7D2A26EB"/>
    <w:rsid w:val="7D7422BF"/>
    <w:rsid w:val="7D9C4AED"/>
    <w:rsid w:val="7E2C4E2F"/>
    <w:rsid w:val="7E870653"/>
    <w:rsid w:val="7E8A0771"/>
    <w:rsid w:val="7F077B28"/>
    <w:rsid w:val="7F24574F"/>
    <w:rsid w:val="7F5E3446"/>
    <w:rsid w:val="7FF71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outlineLvl w:val="0"/>
    </w:pPr>
    <w:rPr>
      <w:rFonts w:ascii="黑体" w:hAnsi="黑体" w:eastAsia="黑体"/>
      <w:bCs/>
      <w:kern w:val="44"/>
      <w:sz w:val="36"/>
      <w:szCs w:val="44"/>
    </w:rPr>
  </w:style>
  <w:style w:type="paragraph" w:styleId="4">
    <w:name w:val="heading 2"/>
    <w:basedOn w:val="1"/>
    <w:next w:val="1"/>
    <w:unhideWhenUsed/>
    <w:qFormat/>
    <w:uiPriority w:val="9"/>
    <w:pPr>
      <w:keepNext/>
      <w:keepLines/>
      <w:spacing w:before="140" w:after="140" w:line="416" w:lineRule="auto"/>
      <w:jc w:val="center"/>
      <w:outlineLvl w:val="1"/>
    </w:pPr>
    <w:rPr>
      <w:rFonts w:ascii="Calibri Light" w:hAnsi="Calibri Light" w:eastAsia="黑体" w:cs="Times New Roman"/>
      <w:b/>
      <w:bCs/>
      <w:sz w:val="30"/>
      <w:szCs w:val="32"/>
    </w:rPr>
  </w:style>
  <w:style w:type="paragraph" w:styleId="5">
    <w:name w:val="heading 3"/>
    <w:basedOn w:val="1"/>
    <w:next w:val="1"/>
    <w:unhideWhenUsed/>
    <w:qFormat/>
    <w:uiPriority w:val="0"/>
    <w:pPr>
      <w:keepNext/>
      <w:keepLines/>
      <w:spacing w:before="260" w:after="260" w:line="413" w:lineRule="auto"/>
      <w:outlineLvl w:val="2"/>
    </w:pPr>
    <w:rPr>
      <w:b/>
      <w:sz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rPr>
      <w:rFonts w:ascii="Calibri" w:hAnsi="Calibri" w:eastAsia="宋体" w:cs="Times New Roman"/>
      <w:lang w:val="en-US" w:eastAsia="zh-CN" w:bidi="ar-SA"/>
    </w:rPr>
  </w:style>
  <w:style w:type="paragraph" w:styleId="6">
    <w:name w:val="Normal Indent"/>
    <w:basedOn w:val="1"/>
    <w:qFormat/>
    <w:uiPriority w:val="0"/>
    <w:pPr>
      <w:ind w:firstLine="680"/>
    </w:pPr>
  </w:style>
  <w:style w:type="paragraph" w:styleId="7">
    <w:name w:val="annotation text"/>
    <w:basedOn w:val="1"/>
    <w:qFormat/>
    <w:uiPriority w:val="0"/>
    <w:pPr>
      <w:jc w:val="left"/>
    </w:pPr>
  </w:style>
  <w:style w:type="paragraph" w:styleId="8">
    <w:name w:val="Body Text"/>
    <w:basedOn w:val="1"/>
    <w:qFormat/>
    <w:uiPriority w:val="0"/>
  </w:style>
  <w:style w:type="paragraph" w:styleId="9">
    <w:name w:val="Body Text Indent"/>
    <w:basedOn w:val="1"/>
    <w:unhideWhenUsed/>
    <w:qFormat/>
    <w:uiPriority w:val="99"/>
    <w:pPr>
      <w:ind w:firstLine="630"/>
    </w:pPr>
    <w:rPr>
      <w:rFonts w:ascii="仿宋_GB2312" w:eastAsia="仿宋_GB2312"/>
      <w:sz w:val="32"/>
    </w:rPr>
  </w:style>
  <w:style w:type="paragraph" w:styleId="10">
    <w:name w:val="Date"/>
    <w:basedOn w:val="1"/>
    <w:next w:val="1"/>
    <w:qFormat/>
    <w:uiPriority w:val="0"/>
    <w:rPr>
      <w:snapToGrid w:val="0"/>
      <w:kern w:val="0"/>
    </w:rPr>
  </w:style>
  <w:style w:type="paragraph" w:styleId="11">
    <w:name w:val="footer"/>
    <w:basedOn w:val="1"/>
    <w:link w:val="33"/>
    <w:qFormat/>
    <w:uiPriority w:val="0"/>
    <w:pPr>
      <w:tabs>
        <w:tab w:val="center" w:pos="4153"/>
        <w:tab w:val="right" w:pos="8306"/>
      </w:tabs>
      <w:snapToGrid w:val="0"/>
      <w:jc w:val="left"/>
    </w:pPr>
    <w:rPr>
      <w:sz w:val="18"/>
      <w:szCs w:val="18"/>
    </w:rPr>
  </w:style>
  <w:style w:type="paragraph" w:styleId="12">
    <w:name w:val="header"/>
    <w:basedOn w:val="1"/>
    <w:link w:val="32"/>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style>
  <w:style w:type="paragraph" w:styleId="14">
    <w:name w:val="footnote text"/>
    <w:basedOn w:val="1"/>
    <w:qFormat/>
    <w:uiPriority w:val="0"/>
    <w:pPr>
      <w:snapToGrid w:val="0"/>
      <w:jc w:val="left"/>
    </w:pPr>
    <w:rPr>
      <w:sz w:val="18"/>
      <w:szCs w:val="18"/>
    </w:rPr>
  </w:style>
  <w:style w:type="paragraph" w:styleId="1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rPr>
  </w:style>
  <w:style w:type="paragraph" w:styleId="16">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page number"/>
    <w:basedOn w:val="19"/>
    <w:qFormat/>
    <w:uiPriority w:val="0"/>
  </w:style>
  <w:style w:type="character" w:styleId="22">
    <w:name w:val="FollowedHyperlink"/>
    <w:basedOn w:val="19"/>
    <w:qFormat/>
    <w:uiPriority w:val="0"/>
    <w:rPr>
      <w:color w:val="4D7AD8"/>
      <w:u w:val="none"/>
    </w:rPr>
  </w:style>
  <w:style w:type="character" w:styleId="23">
    <w:name w:val="HTML Definition"/>
    <w:basedOn w:val="19"/>
    <w:qFormat/>
    <w:uiPriority w:val="0"/>
    <w:rPr>
      <w:i/>
      <w:bdr w:val="single" w:color="CCCCCC" w:sz="6" w:space="0"/>
      <w:shd w:val="clear" w:fill="CCCCCC"/>
    </w:rPr>
  </w:style>
  <w:style w:type="character" w:styleId="24">
    <w:name w:val="Hyperlink"/>
    <w:basedOn w:val="19"/>
    <w:qFormat/>
    <w:uiPriority w:val="0"/>
    <w:rPr>
      <w:color w:val="4D7AD8"/>
      <w:u w:val="none"/>
    </w:rPr>
  </w:style>
  <w:style w:type="character" w:styleId="25">
    <w:name w:val="HTML Code"/>
    <w:basedOn w:val="19"/>
    <w:qFormat/>
    <w:uiPriority w:val="0"/>
    <w:rPr>
      <w:rFonts w:ascii="Consolas" w:hAnsi="Consolas" w:eastAsia="Consolas" w:cs="Consolas"/>
      <w:sz w:val="21"/>
      <w:szCs w:val="21"/>
    </w:rPr>
  </w:style>
  <w:style w:type="character" w:styleId="26">
    <w:name w:val="annotation reference"/>
    <w:basedOn w:val="19"/>
    <w:qFormat/>
    <w:uiPriority w:val="0"/>
    <w:rPr>
      <w:sz w:val="21"/>
      <w:szCs w:val="21"/>
    </w:rPr>
  </w:style>
  <w:style w:type="character" w:styleId="27">
    <w:name w:val="footnote reference"/>
    <w:basedOn w:val="19"/>
    <w:qFormat/>
    <w:uiPriority w:val="0"/>
    <w:rPr>
      <w:vertAlign w:val="superscript"/>
    </w:rPr>
  </w:style>
  <w:style w:type="character" w:styleId="28">
    <w:name w:val="HTML Keyboard"/>
    <w:basedOn w:val="19"/>
    <w:qFormat/>
    <w:uiPriority w:val="0"/>
    <w:rPr>
      <w:rFonts w:hint="default" w:ascii="Consolas" w:hAnsi="Consolas" w:eastAsia="Consolas" w:cs="Consolas"/>
      <w:sz w:val="21"/>
      <w:szCs w:val="21"/>
    </w:rPr>
  </w:style>
  <w:style w:type="character" w:styleId="29">
    <w:name w:val="HTML Sample"/>
    <w:basedOn w:val="19"/>
    <w:qFormat/>
    <w:uiPriority w:val="0"/>
    <w:rPr>
      <w:rFonts w:hint="default" w:ascii="Consolas" w:hAnsi="Consolas" w:eastAsia="Consolas" w:cs="Consolas"/>
      <w:sz w:val="21"/>
      <w:szCs w:val="21"/>
    </w:rPr>
  </w:style>
  <w:style w:type="paragraph" w:customStyle="1" w:styleId="30">
    <w:name w:val="可表头"/>
    <w:qFormat/>
    <w:uiPriority w:val="99"/>
    <w:pPr>
      <w:widowControl w:val="0"/>
      <w:autoSpaceDE w:val="0"/>
      <w:autoSpaceDN w:val="0"/>
      <w:adjustRightInd w:val="0"/>
      <w:spacing w:afterLines="0" w:line="360" w:lineRule="auto"/>
      <w:ind w:firstLine="0" w:firstLineChars="0"/>
      <w:jc w:val="center"/>
    </w:pPr>
    <w:rPr>
      <w:rFonts w:ascii="宋体" w:hAnsi="宋体" w:eastAsia="宋体" w:cs="宋体"/>
      <w:b/>
      <w:bCs/>
      <w:kern w:val="2"/>
      <w:sz w:val="24"/>
      <w:szCs w:val="24"/>
      <w:lang w:val="zh-CN" w:eastAsia="zh-CN" w:bidi="ar-SA"/>
    </w:rPr>
  </w:style>
  <w:style w:type="paragraph" w:customStyle="1" w:styleId="31">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32">
    <w:name w:val="页眉 字符"/>
    <w:basedOn w:val="19"/>
    <w:link w:val="12"/>
    <w:qFormat/>
    <w:uiPriority w:val="0"/>
    <w:rPr>
      <w:rFonts w:asciiTheme="minorHAnsi" w:hAnsiTheme="minorHAnsi" w:eastAsiaTheme="minorEastAsia" w:cstheme="minorBidi"/>
      <w:kern w:val="2"/>
      <w:sz w:val="18"/>
      <w:szCs w:val="18"/>
    </w:rPr>
  </w:style>
  <w:style w:type="character" w:customStyle="1" w:styleId="33">
    <w:name w:val="页脚 字符"/>
    <w:basedOn w:val="19"/>
    <w:link w:val="11"/>
    <w:qFormat/>
    <w:uiPriority w:val="0"/>
    <w:rPr>
      <w:rFonts w:asciiTheme="minorHAnsi" w:hAnsiTheme="minorHAnsi" w:eastAsiaTheme="minorEastAsia" w:cstheme="minorBidi"/>
      <w:kern w:val="2"/>
      <w:sz w:val="18"/>
      <w:szCs w:val="18"/>
    </w:rPr>
  </w:style>
  <w:style w:type="paragraph" w:styleId="34">
    <w:name w:val="List Paragraph"/>
    <w:basedOn w:val="1"/>
    <w:qFormat/>
    <w:uiPriority w:val="99"/>
    <w:pPr>
      <w:ind w:firstLine="420" w:firstLineChars="200"/>
    </w:pPr>
  </w:style>
  <w:style w:type="paragraph" w:customStyle="1" w:styleId="35">
    <w:name w:val="s4"/>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36">
    <w:name w:val="s3"/>
    <w:basedOn w:val="19"/>
    <w:qFormat/>
    <w:uiPriority w:val="99"/>
  </w:style>
  <w:style w:type="paragraph" w:customStyle="1" w:styleId="37">
    <w:name w:val="列出段落1"/>
    <w:basedOn w:val="1"/>
    <w:qFormat/>
    <w:uiPriority w:val="99"/>
    <w:pPr>
      <w:ind w:firstLine="420" w:firstLineChars="200"/>
    </w:pPr>
    <w:rPr>
      <w:rFonts w:cs="Times New Roman"/>
      <w:szCs w:val="24"/>
    </w:rPr>
  </w:style>
  <w:style w:type="paragraph" w:customStyle="1" w:styleId="38">
    <w:name w:val="p0"/>
    <w:basedOn w:val="1"/>
    <w:qFormat/>
    <w:uiPriority w:val="0"/>
    <w:pPr>
      <w:widowControl/>
    </w:pPr>
    <w:rPr>
      <w:rFonts w:ascii="宋体" w:hAnsi="宋体" w:cs="宋体"/>
      <w:kern w:val="0"/>
      <w:szCs w:val="21"/>
    </w:rPr>
  </w:style>
  <w:style w:type="character" w:customStyle="1" w:styleId="39">
    <w:name w:val="NormalCharacter"/>
    <w:semiHidden/>
    <w:qFormat/>
    <w:uiPriority w:val="0"/>
    <w:rPr>
      <w:rFonts w:ascii="Calibri" w:hAnsi="Calibri" w:eastAsia="宋体" w:cs="Times New Roman"/>
      <w:kern w:val="2"/>
      <w:sz w:val="21"/>
      <w:szCs w:val="24"/>
      <w:lang w:val="en-US" w:eastAsia="zh-CN" w:bidi="ar-SA"/>
    </w:rPr>
  </w:style>
  <w:style w:type="paragraph" w:customStyle="1" w:styleId="40">
    <w:name w:val="彩色列表1"/>
    <w:basedOn w:val="1"/>
    <w:qFormat/>
    <w:uiPriority w:val="34"/>
    <w:pPr>
      <w:ind w:firstLine="420" w:firstLineChars="200"/>
    </w:pPr>
  </w:style>
  <w:style w:type="paragraph" w:customStyle="1" w:styleId="41">
    <w:name w:val="WPSOffice手动目录 1"/>
    <w:qFormat/>
    <w:uiPriority w:val="0"/>
    <w:rPr>
      <w:rFonts w:ascii="Times New Roman" w:hAnsi="Times New Roman" w:eastAsia="宋体" w:cs="Times New Roman"/>
      <w:lang w:val="en-US" w:eastAsia="zh-CN" w:bidi="ar-SA"/>
    </w:rPr>
  </w:style>
  <w:style w:type="paragraph" w:customStyle="1" w:styleId="42">
    <w:name w:val="正式文档"/>
    <w:basedOn w:val="1"/>
    <w:qFormat/>
    <w:uiPriority w:val="0"/>
    <w:pPr>
      <w:ind w:firstLine="420"/>
    </w:pPr>
    <w:rPr>
      <w:rFonts w:ascii="Times New Roman" w:hAnsi="Times New Roman"/>
      <w:sz w:val="32"/>
    </w:rPr>
  </w:style>
  <w:style w:type="paragraph" w:customStyle="1" w:styleId="43">
    <w:name w:val="标题1A"/>
    <w:basedOn w:val="1"/>
    <w:qFormat/>
    <w:uiPriority w:val="0"/>
    <w:pPr>
      <w:keepNext/>
      <w:keepLines/>
      <w:ind w:firstLine="0" w:firstLineChars="0"/>
      <w:jc w:val="center"/>
      <w:outlineLvl w:val="0"/>
    </w:pPr>
    <w:rPr>
      <w:rFonts w:ascii="等线 Light" w:hAnsi="等线 Light" w:eastAsia="等线 Light"/>
      <w:b/>
      <w:sz w:val="44"/>
    </w:rPr>
  </w:style>
  <w:style w:type="character" w:customStyle="1" w:styleId="44">
    <w:name w:val="ant-select-tree-checkbox"/>
    <w:basedOn w:val="19"/>
    <w:qFormat/>
    <w:uiPriority w:val="0"/>
  </w:style>
  <w:style w:type="character" w:customStyle="1" w:styleId="45">
    <w:name w:val="ant-tree-iconele"/>
    <w:basedOn w:val="19"/>
    <w:qFormat/>
    <w:uiPriority w:val="0"/>
  </w:style>
  <w:style w:type="character" w:customStyle="1" w:styleId="46">
    <w:name w:val="ant-tree-switcher"/>
    <w:basedOn w:val="19"/>
    <w:qFormat/>
    <w:uiPriority w:val="0"/>
  </w:style>
  <w:style w:type="character" w:customStyle="1" w:styleId="47">
    <w:name w:val="ant-tree-checkbox6"/>
    <w:basedOn w:val="19"/>
    <w:qFormat/>
    <w:uiPriority w:val="0"/>
  </w:style>
  <w:style w:type="character" w:customStyle="1" w:styleId="48">
    <w:name w:val="current-node"/>
    <w:basedOn w:val="19"/>
    <w:qFormat/>
    <w:uiPriority w:val="0"/>
    <w:rPr>
      <w:bdr w:val="single" w:color="F5B87B" w:sz="6" w:space="0"/>
      <w:shd w:val="clear" w:fill="FFE8CC"/>
    </w:rPr>
  </w:style>
  <w:style w:type="character" w:customStyle="1" w:styleId="49">
    <w:name w:val="ant-radio+*"/>
    <w:basedOn w:val="19"/>
    <w:qFormat/>
    <w:uiPriority w:val="0"/>
  </w:style>
  <w:style w:type="character" w:customStyle="1" w:styleId="50">
    <w:name w:val="button"/>
    <w:basedOn w:val="19"/>
    <w:qFormat/>
    <w:uiPriority w:val="0"/>
  </w:style>
  <w:style w:type="character" w:customStyle="1" w:styleId="51">
    <w:name w:val="button1"/>
    <w:basedOn w:val="19"/>
    <w:qFormat/>
    <w:uiPriority w:val="0"/>
  </w:style>
  <w:style w:type="character" w:customStyle="1" w:styleId="52">
    <w:name w:val="passed-node"/>
    <w:basedOn w:val="19"/>
    <w:qFormat/>
    <w:uiPriority w:val="0"/>
    <w:rPr>
      <w:bdr w:val="single" w:color="49A8D4" w:sz="6" w:space="0"/>
      <w:shd w:val="clear" w:fill="A9E3FF"/>
    </w:rPr>
  </w:style>
  <w:style w:type="character" w:customStyle="1" w:styleId="53">
    <w:name w:val="not-pass-node"/>
    <w:basedOn w:val="19"/>
    <w:qFormat/>
    <w:uiPriority w:val="0"/>
    <w:rPr>
      <w:bdr w:val="single" w:color="5ABD6B" w:sz="6" w:space="0"/>
      <w:shd w:val="clear" w:fill="BFF3C3"/>
    </w:rPr>
  </w:style>
  <w:style w:type="character" w:customStyle="1" w:styleId="54">
    <w:name w:val="auto-pass-node"/>
    <w:basedOn w:val="19"/>
    <w:qFormat/>
    <w:uiPriority w:val="0"/>
    <w:rPr>
      <w:bdr w:val="single" w:color="DC4446" w:sz="6" w:space="0"/>
      <w:shd w:val="clear" w:fill="A9E2FF"/>
    </w:rPr>
  </w:style>
  <w:style w:type="character" w:customStyle="1" w:styleId="55">
    <w:name w:val="wea-thumbnails-doc-content-subtitle"/>
    <w:basedOn w:val="19"/>
    <w:qFormat/>
    <w:uiPriority w:val="0"/>
    <w:rPr>
      <w:color w:val="9A9A9A"/>
    </w:rPr>
  </w:style>
  <w:style w:type="character" w:customStyle="1" w:styleId="56">
    <w:name w:val="ant-select-tree-switcher"/>
    <w:basedOn w:val="19"/>
    <w:qFormat/>
    <w:uiPriority w:val="0"/>
  </w:style>
  <w:style w:type="character" w:customStyle="1" w:styleId="57">
    <w:name w:val="ant-select-tree-iconele"/>
    <w:basedOn w:val="19"/>
    <w:qFormat/>
    <w:uiPriority w:val="0"/>
  </w:style>
  <w:style w:type="character" w:customStyle="1" w:styleId="58">
    <w:name w:val="first-of-type"/>
    <w:basedOn w:val="19"/>
    <w:qFormat/>
    <w:uiPriority w:val="0"/>
    <w:rPr>
      <w:color w:val="FF0000"/>
    </w:rPr>
  </w:style>
  <w:style w:type="character" w:customStyle="1" w:styleId="59">
    <w:name w:val="first-of-type1"/>
    <w:basedOn w:val="19"/>
    <w:qFormat/>
    <w:uiPriority w:val="0"/>
    <w:rPr>
      <w:color w:val="FF0000"/>
    </w:rPr>
  </w:style>
  <w:style w:type="character" w:customStyle="1" w:styleId="60">
    <w:name w:val="tmpztreemove_arrow"/>
    <w:basedOn w:val="19"/>
    <w:qFormat/>
    <w:uiPriority w:val="0"/>
  </w:style>
  <w:style w:type="character" w:customStyle="1" w:styleId="61">
    <w:name w:val="ant-tree-checkbox"/>
    <w:basedOn w:val="19"/>
    <w:qFormat/>
    <w:uiPriority w:val="0"/>
  </w:style>
  <w:style w:type="character" w:customStyle="1" w:styleId="62">
    <w:name w:val="ant-select-tree-checkbox2"/>
    <w:basedOn w:val="19"/>
    <w:qFormat/>
    <w:uiPriority w:val="0"/>
  </w:style>
  <w:style w:type="character" w:customStyle="1" w:styleId="63">
    <w:name w:val="font91"/>
    <w:basedOn w:val="19"/>
    <w:qFormat/>
    <w:uiPriority w:val="0"/>
    <w:rPr>
      <w:rFonts w:hint="eastAsia" w:ascii="仿宋" w:hAnsi="仿宋" w:eastAsia="仿宋" w:cs="仿宋"/>
      <w:b/>
      <w:color w:val="000000"/>
      <w:sz w:val="24"/>
      <w:szCs w:val="24"/>
      <w:u w:val="none"/>
    </w:rPr>
  </w:style>
  <w:style w:type="character" w:customStyle="1" w:styleId="64">
    <w:name w:val="font21"/>
    <w:basedOn w:val="19"/>
    <w:qFormat/>
    <w:uiPriority w:val="0"/>
    <w:rPr>
      <w:rFonts w:ascii="font-weight : 400" w:hAnsi="font-weight : 400" w:eastAsia="font-weight : 400" w:cs="font-weight : 400"/>
      <w:color w:val="000000"/>
      <w:sz w:val="22"/>
      <w:szCs w:val="22"/>
      <w:u w:val="single"/>
    </w:rPr>
  </w:style>
  <w:style w:type="character" w:customStyle="1" w:styleId="65">
    <w:name w:val="font11"/>
    <w:basedOn w:val="19"/>
    <w:qFormat/>
    <w:uiPriority w:val="0"/>
    <w:rPr>
      <w:rFonts w:hint="default" w:ascii="font-weight : 400" w:hAnsi="font-weight : 400" w:eastAsia="font-weight : 400" w:cs="font-weight : 400"/>
      <w:color w:val="000000"/>
      <w:sz w:val="22"/>
      <w:szCs w:val="22"/>
      <w:u w:val="none"/>
    </w:rPr>
  </w:style>
  <w:style w:type="paragraph" w:customStyle="1" w:styleId="66">
    <w:name w:val="p15"/>
    <w:basedOn w:val="1"/>
    <w:qFormat/>
    <w:uiPriority w:val="0"/>
    <w:pPr>
      <w:widowControl/>
      <w:snapToGrid w:val="0"/>
      <w:jc w:val="left"/>
    </w:pPr>
    <w:rPr>
      <w:rFonts w:ascii="仿宋_GB2312" w:hAnsi="宋体" w:eastAsia="仿宋_GB2312" w:cs="宋体"/>
      <w:color w:val="000000"/>
      <w:kern w:val="0"/>
      <w:sz w:val="24"/>
      <w:szCs w:val="24"/>
    </w:rPr>
  </w:style>
  <w:style w:type="character" w:customStyle="1" w:styleId="67">
    <w:name w:val="16"/>
    <w:qFormat/>
    <w:uiPriority w:val="0"/>
    <w:rPr>
      <w:rFonts w:hint="default" w:ascii="Times New Roman" w:hAnsi="Times New Roman" w:cs="Times New Roman"/>
      <w:sz w:val="21"/>
      <w:szCs w:val="21"/>
    </w:rPr>
  </w:style>
  <w:style w:type="character" w:customStyle="1" w:styleId="68">
    <w:name w:val="first-child"/>
    <w:basedOn w:val="19"/>
    <w:uiPriority w:val="0"/>
    <w:rPr>
      <w:color w:val="999999"/>
      <w:sz w:val="33"/>
      <w:szCs w:val="33"/>
      <w:bdr w:val="none" w:color="auto" w:sz="0" w:space="0"/>
    </w:rPr>
  </w:style>
  <w:style w:type="character" w:customStyle="1" w:styleId="69">
    <w:name w:val="first-child1"/>
    <w:basedOn w:val="19"/>
    <w:uiPriority w:val="0"/>
  </w:style>
  <w:style w:type="character" w:customStyle="1" w:styleId="70">
    <w:name w:val="first-child2"/>
    <w:basedOn w:val="19"/>
    <w:uiPriority w:val="0"/>
  </w:style>
  <w:style w:type="character" w:customStyle="1" w:styleId="71">
    <w:name w:val="first-of-type2"/>
    <w:basedOn w:val="19"/>
    <w:uiPriority w:val="0"/>
    <w:rPr>
      <w:color w:val="FF0000"/>
    </w:rPr>
  </w:style>
  <w:style w:type="character" w:customStyle="1" w:styleId="72">
    <w:name w:val="cke_dialog_ui_button"/>
    <w:basedOn w:val="19"/>
    <w:uiPriority w:val="0"/>
    <w:rPr>
      <w:bdr w:val="none" w:color="auto" w:sz="0" w:space="0"/>
    </w:rPr>
  </w:style>
  <w:style w:type="character" w:customStyle="1" w:styleId="73">
    <w:name w:val="cke_colorbox2"/>
    <w:basedOn w:val="19"/>
    <w:uiPriority w:val="0"/>
  </w:style>
  <w:style w:type="character" w:customStyle="1" w:styleId="74">
    <w:name w:val="cke_colorbox3"/>
    <w:basedOn w:val="19"/>
    <w:uiPriority w:val="0"/>
  </w:style>
  <w:style w:type="character" w:customStyle="1" w:styleId="75">
    <w:name w:val="cke_colorbox4"/>
    <w:basedOn w:val="19"/>
    <w:uiPriority w:val="0"/>
  </w:style>
  <w:style w:type="character" w:customStyle="1" w:styleId="76">
    <w:name w:val="cke_colorbox5"/>
    <w:basedOn w:val="19"/>
    <w:uiPriority w:val="0"/>
    <w:rPr>
      <w:bdr w:val="single" w:color="808080" w:sz="6" w:space="0"/>
    </w:rPr>
  </w:style>
  <w:style w:type="character" w:customStyle="1" w:styleId="77">
    <w:name w:val="ant-tree-checkbox8"/>
    <w:basedOn w:val="19"/>
    <w:uiPriority w:val="0"/>
  </w:style>
  <w:style w:type="character" w:customStyle="1" w:styleId="78">
    <w:name w:val="last-child1"/>
    <w:basedOn w:val="19"/>
    <w:uiPriority w:val="0"/>
  </w:style>
  <w:style w:type="character" w:customStyle="1" w:styleId="79">
    <w:name w:val="label16"/>
    <w:basedOn w:val="19"/>
    <w:uiPriority w:val="0"/>
  </w:style>
  <w:style w:type="character" w:customStyle="1" w:styleId="80">
    <w:name w:val="label17"/>
    <w:basedOn w:val="19"/>
    <w:uiPriority w:val="0"/>
  </w:style>
  <w:style w:type="character" w:customStyle="1" w:styleId="81">
    <w:name w:val="isrevision"/>
    <w:basedOn w:val="19"/>
    <w:uiPriority w:val="0"/>
    <w:rPr>
      <w:color w:val="000000"/>
      <w:sz w:val="18"/>
      <w:szCs w:val="18"/>
      <w:bdr w:val="single" w:color="E9E9E9" w:sz="6" w:space="0"/>
      <w:shd w:val="clear" w:fill="FFFFFF"/>
    </w:rPr>
  </w:style>
  <w:style w:type="character" w:customStyle="1" w:styleId="82">
    <w:name w:val="nth-child(2)2"/>
    <w:basedOn w:val="19"/>
    <w:uiPriority w:val="0"/>
  </w:style>
  <w:style w:type="character" w:customStyle="1" w:styleId="83">
    <w:name w:val="hover41"/>
    <w:basedOn w:val="19"/>
    <w:uiPriority w:val="0"/>
    <w:rPr>
      <w:color w:val="009DFF"/>
    </w:rPr>
  </w:style>
  <w:style w:type="character" w:customStyle="1" w:styleId="84">
    <w:name w:val="hover42"/>
    <w:basedOn w:val="19"/>
    <w:uiPriority w:val="0"/>
    <w:rPr>
      <w:color w:val="009DFF"/>
    </w:rPr>
  </w:style>
  <w:style w:type="character" w:customStyle="1" w:styleId="85">
    <w:name w:val="ant-table-row-expand-icon4"/>
    <w:basedOn w:val="19"/>
    <w:uiPriority w:val="0"/>
    <w:rPr>
      <w:vanish/>
    </w:rPr>
  </w:style>
  <w:style w:type="character" w:customStyle="1" w:styleId="86">
    <w:name w:val="cke_notification_progress"/>
    <w:basedOn w:val="19"/>
    <w:uiPriority w:val="0"/>
    <w:rPr>
      <w:bdr w:val="none" w:color="auto" w:sz="0" w:space="0"/>
      <w:shd w:val="clear" w:fill="0F74A8"/>
    </w:rPr>
  </w:style>
  <w:style w:type="character" w:customStyle="1" w:styleId="87">
    <w:name w:val="top-label"/>
    <w:basedOn w:val="19"/>
    <w:uiPriority w:val="0"/>
  </w:style>
  <w:style w:type="character" w:customStyle="1" w:styleId="88">
    <w:name w:val="wea-dropdown-triangle2"/>
    <w:basedOn w:val="19"/>
    <w:uiPriority w:val="0"/>
  </w:style>
  <w:style w:type="character" w:customStyle="1" w:styleId="89">
    <w:name w:val="disabled4"/>
    <w:basedOn w:val="19"/>
    <w:uiPriority w:val="0"/>
    <w:rPr>
      <w:color w:val="AAAAAA"/>
      <w:shd w:val="clear" w:fill="F7F7F7"/>
    </w:rPr>
  </w:style>
  <w:style w:type="character" w:customStyle="1" w:styleId="90">
    <w:name w:val="cke_path_empty2"/>
    <w:basedOn w:val="19"/>
    <w:uiPriority w:val="0"/>
    <w:rPr>
      <w:b/>
      <w:color w:val="484848"/>
      <w:sz w:val="16"/>
      <w:szCs w:val="16"/>
      <w:u w:val="none"/>
      <w:bdr w:val="none" w:color="auto" w:sz="0" w:space="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崖州区</Company>
  <Pages>4</Pages>
  <Words>805</Words>
  <Characters>892</Characters>
  <Lines>6</Lines>
  <Paragraphs>1</Paragraphs>
  <TotalTime>18</TotalTime>
  <ScaleCrop>false</ScaleCrop>
  <LinksUpToDate>false</LinksUpToDate>
  <CharactersWithSpaces>938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2019-12-16T07:51:00Z</dcterms:created>
  <dc:creator>苑铮</dc:creator>
  <cp:lastModifiedBy>管理局发文员</cp:lastModifiedBy>
  <cp:lastPrinted>2021-10-11T12:02:00Z</cp:lastPrinted>
  <dcterms:modified xsi:type="dcterms:W3CDTF">2025-04-15T03:24:16Z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