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widowControl/>
        <w:suppressLineNumbers w:val="0"/>
        <w:ind w:left="0" w:firstLine="420"/>
        <w:jc w:val="center"/>
        <w:rPr>
          <w:rFonts w:hint="eastAsia" w:ascii="宋体" w:hAnsi="宋体" w:eastAsia="宋体" w:cs="宋体"/>
          <w:sz w:val="24"/>
          <w:szCs w:val="24"/>
        </w:rPr>
      </w:pPr>
      <w:bookmarkStart w:id="0" w:name="OLE_LINK3"/>
      <w:r>
        <w:rPr>
          <w:rFonts w:hint="eastAsia" w:ascii="宋体" w:hAnsi="宋体" w:eastAsia="宋体" w:cs="宋体"/>
          <w:b/>
          <w:sz w:val="36"/>
          <w:szCs w:val="36"/>
        </w:rPr>
        <w:t>三亚市人民政府</w:t>
      </w:r>
    </w:p>
    <w:p>
      <w:pPr>
        <w:pStyle w:val="9"/>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sz w:val="36"/>
          <w:szCs w:val="36"/>
        </w:rPr>
        <w:t>关于印发《三亚市集体土地征</w:t>
      </w:r>
      <w:bookmarkStart w:id="1" w:name="_GoBack"/>
      <w:bookmarkEnd w:id="1"/>
      <w:r>
        <w:rPr>
          <w:rFonts w:hint="eastAsia" w:ascii="宋体" w:hAnsi="宋体" w:eastAsia="宋体" w:cs="宋体"/>
          <w:b/>
          <w:sz w:val="36"/>
          <w:szCs w:val="36"/>
        </w:rPr>
        <w:t>收补偿安置</w:t>
      </w:r>
    </w:p>
    <w:p>
      <w:pPr>
        <w:pStyle w:val="9"/>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sz w:val="36"/>
          <w:szCs w:val="36"/>
        </w:rPr>
        <w:t>管理规定》的通知</w:t>
      </w:r>
    </w:p>
    <w:p>
      <w:pPr>
        <w:pStyle w:val="9"/>
        <w:keepNext w:val="0"/>
        <w:keepLines w:val="0"/>
        <w:widowControl/>
        <w:suppressLineNumbers w:val="0"/>
        <w:ind w:left="0" w:firstLine="420"/>
        <w:jc w:val="center"/>
        <w:rPr>
          <w:sz w:val="24"/>
          <w:szCs w:val="24"/>
        </w:rPr>
      </w:pPr>
      <w:r>
        <w:rPr>
          <w:rFonts w:ascii="楷体" w:hAnsi="楷体" w:eastAsia="楷体" w:cs="楷体"/>
          <w:sz w:val="24"/>
          <w:szCs w:val="24"/>
        </w:rPr>
        <w:t>三府规〔2025〕23号</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 </w:t>
      </w:r>
    </w:p>
    <w:p>
      <w:pPr>
        <w:pStyle w:val="9"/>
        <w:keepNext w:val="0"/>
        <w:keepLines w:val="0"/>
        <w:widowControl/>
        <w:suppressLineNumbers w:val="0"/>
        <w:jc w:val="both"/>
        <w:rPr>
          <w:rFonts w:hint="eastAsia" w:ascii="宋体" w:hAnsi="宋体" w:eastAsia="宋体" w:cs="宋体"/>
          <w:sz w:val="24"/>
          <w:szCs w:val="24"/>
        </w:rPr>
      </w:pPr>
      <w:r>
        <w:rPr>
          <w:rFonts w:hint="eastAsia" w:ascii="宋体" w:hAnsi="宋体" w:eastAsia="宋体" w:cs="宋体"/>
          <w:sz w:val="24"/>
          <w:szCs w:val="24"/>
        </w:rPr>
        <w:t>各区人民政府，各管委会，市政府直属各单位：</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《三亚市集体土地征收补偿安置管理规定》已于2025年12月25日经八届三亚市人民政府第84次常务会议审议通过，现印发给你们，请认真贯彻执行。</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   </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   </w:t>
      </w:r>
    </w:p>
    <w:p>
      <w:pPr>
        <w:pStyle w:val="9"/>
        <w:keepNext w:val="0"/>
        <w:keepLines w:val="0"/>
        <w:widowControl/>
        <w:suppressLineNumbers w:val="0"/>
        <w:ind w:left="0" w:firstLine="420"/>
        <w:jc w:val="right"/>
        <w:rPr>
          <w:rFonts w:hint="eastAsia" w:ascii="宋体" w:hAnsi="宋体" w:eastAsia="宋体" w:cs="宋体"/>
          <w:sz w:val="24"/>
          <w:szCs w:val="24"/>
        </w:rPr>
      </w:pPr>
      <w:r>
        <w:rPr>
          <w:rFonts w:hint="eastAsia" w:ascii="宋体" w:hAnsi="宋体" w:eastAsia="宋体" w:cs="宋体"/>
          <w:sz w:val="24"/>
          <w:szCs w:val="24"/>
        </w:rPr>
        <w:t>三亚市人民政府</w:t>
      </w:r>
    </w:p>
    <w:p>
      <w:pPr>
        <w:pStyle w:val="9"/>
        <w:keepNext w:val="0"/>
        <w:keepLines w:val="0"/>
        <w:widowControl/>
        <w:suppressLineNumbers w:val="0"/>
        <w:ind w:left="0" w:firstLine="420"/>
        <w:jc w:val="right"/>
        <w:rPr>
          <w:rFonts w:hint="eastAsia" w:ascii="宋体" w:hAnsi="宋体" w:eastAsia="宋体" w:cs="宋体"/>
          <w:sz w:val="24"/>
          <w:szCs w:val="24"/>
        </w:rPr>
      </w:pPr>
      <w:r>
        <w:rPr>
          <w:rFonts w:hint="eastAsia" w:ascii="宋体" w:hAnsi="宋体" w:eastAsia="宋体" w:cs="宋体"/>
          <w:sz w:val="24"/>
          <w:szCs w:val="24"/>
        </w:rPr>
        <w:t>2025年12月30日</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（此件主动公开）</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 </w:t>
      </w:r>
    </w:p>
    <w:p>
      <w:pPr>
        <w:pStyle w:val="9"/>
        <w:keepNext w:val="0"/>
        <w:keepLines w:val="0"/>
        <w:widowControl/>
        <w:suppressLineNumbers w:val="0"/>
        <w:ind w:left="0" w:firstLine="420"/>
        <w:jc w:val="center"/>
        <w:rPr>
          <w:rFonts w:hint="eastAsia" w:ascii="宋体" w:hAnsi="宋体" w:eastAsia="宋体" w:cs="宋体"/>
          <w:sz w:val="24"/>
          <w:szCs w:val="24"/>
        </w:rPr>
      </w:pPr>
      <w:r>
        <w:rPr>
          <w:rFonts w:hint="eastAsia" w:ascii="宋体" w:hAnsi="宋体" w:eastAsia="宋体" w:cs="宋体"/>
          <w:b/>
          <w:sz w:val="24"/>
          <w:szCs w:val="24"/>
        </w:rPr>
        <w:t>三亚市集体土地征收补偿安置管理规定</w:t>
      </w:r>
    </w:p>
    <w:p>
      <w:pPr>
        <w:pStyle w:val="9"/>
        <w:keepNext w:val="0"/>
        <w:keepLines w:val="0"/>
        <w:widowControl/>
        <w:suppressLineNumbers w:val="0"/>
        <w:ind w:left="0" w:firstLine="420"/>
        <w:jc w:val="center"/>
        <w:rPr>
          <w:rFonts w:hint="eastAsia" w:ascii="宋体" w:hAnsi="宋体" w:eastAsia="宋体" w:cs="宋体"/>
          <w:sz w:val="24"/>
          <w:szCs w:val="24"/>
        </w:rPr>
      </w:pPr>
    </w:p>
    <w:p>
      <w:pPr>
        <w:pStyle w:val="9"/>
        <w:keepNext w:val="0"/>
        <w:keepLines w:val="0"/>
        <w:widowControl/>
        <w:suppressLineNumbers w:val="0"/>
        <w:ind w:left="0" w:firstLine="420"/>
        <w:jc w:val="center"/>
        <w:rPr>
          <w:sz w:val="24"/>
          <w:szCs w:val="24"/>
        </w:rPr>
      </w:pPr>
      <w:r>
        <w:rPr>
          <w:rFonts w:ascii="黑体" w:hAnsi="宋体" w:eastAsia="黑体" w:cs="黑体"/>
          <w:sz w:val="24"/>
          <w:szCs w:val="24"/>
        </w:rPr>
        <w:t>第一章  总 则</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第一条</w:t>
      </w:r>
      <w:r>
        <w:rPr>
          <w:rFonts w:hint="eastAsia" w:ascii="宋体" w:hAnsi="宋体" w:eastAsia="宋体" w:cs="宋体"/>
          <w:sz w:val="24"/>
          <w:szCs w:val="24"/>
        </w:rPr>
        <w:t xml:space="preserve"> 为了加强对本市集体土地征收补偿和安置工作的管理，规范集体土地征收程序，保护被征地的农村集体经济组织及其成员和其他权利人的合法权益，根据《中华人民共和国土地管理法》《中华人民共和国土地管理法实施条例》、《海南自由贸易港土地管理条例》《海南省土地征收补偿安置管理办法》等有关法律法规，结合本市实际，制定本规定。</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第二条</w:t>
      </w:r>
      <w:r>
        <w:rPr>
          <w:rFonts w:hint="eastAsia" w:ascii="宋体" w:hAnsi="宋体" w:eastAsia="宋体" w:cs="宋体"/>
          <w:sz w:val="24"/>
          <w:szCs w:val="24"/>
        </w:rPr>
        <w:t xml:space="preserve"> 本规定所称集体土地征收补偿安置是指为了公共利益及实施规划的需要，依法征收农村集体经济组织所有土地以及地上住宅、其他地上附着物和青苗等，并给予被征地农村集体经济组织及其成员和其他权利人补偿和安置的行为。</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第三条</w:t>
      </w:r>
      <w:r>
        <w:rPr>
          <w:rFonts w:hint="eastAsia" w:ascii="宋体" w:hAnsi="宋体" w:eastAsia="宋体" w:cs="宋体"/>
          <w:sz w:val="24"/>
          <w:szCs w:val="24"/>
        </w:rPr>
        <w:t xml:space="preserve"> 凡在本市行政区域内征收集体所有土地，进行补偿安置的，适用本规定。</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依法有偿收回国有农场、林场及盐场土地使用权的（不包含房屋），可以参照所在区片的征地区片综合地价给予补偿，房屋补偿参照其他相应的规定。</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国家和本省确定的铁路、公路、机场、航道港口、水利工程及国防军事设施等重大基础设施建设项目征收土地的补偿和安置标准另有规定的，从其规定。</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第四条</w:t>
      </w:r>
      <w:r>
        <w:rPr>
          <w:rFonts w:hint="eastAsia" w:ascii="宋体" w:hAnsi="宋体" w:eastAsia="宋体" w:cs="宋体"/>
          <w:sz w:val="24"/>
          <w:szCs w:val="24"/>
        </w:rPr>
        <w:t>  集体土地征收补偿安置应遵循程序合法、结果公开、补偿公平合理的原则。</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第五条</w:t>
      </w:r>
      <w:r>
        <w:rPr>
          <w:rFonts w:hint="eastAsia" w:ascii="宋体" w:hAnsi="宋体" w:eastAsia="宋体" w:cs="宋体"/>
          <w:sz w:val="24"/>
          <w:szCs w:val="24"/>
        </w:rPr>
        <w:t xml:space="preserve"> 确需征收集体土地的，应符合《中华人民共和国土地管理法》第四十五条规定的公共利益情形和本市国民经济和社会发展规划、国土空间规划等规划。</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第六条</w:t>
      </w:r>
      <w:r>
        <w:rPr>
          <w:rFonts w:hint="eastAsia" w:ascii="宋体" w:hAnsi="宋体" w:eastAsia="宋体" w:cs="宋体"/>
          <w:sz w:val="24"/>
          <w:szCs w:val="24"/>
        </w:rPr>
        <w:t xml:space="preserve"> 本市土地征收成片开发的标准和程序应当符合《自然资源部关于印发〈土地征收成片开发标准〉的通知》（自然资规〔2023〕7号）《海南省自然资源和规划厅关于印发〈海南省土地征收成片开发标准实施细则〉的通知》（琼自然资规〔2024〕4号）的规定。</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第七条</w:t>
      </w:r>
      <w:r>
        <w:rPr>
          <w:rFonts w:hint="eastAsia" w:ascii="宋体" w:hAnsi="宋体" w:eastAsia="宋体" w:cs="宋体"/>
          <w:sz w:val="24"/>
          <w:szCs w:val="24"/>
        </w:rPr>
        <w:t xml:space="preserve"> 市自然资源和规划主管部门统一负责本市行政区域内集体土地征收补偿安置的业务指导工作。征收土地具体补偿安置工作按照属地管理的原则由被征收土地所在的区人民政府负责组织实施。</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育才生态区管理委员会根据市人民政府的授权，参照前款规定组织实施征收土地补偿安置工作。</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第八条</w:t>
      </w:r>
      <w:r>
        <w:rPr>
          <w:rFonts w:hint="eastAsia" w:ascii="宋体" w:hAnsi="宋体" w:eastAsia="宋体" w:cs="宋体"/>
          <w:sz w:val="24"/>
          <w:szCs w:val="24"/>
        </w:rPr>
        <w:t xml:space="preserve"> 被征收土地的农村集体经济组织及其成员和其他权利人应当服从公共利益的需要安排，支持和配合集体土地征收补偿安置工作。</w:t>
      </w:r>
    </w:p>
    <w:p>
      <w:pPr>
        <w:pStyle w:val="9"/>
        <w:keepNext w:val="0"/>
        <w:keepLines w:val="0"/>
        <w:widowControl/>
        <w:suppressLineNumbers w:val="0"/>
        <w:ind w:left="0" w:firstLine="420"/>
        <w:jc w:val="center"/>
        <w:rPr>
          <w:sz w:val="24"/>
          <w:szCs w:val="24"/>
        </w:rPr>
      </w:pPr>
      <w:r>
        <w:rPr>
          <w:rFonts w:hint="eastAsia" w:ascii="黑体" w:hAnsi="宋体" w:eastAsia="黑体" w:cs="黑体"/>
          <w:sz w:val="24"/>
          <w:szCs w:val="24"/>
        </w:rPr>
        <w:t>第二章  征收程序</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第九条</w:t>
      </w:r>
      <w:r>
        <w:rPr>
          <w:rFonts w:hint="eastAsia" w:ascii="宋体" w:hAnsi="宋体" w:eastAsia="宋体" w:cs="宋体"/>
          <w:sz w:val="24"/>
          <w:szCs w:val="24"/>
        </w:rPr>
        <w:t xml:space="preserve"> 确需征收集体土地的，区人民政府做好前期准备工作，经市自然资源和规划主管部门审核后报市人民政府，市人民政府批准并印发土地调查通知。</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第十条</w:t>
      </w:r>
      <w:r>
        <w:rPr>
          <w:rFonts w:hint="eastAsia" w:ascii="宋体" w:hAnsi="宋体" w:eastAsia="宋体" w:cs="宋体"/>
          <w:sz w:val="24"/>
          <w:szCs w:val="24"/>
        </w:rPr>
        <w:t xml:space="preserve"> 拟征收土地范围确定后，区人民政府应在拟征地的村、村民小组发布征收土地预公告，预公告内容包括拟征地的位置、范围、目的、土地现状调查的安排等。预公告时间不少于十个工作日。</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自征收土地预公告发布之日起2年内，相关主管部门不得新批宅基地或其他建设用地；相关权利人在拟征收范围内进行下列行为的，不作为增加补偿、安置的依据：</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（一）新建、扩建房屋或其他建（构）筑物，办理不动产转让；</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（二）改变土地、房屋等不动产性质和用途；</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（三）办理户口迁入和分户（立户）、子女收养等涉及户籍、人口变动的手续，但因出生、婚嫁、军人转业退伍、全日制在校大中专学生毕业等确需办理户口迁入且符合户籍管理规定的除外；</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（四）抢种抢栽花卉、苗木等青苗经济作物和抢养殖等行为；</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（五）其他骗取补偿的行为。</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暂停办理期限内，除市人民政府批准外，被征地的农村集体经济组织成员和其他权利人等个人自行实施上述行为或者有关单位违反规定擅自办理相关审批确认手续的，均不得作为补偿安置的依据。</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第十一条</w:t>
      </w:r>
      <w:r>
        <w:rPr>
          <w:rFonts w:hint="eastAsia" w:ascii="宋体" w:hAnsi="宋体" w:eastAsia="宋体" w:cs="宋体"/>
          <w:sz w:val="24"/>
          <w:szCs w:val="24"/>
        </w:rPr>
        <w:t xml:space="preserve"> 征收土地预公告发布后，区人民政府组织对拟征收土地开展现状调查，并组织开展集体土地征收社会稳定风险评估工作。</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土地现状调查，应查明被征地的位置、权属、地类、用途、面积、范围及村民住宅、其他建（构）筑物、地上附着物和青苗等的权属、种类、数量等情况。拟征收土地现状调查结果在被征地村、村民小组范围内公示。被征收人应配合调查，并对调查结果确认后盖章或签字。被征收人拒不盖章或签字或者因客观原因无法盖章或签字的，可以采用照相、摄像等方式对土地现状调查结果实地取证留存依据，必要时将取证结果予以公证，作为实施征地补偿安置的依据。</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社会稳定风险评估，听取被征地的农村集体经济组织及其成员、村民委员会和其他利害关系人意见，综合研判风险等级，提出防范化解风险的具体措施，形成评估报告，并按照有关程序报送备案。</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第十二条</w:t>
      </w:r>
      <w:r>
        <w:rPr>
          <w:rFonts w:hint="eastAsia" w:ascii="宋体" w:hAnsi="宋体" w:eastAsia="宋体" w:cs="宋体"/>
          <w:sz w:val="24"/>
          <w:szCs w:val="24"/>
        </w:rPr>
        <w:t xml:space="preserve"> 因集体土地被征收，导致征收预公告确定范围外相关联的不动产无法实现合理使用的，该不动产产权人可以向征收主体单位申请将其纳入征收范围。</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前款所述情形，根据国土空间规划和用途管制，结合被征收土地的实际情况，包括土地的性质、用途、地理位置、土地利用现状等，以及被征收人的合法权益，由区人民政府确定可纳入征收范围的关联不动产面积或比例。</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第十三条</w:t>
      </w:r>
      <w:r>
        <w:rPr>
          <w:rFonts w:hint="eastAsia" w:ascii="宋体" w:hAnsi="宋体" w:eastAsia="宋体" w:cs="宋体"/>
          <w:sz w:val="24"/>
          <w:szCs w:val="24"/>
        </w:rPr>
        <w:t xml:space="preserve"> 区人民政府依据社会稳定风险评估结果，结合土地现状调查结果，组织有关部门拟定征地补偿安置方案。</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征地补偿安置方案包括征收范围、土地现状、征收目的、补偿方式和标准、安置对象、安置方式、社会保障等内容。</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征地补偿安置方案拟定后，应当在拟征收土地所在的村、村民小组内予以公告，公告时间不少于三十日。征地补偿安置公告同时载明办理补偿登记的方式和期限、异议反馈渠道等内容。</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第十四条</w:t>
      </w:r>
      <w:r>
        <w:rPr>
          <w:rFonts w:hint="eastAsia" w:ascii="宋体" w:hAnsi="宋体" w:eastAsia="宋体" w:cs="宋体"/>
          <w:sz w:val="24"/>
          <w:szCs w:val="24"/>
        </w:rPr>
        <w:t xml:space="preserve"> 半数以上被征地的农村集体经济组织成员认为征地补偿安置方案不符合法律、法规规定的，区人民政府应当组织召开听证会，认为确需修改的，应当组织修改，并重新公布。</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第十五条</w:t>
      </w:r>
      <w:r>
        <w:rPr>
          <w:rFonts w:hint="eastAsia" w:ascii="宋体" w:hAnsi="宋体" w:eastAsia="宋体" w:cs="宋体"/>
          <w:sz w:val="24"/>
          <w:szCs w:val="24"/>
        </w:rPr>
        <w:t xml:space="preserve"> 被征收土地涉及的所有权人、使用权人应当在征地补偿安置方案公告规定期限内，持身份证、户口本、土地权属证明、不动产登记证等有关证明材料到指定地点办理征地补偿安置登记手续。</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在规定期限内未到指定地点办理征地补偿安置登记的，以公示的土地现状调查结果为准，区人民政府书面告知相关权利人后，可以作为征地补偿安置的依据。</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第十六条</w:t>
      </w:r>
      <w:r>
        <w:rPr>
          <w:rFonts w:hint="eastAsia" w:ascii="宋体" w:hAnsi="宋体" w:eastAsia="宋体" w:cs="宋体"/>
          <w:sz w:val="24"/>
          <w:szCs w:val="24"/>
        </w:rPr>
        <w:t xml:space="preserve"> 区人民政府审核确定征地补偿安置方案后，组织征地实施机构与拟征收土地涉及的所有权人、使用权人签订征地补偿安置协议，明确征地补偿安置事宜。</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第十七条</w:t>
      </w:r>
      <w:r>
        <w:rPr>
          <w:rFonts w:hint="eastAsia" w:ascii="宋体" w:hAnsi="宋体" w:eastAsia="宋体" w:cs="宋体"/>
          <w:sz w:val="24"/>
          <w:szCs w:val="24"/>
        </w:rPr>
        <w:t xml:space="preserve"> 征地补偿安置协议签订后，且已具备其他集体土地征收报批法定条件的，区人民政府将相关材料报市自然资源和规划主管部门审核后，按程序向有批准权的人民政府提出征收土地申请。</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第十八条</w:t>
      </w:r>
      <w:r>
        <w:rPr>
          <w:rFonts w:hint="eastAsia" w:ascii="宋体" w:hAnsi="宋体" w:eastAsia="宋体" w:cs="宋体"/>
          <w:sz w:val="24"/>
          <w:szCs w:val="24"/>
        </w:rPr>
        <w:t xml:space="preserve"> 征收土地申请经依法批准后，区人民政府自收到批准文件之日起十五个工作日内在拟征收土地所在的村、村民小组范围内和区人民政府门户网站发布征收土地公告。</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征收土地公告应当载明批准征地机关、批准文号、征收土地的批准用途、范围、面积以及征收时间等。</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第十九条</w:t>
      </w:r>
      <w:r>
        <w:rPr>
          <w:rFonts w:hint="eastAsia" w:ascii="宋体" w:hAnsi="宋体" w:eastAsia="宋体" w:cs="宋体"/>
          <w:sz w:val="24"/>
          <w:szCs w:val="24"/>
        </w:rPr>
        <w:t xml:space="preserve"> 区人民政府依据签订的征地补偿安置协议及征地补偿安置决定，核算征地补偿款总额，应当在征地补偿安置协议约定的期限内将补偿款全额拨付给相应的补偿权利人。</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第二十条</w:t>
      </w:r>
      <w:r>
        <w:rPr>
          <w:rFonts w:hint="eastAsia" w:ascii="宋体" w:hAnsi="宋体" w:eastAsia="宋体" w:cs="宋体"/>
          <w:sz w:val="24"/>
          <w:szCs w:val="24"/>
        </w:rPr>
        <w:t xml:space="preserve"> 对个别未签订征地补偿安置协议的，由区人民政府根据土地现状调查结果、征地补偿安置方案、补偿安置登记结果等依法作出征地补偿安置决定，并送达被征收人。征地补偿安置决定书应当包括被征收人其被征收土地的面积、权属、地类、地上附着物情况、补偿标准及金额、补偿方式等内容。</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征地补偿安置决定已依法作出并送达被征收人，且征地补偿安置费用已依法给付完毕，被征地集体或者个人仍阻挠征收土地的，区人民政府可以采取措施，组织先行进场施工、平整土地。</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第二十一条</w:t>
      </w:r>
      <w:r>
        <w:rPr>
          <w:rFonts w:hint="eastAsia" w:ascii="宋体" w:hAnsi="宋体" w:eastAsia="宋体" w:cs="宋体"/>
          <w:sz w:val="24"/>
          <w:szCs w:val="24"/>
        </w:rPr>
        <w:t xml:space="preserve"> 土地征收经依法批准，且土地征收补偿安置费用已经按征地补偿安置协议、征地补偿安置决定等足额支付到位后，被征地的农村集体经济组织及其成员和其他权利人等应当在规定的期限内向区人民政府移交土地。</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被征收人未按征地补偿安置协议约定或者征地补偿安置决定的期限移交土地的，由区人民政府依法作出责令交出土地决定。被征收人对责令交出土地的决定，既未在法定期限内提出行政复议或者提起行政诉讼，亦未在规定的期限搬迁腾地的，由区人民政府依法申请人民法院强制执行。</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市综合行政执法部门协助区人民政府监督土地移交工作。</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区人民政府对征收的土地依法管理，并按流程对其不动产权证办理注销或变更登记。</w:t>
      </w:r>
    </w:p>
    <w:p>
      <w:pPr>
        <w:pStyle w:val="9"/>
        <w:keepNext w:val="0"/>
        <w:keepLines w:val="0"/>
        <w:widowControl/>
        <w:suppressLineNumbers w:val="0"/>
        <w:ind w:left="0" w:firstLine="420"/>
        <w:jc w:val="center"/>
        <w:rPr>
          <w:sz w:val="24"/>
          <w:szCs w:val="24"/>
        </w:rPr>
      </w:pPr>
      <w:r>
        <w:rPr>
          <w:rFonts w:hint="eastAsia" w:ascii="黑体" w:hAnsi="宋体" w:eastAsia="黑体" w:cs="黑体"/>
          <w:sz w:val="24"/>
          <w:szCs w:val="24"/>
        </w:rPr>
        <w:t>第三章  征地补偿</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第二十二条</w:t>
      </w:r>
      <w:r>
        <w:rPr>
          <w:rFonts w:hint="eastAsia" w:ascii="宋体" w:hAnsi="宋体" w:eastAsia="宋体" w:cs="宋体"/>
          <w:sz w:val="24"/>
          <w:szCs w:val="24"/>
        </w:rPr>
        <w:t xml:space="preserve"> 征收农村集体农用地和未利用地的土地补偿费和安置补助费标准按海南省人民政府公布的海南省征地区片综合地价中三亚市对应标准（附件1）执行，不包括地上附着物补偿费、青苗补偿费和法律规定用于社会保险缴费补贴的被征地农民社会保障费用。</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征收农村集体所有的建设用地的土地补偿费和安置补助费，参照所在区片的国有建设用地使用权进行评估补偿。集体建设用地的认定由市自然资源和规划主管部门依照相关法律法规政策结合实际情况予以确定。违法使用、变更集体土地的性质为建设用地的，不得按照建设用地的补偿标准补偿。</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第二十三条</w:t>
      </w:r>
      <w:r>
        <w:rPr>
          <w:rFonts w:hint="eastAsia" w:ascii="宋体" w:hAnsi="宋体" w:eastAsia="宋体" w:cs="宋体"/>
          <w:sz w:val="24"/>
          <w:szCs w:val="24"/>
        </w:rPr>
        <w:t xml:space="preserve"> 青苗补偿是指征收农民集体所有土地时，对其地上短期农作物、中长期经济作物以及林木等苗木给予产权人的经济补偿。按如下方式进行：</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（一）征收土地上种植成片规模的青苗，可采用包干方式进行补偿，由区人民政府将青苗补偿费拨付给包干单位，包干单位支付青苗补偿费给青苗实际产权人。</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二）征收土地上的零星青苗，无法按包干办法实行包干补偿的，可按常见短期农作物补偿标准表（附件2）、常见中长期经济作物补偿标准表（附件3）、常见林木补偿标准表（附件4）、常见观赏性苗木补偿标准表（附件5）、常见苗圃迁移费补助标准表（附件6）的标准执行。</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三）征收土地涉及的特大树木、名贵树木等不在本规定附件2至附件6中的具体类别补偿范围内的，由征收实施机构与产权人协商确定补偿费用；协商不成的，可按附件10的流程委托有相关资质的评估机构评估确定其补偿费用。</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征收补偿后的特大树木、名贵树木等特殊苗木，由属地区人民政府登记造册，依法处置。</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第二十四条</w:t>
      </w:r>
      <w:r>
        <w:rPr>
          <w:rFonts w:hint="eastAsia" w:ascii="宋体" w:hAnsi="宋体" w:eastAsia="宋体" w:cs="宋体"/>
          <w:sz w:val="24"/>
          <w:szCs w:val="24"/>
        </w:rPr>
        <w:t xml:space="preserve"> 其他地上附着物补偿是指征收农民集体所有土地时，对村民住宅以外的地上各类建（构）筑物及其他附着物等给予产权人的经济补偿。按如下方式进行：</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（一）征收土地上的各类建（构）筑物及其他附着物，按常见地上附着物补偿标准表（附件7）、养殖塘补偿标准表（附件8）的标准执行。</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二）征收土地涉及的各类建（构）筑物及其他附着物不在本规定附件7、附件8中的具体类别补偿范围内的，由征收实施机构与产权人协商确定补偿费用；协商不成的，可按附件10的流程委托有相关资质的评估机构评估确定其补偿费用。</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三）征收土地涉及的各类可迁移设施（如机电设施，水利、交通、电力、通讯、广播电视等设施、管线及地下电缆、管道等）、堆（垒）附着物、鱼（虾）苗等，按迁移补助费用给予补偿，由征收实施机构与产权人协商确定；协商不成的，可按附件10的流程委托有相关资质的评估机构评估确定其迁移补助费用。</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设施不具备重复利用、迁移后无法有效使用或无处迁移等不能迁移的地上附着物及其附属物，按附件7、附件8的补偿标准给予补偿；不在本规定附件7、附件8中的具体类别补偿范围内的，由征收实施机构与产权人协商确定补偿费用；协商不成的，可按附件10的流程委托有相关资质的评估机构评估确定其补偿费用。</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第二十五条</w:t>
      </w:r>
      <w:r>
        <w:rPr>
          <w:rFonts w:hint="eastAsia" w:ascii="宋体" w:hAnsi="宋体" w:eastAsia="宋体" w:cs="宋体"/>
          <w:sz w:val="24"/>
          <w:szCs w:val="24"/>
        </w:rPr>
        <w:t xml:space="preserve"> 因公共利益建设需要收回集体经济组织或个人在国有土地或林地上的开荒地时，对有合法用地手续的集体经济组织或个人，仅对其地上附着物和青苗按标准进行补偿；未经批准擅自使用国有土地或林地的，对其地上附着物和青苗一律不予补偿。</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违法建筑物和超过审批期限的临时建筑物，不予补偿；未超过批准期限的临时建筑物，根据剩余年限评估残值，予以适当补偿。</w:t>
      </w:r>
    </w:p>
    <w:p>
      <w:pPr>
        <w:pStyle w:val="9"/>
        <w:keepNext w:val="0"/>
        <w:keepLines w:val="0"/>
        <w:widowControl/>
        <w:suppressLineNumbers w:val="0"/>
        <w:ind w:left="0" w:firstLine="420"/>
        <w:jc w:val="center"/>
        <w:rPr>
          <w:sz w:val="24"/>
          <w:szCs w:val="24"/>
        </w:rPr>
      </w:pPr>
      <w:r>
        <w:rPr>
          <w:rFonts w:hint="eastAsia" w:ascii="黑体" w:hAnsi="宋体" w:eastAsia="黑体" w:cs="黑体"/>
          <w:sz w:val="24"/>
          <w:szCs w:val="24"/>
        </w:rPr>
        <w:t>第四章  房屋征收补偿安置</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第二十六条</w:t>
      </w:r>
      <w:r>
        <w:rPr>
          <w:rFonts w:hint="eastAsia" w:ascii="宋体" w:hAnsi="宋体" w:eastAsia="宋体" w:cs="宋体"/>
          <w:sz w:val="24"/>
          <w:szCs w:val="24"/>
        </w:rPr>
        <w:t xml:space="preserve"> 征收集体土地上的房屋（征地红线范围内）符合下列条件的，依据本规定予以补偿：</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（一）有不动产权属证明或合法审批、报建手续的；</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（二）无权属证明、报建手续但符合“一户一宅”原则且具备合法土地来源证明的村民住宅；</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（三）其他情况经区人民政府认定应当给予补偿的。</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第二十七条</w:t>
      </w:r>
      <w:r>
        <w:rPr>
          <w:rFonts w:hint="eastAsia" w:ascii="宋体" w:hAnsi="宋体" w:eastAsia="宋体" w:cs="宋体"/>
          <w:sz w:val="24"/>
          <w:szCs w:val="24"/>
        </w:rPr>
        <w:t xml:space="preserve"> 征收集体土地上住宅房屋的，补偿安置方式分为安置房安置、货币补偿、宅基地安置三种。</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安置房安置的，由市政府根据国土空间规划、土地利用总体规划就近或异地划定安置区域建设安置房对安置对象予以住房安置。</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货币补偿的按安置房所在地市场评估价予以补偿。</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在市城区规划范围外具备重新安排宅基地条件的，可实施宅基地安置，但须符合土地利用总体规划、村庄规划，以及国家、海南省和本市关于宅基地住宅的有关规定。</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第二十八条</w:t>
      </w:r>
      <w:r>
        <w:rPr>
          <w:rFonts w:hint="eastAsia" w:ascii="宋体" w:hAnsi="宋体" w:eastAsia="宋体" w:cs="宋体"/>
          <w:sz w:val="24"/>
          <w:szCs w:val="24"/>
        </w:rPr>
        <w:t xml:space="preserve"> 征地预公告发布之日前，户籍登记在被征收住宅房屋地址或在被征收住宅房屋经常居住生活的人员，符合下列情形之一的，享受相应的住宅补偿安置待遇：</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（一）户籍在本村，具有本村集体经济组织成员资格的人员及其户籍在册子女；</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本项所述户籍在册子女，包含因服兵役和在读大、中专学生等户籍临时外迁者。</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（二）已办理婚姻登记手续，户口迁入本村（入嫁妇女为男方户籍、上门女婿为女方户籍），但不具有本村集体经济组织成员资格的入嫁妇女和上门女婿。</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已办理婚姻登记手续，户口虽未迁入本村（入嫁妇女为男方户籍、上门女婿为女方户籍）），但长期在本村生活且未在原户籍所在地享受过住宅房屋安置待遇的入嫁妇女和上门女婿。</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婚后户籍仍在本村（出嫁前的村集体），并在本村长期居住生活、承包土地、履行村民义务，而在嫁入地未分配到宅基地或承包地且未享受过嫁入地住宅安置待遇的妇女及其同一户籍在册并随其生活的未成年子女。</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（三）户籍在本村，但不具有本村集体经济组织成员资格的下列人员：</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1.在第二轮土地承包（1997年12月31日）前户籍迁入本村，长期居住生活在本村的人员及其户籍在册子女；</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2.在第二轮土地承包（1997年12月31日）后户籍迁入本村，长期居住生活在本村的人员。</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四）户籍不在本村，但在本村有合法独立住宅的，且其本人以及户籍在册的家庭成员在三亚市未享受过任何政策性保障住房（含经济适用房、单位分房、集资房、房改房、安居保障房等政策性住房）的下列人员：</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1.原为本村户籍，现户籍不在本村的人员；</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2.没有本村户籍，但其住宅有镇级（含）以上政府颁发的土地使用权证或其他经区人民政府认定的合法土地来源证明。</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（五）其他特殊情况需要列入补偿安置范围的，由本人提出申请，本村村委会核实后上报，经区人民政府审核后认定为享受补偿安置待遇的人员。</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安置对象的未成年子女因客观原因未及时进行申报户籍登记的，按《中华人民共和国村民委员会组织法》和《中华人民共和国户口登记条例》的相关规定，由本村村委会调查上报，区人民政府审核通过的，列为户籍在册子女。</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征收补偿安置协议签订后、征地公告发布前出生的新生儿列为安置人员，按其父母的安置对象类型和安置标准进行补偿。</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第二十九条</w:t>
      </w:r>
      <w:r>
        <w:rPr>
          <w:rFonts w:hint="eastAsia" w:ascii="宋体" w:hAnsi="宋体" w:eastAsia="宋体" w:cs="宋体"/>
          <w:sz w:val="24"/>
          <w:szCs w:val="24"/>
        </w:rPr>
        <w:t xml:space="preserve"> 第二十八条第一款第一项、第二项、第三项之第1目的安置对象，按每人60平方米的住宅面积进行补偿；一套住宅房屋对应的安置对象仅为一人的，按120平方米住宅面积予以补偿；此外，这三类安置对象的其他差异化补偿由区人民政府在征地补偿安置方案中确定。</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第二十八条第一款第三项之第2目、第四项之第1目的安置对象，按照“一证一户”原则，按每户人均60平方米的住宅面积补偿；但每户最高补偿安置面积不超过180平方米。</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第二十八条第一款第四项之第2目的安置对象，按照“一证一户”原则，按每户人均60平方米的住宅面积补偿；但每户最高补偿安置面积不超过120平方米。</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第二十八条第一款第五项享受补偿安置待遇的人员，补偿安置标准由区人民政府确定。</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安置对象可选择安置房安置或货币补偿。被征收人享受安置房安置或货币补偿后，其宅基地使用权由政府按程序收回，不再享有宅基地安置。</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第三十条</w:t>
      </w:r>
      <w:r>
        <w:rPr>
          <w:rFonts w:hint="eastAsia" w:ascii="宋体" w:hAnsi="宋体" w:eastAsia="宋体" w:cs="宋体"/>
          <w:sz w:val="24"/>
          <w:szCs w:val="24"/>
        </w:rPr>
        <w:t xml:space="preserve"> 村民选择重新安排宅基地自建房屋予以安置的，由农村集体经济组织根据“一户一宅”原则，按照法定程序和标准为其安排宅基地。村民再建宅基地住宅房屋的，应符合海南省和本市关于宅基地建房的有关规定。</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被征地范围内村民一户多宅的，只安置一处，多余的住宅按本规定给予补偿后，宅基地使用权由政府按程序收回。</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第三十一条</w:t>
      </w:r>
      <w:r>
        <w:rPr>
          <w:rFonts w:hint="eastAsia" w:ascii="宋体" w:hAnsi="宋体" w:eastAsia="宋体" w:cs="宋体"/>
          <w:sz w:val="24"/>
          <w:szCs w:val="24"/>
        </w:rPr>
        <w:t xml:space="preserve"> 被征收人原住宅面积小于应安置房屋面积的，不再对原住宅进行补偿。</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被征收人原住宅面积小于525平方米（含525平方米）的，对其原住宅面积扣除应安置房屋面积后的剩余面积的房屋构造部分的补偿，按房屋拆迁补偿标准表 （附件9）执行；基础构造之外的装饰物的补偿，按其房屋面积以固定单价的包干方式进行补偿，具体补偿标准以区人民政府发布的征收补偿安置方案为准。</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被征收人原住宅面积大于525平方米、小于1000平方米（含1000平方米）的，对其超出525平方米面积的房屋构造部分按每平方米550元的标准给予补偿。</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被征收人原住宅面积大于1000平方米的部分，不予补偿。</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第三十二条</w:t>
      </w:r>
      <w:r>
        <w:rPr>
          <w:rFonts w:hint="eastAsia" w:ascii="宋体" w:hAnsi="宋体" w:eastAsia="宋体" w:cs="宋体"/>
          <w:sz w:val="24"/>
          <w:szCs w:val="24"/>
        </w:rPr>
        <w:t xml:space="preserve"> 村民选择安置房安置或宅基地安置的，安置房、宅基地住宅建设期间，发放临时安置补助费，由安置对象自行过渡安置。</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临时安置补助费标准为3000元/户/月，自安置对象签订征收补偿安置协议并腾空房屋当月起发放。安置房安置的，若安置房为毛坯交付，临时安置补助费发放至征收主管部门发布办理安置房交房手续公告之日起3个月止；若安置房为简装交付，临时安置补助费发放至征收主管部门发布办理安置房交房手续公告当月。安置对象无故不配合征收主管部门办理安置房交房手续的，征收主管部门按相关程序停止发放临时安置补助费。农村宅基地自建安置的，支付12个月的临时安置补助费。</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第三十三条</w:t>
      </w:r>
      <w:r>
        <w:rPr>
          <w:rFonts w:hint="eastAsia" w:ascii="宋体" w:hAnsi="宋体" w:eastAsia="宋体" w:cs="宋体"/>
          <w:sz w:val="24"/>
          <w:szCs w:val="24"/>
        </w:rPr>
        <w:t xml:space="preserve"> 被征收人选择货币补偿的，给予一次搬迁补助费3000元/户；被征收人选择安置房安置或宅基地安置的，给予两次搬迁补助费合计6000元/户。被征收人提前搬迁或者按照规定时间搬迁的，给予适当奖励，搬迁奖励发放标准为30000元/户。</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第三十四条</w:t>
      </w:r>
      <w:r>
        <w:rPr>
          <w:rFonts w:hint="eastAsia" w:ascii="宋体" w:hAnsi="宋体" w:eastAsia="宋体" w:cs="宋体"/>
          <w:sz w:val="24"/>
          <w:szCs w:val="24"/>
        </w:rPr>
        <w:t xml:space="preserve"> 征收集体土地上公共设施、集体经营性用房等非住宅房屋，按照房屋性质用途评估予以货币补偿。</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征收集体土地上非住宅房屋造成停产、停业的，给予适当的营业损失补偿。补偿标准以征地公告发布前一年的月平均营业额的8%计算，营业额以税务部门核准的纳税申报为准。对于不能提供纳税情况、财务报表或者无法核算税后利润的，按50元/平方米/月给予停产停业补偿。实际营业期每满一年，补偿一个月，补偿期限最长不超过6个月；实际营业期不满一年的，补偿1个月。</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个人将住宅房屋改为非住宅房屋的，仍按住宅房屋标准进行补偿。</w:t>
      </w:r>
    </w:p>
    <w:p>
      <w:pPr>
        <w:pStyle w:val="9"/>
        <w:keepNext w:val="0"/>
        <w:keepLines w:val="0"/>
        <w:widowControl/>
        <w:suppressLineNumbers w:val="0"/>
        <w:ind w:left="0" w:firstLine="420"/>
        <w:jc w:val="center"/>
        <w:rPr>
          <w:sz w:val="24"/>
          <w:szCs w:val="24"/>
        </w:rPr>
      </w:pPr>
      <w:r>
        <w:rPr>
          <w:rFonts w:hint="eastAsia" w:ascii="黑体" w:hAnsi="宋体" w:eastAsia="黑体" w:cs="黑体"/>
          <w:sz w:val="24"/>
          <w:szCs w:val="24"/>
        </w:rPr>
        <w:t>第五章  社会保障和留用地安置</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第三十五条</w:t>
      </w:r>
      <w:r>
        <w:rPr>
          <w:rFonts w:hint="eastAsia" w:ascii="宋体" w:hAnsi="宋体" w:eastAsia="宋体" w:cs="宋体"/>
          <w:sz w:val="24"/>
          <w:szCs w:val="24"/>
        </w:rPr>
        <w:t xml:space="preserve"> 因土地被征收造成被征地农民失去生活来源和就业保障的，按被征地农民参加社会养老保险的相关规定办理，将被征地农民纳入相应的养老社会保障体系，保障费用由政府、集体经济组织共同筹集、合理分担。 </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第三十六条</w:t>
      </w:r>
      <w:r>
        <w:rPr>
          <w:rFonts w:hint="eastAsia" w:ascii="宋体" w:hAnsi="宋体" w:eastAsia="宋体" w:cs="宋体"/>
          <w:sz w:val="24"/>
          <w:szCs w:val="24"/>
        </w:rPr>
        <w:t xml:space="preserve"> 农民集体所有土地或耕地被征收面积累计达到60%以上（包含60%），符合《海南省征地安置留用地管理办法》（琼府办〔2012〕97号）等政策的前提下，可以给该农村集体经济组织安排留用地权益，通过留用地或留经营性物业两种形式保障，原则上优先安排经营性物业。留用地权益及留用地土地指标面积和价值指标转换成的土地面积之和不得超过被征地总面积的6%。</w:t>
      </w:r>
    </w:p>
    <w:p>
      <w:pPr>
        <w:pStyle w:val="9"/>
        <w:keepNext w:val="0"/>
        <w:keepLines w:val="0"/>
        <w:widowControl/>
        <w:suppressLineNumbers w:val="0"/>
        <w:ind w:left="0" w:firstLine="420"/>
        <w:jc w:val="center"/>
        <w:rPr>
          <w:sz w:val="24"/>
          <w:szCs w:val="24"/>
        </w:rPr>
      </w:pPr>
      <w:r>
        <w:rPr>
          <w:rFonts w:hint="eastAsia" w:ascii="黑体" w:hAnsi="宋体" w:eastAsia="黑体" w:cs="黑体"/>
          <w:sz w:val="24"/>
          <w:szCs w:val="24"/>
        </w:rPr>
        <w:t>第六章  征收补偿款分配与管理</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第三十七条</w:t>
      </w:r>
      <w:r>
        <w:rPr>
          <w:rFonts w:hint="eastAsia" w:ascii="宋体" w:hAnsi="宋体" w:eastAsia="宋体" w:cs="宋体"/>
          <w:sz w:val="24"/>
          <w:szCs w:val="24"/>
        </w:rPr>
        <w:t xml:space="preserve"> 土地补偿费是对被征收土地所有权人的补偿，归被征收土地的所有权人所有，区人民政府应当将土地补偿费支付给被征地农村集体经济组织，原则上归农村集体经济组织用于发展集体经济、村庄建设或发展公益事业。</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安置补助费用于被征地农村集体经济组织的劳动力安置。需要安置的人员由农村集体经济组织安置的，安置补助费直接支付给农村集体经济组织，由农村集体经济组织管理和使用；由其他单位安置的，安置补助费直接支付给负责安置的单位；不需要统一安置的，安置补助费直接支付给被安置人员个人或者征得被安置人员同意后用于支付被安置人员的社会保障费用。</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第三十八条</w:t>
      </w:r>
      <w:r>
        <w:rPr>
          <w:rFonts w:hint="eastAsia" w:ascii="宋体" w:hAnsi="宋体" w:eastAsia="宋体" w:cs="宋体"/>
          <w:sz w:val="24"/>
          <w:szCs w:val="24"/>
        </w:rPr>
        <w:t xml:space="preserve"> 征收取得第二轮土地承包权和宅基地使用权证的土地，农村集体经济组织没有条件调整数量与质量相当的土地给被征地农民继续承包经营和建房的，土地补偿费和安置补助费（需统一安置的）按不少于70%的比例支付给被征地农民。</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征收本村集体经济组织成员承包的土地，对通过开荒和承包经营促进被征收土地土壤改良的本村集体经济组织成员，农村集体经济组织可支付一定比例的土地补偿费，其支付比例须经本农村集体经济组织成员大会全体成员2/3以上同意决定。</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征收本村集体经济组织成员以外人员承包的土地，承包经营者未取得农村土地承包经营权证书、土地承包合同等有效证明文件，只对其地上附着物和青苗予以补偿；若承包经营者取得农村土地承包经营权证书、土地承包合同等有效证明文件，除补偿其地上附着物和青苗外，村集体经济组织可支付一定比例的安置补助费，其支付比例须经本农村集体经济组织成员大会全体成员2/3以上同意决定。</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第三十九条</w:t>
      </w:r>
      <w:r>
        <w:rPr>
          <w:rFonts w:hint="eastAsia" w:ascii="宋体" w:hAnsi="宋体" w:eastAsia="宋体" w:cs="宋体"/>
          <w:sz w:val="24"/>
          <w:szCs w:val="24"/>
        </w:rPr>
        <w:t xml:space="preserve"> 依据《中华人民共和国农村集体经济组织法》规定的农村集体经济组织成员认定标准，经认定为农村集体经济组织成员的妇女享有相应的集体经济组织成员权益。</w:t>
      </w:r>
    </w:p>
    <w:p>
      <w:pPr>
        <w:pStyle w:val="9"/>
        <w:keepNext w:val="0"/>
        <w:keepLines w:val="0"/>
        <w:widowControl/>
        <w:suppressLineNumbers w:val="0"/>
        <w:ind w:left="0" w:firstLine="420"/>
        <w:jc w:val="center"/>
        <w:rPr>
          <w:sz w:val="24"/>
          <w:szCs w:val="24"/>
        </w:rPr>
      </w:pPr>
      <w:r>
        <w:rPr>
          <w:rFonts w:hint="eastAsia" w:ascii="黑体" w:hAnsi="宋体" w:eastAsia="黑体" w:cs="黑体"/>
          <w:sz w:val="24"/>
          <w:szCs w:val="24"/>
        </w:rPr>
        <w:t>第七章  法律责任</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第四十条</w:t>
      </w:r>
      <w:r>
        <w:rPr>
          <w:rFonts w:hint="eastAsia" w:ascii="宋体" w:hAnsi="宋体" w:eastAsia="宋体" w:cs="宋体"/>
          <w:sz w:val="24"/>
          <w:szCs w:val="24"/>
        </w:rPr>
        <w:t xml:space="preserve"> 违反法定程序实施征地或者不按照国家和本规定的规定进行征地补偿安置的，依法追究直接负责的主管人员和其他直接人员的法律责任。</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第四十一条</w:t>
      </w:r>
      <w:r>
        <w:rPr>
          <w:rFonts w:hint="eastAsia" w:ascii="宋体" w:hAnsi="宋体" w:eastAsia="宋体" w:cs="宋体"/>
          <w:sz w:val="24"/>
          <w:szCs w:val="24"/>
        </w:rPr>
        <w:t xml:space="preserve"> 征收土地工作人员玩忽职守、滥用职权、徇私舞弊，依法给予行政处分；构成犯罪的，依法追究刑事责任。</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第四十二条</w:t>
      </w:r>
      <w:r>
        <w:rPr>
          <w:rFonts w:hint="eastAsia" w:ascii="宋体" w:hAnsi="宋体" w:eastAsia="宋体" w:cs="宋体"/>
          <w:sz w:val="24"/>
          <w:szCs w:val="24"/>
        </w:rPr>
        <w:t xml:space="preserve"> 被征收人采取弄虚作假，伪造、变造、涂改土地和房屋产权情况、人口等证明材料等违法手段骗取补偿或补助的，应当依法追回违法所得，并依法予以处罚；涉嫌犯罪的，依法移送司法机关追究刑事责任。</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第四十三条</w:t>
      </w:r>
      <w:r>
        <w:rPr>
          <w:rFonts w:hint="eastAsia" w:ascii="宋体" w:hAnsi="宋体" w:eastAsia="宋体" w:cs="宋体"/>
          <w:sz w:val="24"/>
          <w:szCs w:val="24"/>
        </w:rPr>
        <w:t xml:space="preserve"> 组织、个人阻挠土地征收工作实施，妨碍土地征收工作人员依法执行公务的，由相关行政机关依法予以处罚；涉嫌犯罪的，依法移送司法机关处理。</w:t>
      </w:r>
    </w:p>
    <w:p>
      <w:pPr>
        <w:pStyle w:val="9"/>
        <w:keepNext w:val="0"/>
        <w:keepLines w:val="0"/>
        <w:widowControl/>
        <w:suppressLineNumbers w:val="0"/>
        <w:ind w:left="0" w:firstLine="420"/>
        <w:jc w:val="center"/>
        <w:rPr>
          <w:sz w:val="24"/>
          <w:szCs w:val="24"/>
        </w:rPr>
      </w:pPr>
      <w:r>
        <w:rPr>
          <w:rFonts w:hint="eastAsia" w:ascii="黑体" w:hAnsi="宋体" w:eastAsia="黑体" w:cs="黑体"/>
          <w:sz w:val="24"/>
          <w:szCs w:val="24"/>
        </w:rPr>
        <w:t>第八章  附则</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第四十四条</w:t>
      </w:r>
      <w:r>
        <w:rPr>
          <w:rFonts w:hint="eastAsia" w:ascii="宋体" w:hAnsi="宋体" w:eastAsia="宋体" w:cs="宋体"/>
          <w:sz w:val="24"/>
          <w:szCs w:val="24"/>
        </w:rPr>
        <w:t xml:space="preserve"> 本规定确定的各项补偿具体标准，由市人民政府根据土地年产值、经济总量和价格指数变动等情况，并依据法定程序适时调整公布。</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第四十五条</w:t>
      </w:r>
      <w:r>
        <w:rPr>
          <w:rFonts w:hint="eastAsia" w:ascii="宋体" w:hAnsi="宋体" w:eastAsia="宋体" w:cs="宋体"/>
          <w:sz w:val="24"/>
          <w:szCs w:val="24"/>
        </w:rPr>
        <w:t xml:space="preserve"> 本规定确定的各项补偿具体标准，由市级财力承担支出责任。各区人民政府超出本规定制定的差异化补偿标准，由区级财力承担支出责任。</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第四十六条</w:t>
      </w:r>
      <w:r>
        <w:rPr>
          <w:rFonts w:hint="eastAsia" w:ascii="宋体" w:hAnsi="宋体" w:eastAsia="宋体" w:cs="宋体"/>
          <w:sz w:val="24"/>
          <w:szCs w:val="24"/>
        </w:rPr>
        <w:t xml:space="preserve"> 本规定施行前已经市政府批准的项目，按原批准方案执行；本规定施行后获得批准的征地项目，按本规定施行。                                                                                   </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第四十七条</w:t>
      </w:r>
      <w:r>
        <w:rPr>
          <w:rFonts w:hint="eastAsia" w:ascii="宋体" w:hAnsi="宋体" w:eastAsia="宋体" w:cs="宋体"/>
          <w:sz w:val="24"/>
          <w:szCs w:val="24"/>
        </w:rPr>
        <w:t xml:space="preserve"> 本规定所规定的住宅面积，均为建筑面积。</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第四十八条</w:t>
      </w:r>
      <w:r>
        <w:rPr>
          <w:rFonts w:hint="eastAsia" w:ascii="宋体" w:hAnsi="宋体" w:eastAsia="宋体" w:cs="宋体"/>
          <w:sz w:val="24"/>
          <w:szCs w:val="24"/>
        </w:rPr>
        <w:t xml:space="preserve"> 本规定具体应用问题由市自然资源和规划主管部门负责解释。</w:t>
      </w:r>
    </w:p>
    <w:p>
      <w:pPr>
        <w:pStyle w:val="9"/>
        <w:keepNext w:val="0"/>
        <w:keepLines w:val="0"/>
        <w:widowControl/>
        <w:suppressLineNumbers w:val="0"/>
        <w:ind w:left="0" w:firstLine="420"/>
        <w:jc w:val="both"/>
        <w:rPr>
          <w:sz w:val="24"/>
          <w:szCs w:val="24"/>
        </w:rPr>
      </w:pPr>
      <w:r>
        <w:rPr>
          <w:rFonts w:hint="eastAsia" w:ascii="楷体" w:hAnsi="楷体" w:eastAsia="楷体" w:cs="楷体"/>
          <w:sz w:val="24"/>
          <w:szCs w:val="24"/>
        </w:rPr>
        <w:t>第四十九条</w:t>
      </w:r>
      <w:r>
        <w:rPr>
          <w:rFonts w:hint="eastAsia" w:ascii="宋体" w:hAnsi="宋体" w:eastAsia="宋体" w:cs="宋体"/>
          <w:sz w:val="24"/>
          <w:szCs w:val="24"/>
        </w:rPr>
        <w:t xml:space="preserve"> 本规定自2026年3月1日起施行，有效期至2031年2月28日，有效期为五年。</w:t>
      </w:r>
    </w:p>
    <w:p>
      <w:pPr>
        <w:pStyle w:val="9"/>
        <w:keepNext w:val="0"/>
        <w:keepLines w:val="0"/>
        <w:widowControl/>
        <w:suppressLineNumbers w:val="0"/>
        <w:ind w:left="0" w:firstLine="420"/>
        <w:jc w:val="both"/>
        <w:rPr>
          <w:rFonts w:hint="eastAsia" w:ascii="宋体" w:hAnsi="宋体" w:eastAsia="宋体" w:cs="宋体"/>
          <w:sz w:val="24"/>
          <w:szCs w:val="24"/>
        </w:rPr>
      </w:pPr>
      <w:r>
        <w:rPr>
          <w:rFonts w:hint="eastAsia" w:ascii="宋体" w:hAnsi="宋体" w:eastAsia="宋体" w:cs="宋体"/>
          <w:sz w:val="24"/>
          <w:szCs w:val="24"/>
        </w:rPr>
        <w:t>《三亚市棚户区改造房屋征收补偿安置暂行办法》（三府〔2015〕112号）与本规定不一致的，以本规定为准，《三亚市集体土地征收补偿安置管理规定（2013年修订）》（三府〔2013〕43号）同时废止。</w:t>
      </w:r>
    </w:p>
    <w:p>
      <w:pPr>
        <w:pStyle w:val="6"/>
        <w:tabs>
          <w:tab w:val="left" w:pos="420"/>
        </w:tabs>
        <w:snapToGrid w:val="0"/>
        <w:spacing w:after="0" w:line="578" w:lineRule="exact"/>
        <w:ind w:firstLine="64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附件：1.三亚市征地区片综合地价表</w:t>
      </w:r>
    </w:p>
    <w:p>
      <w:pPr>
        <w:pStyle w:val="6"/>
        <w:tabs>
          <w:tab w:val="left" w:pos="420"/>
        </w:tabs>
        <w:snapToGrid w:val="0"/>
        <w:spacing w:after="0" w:line="578" w:lineRule="exact"/>
        <w:ind w:firstLine="1600" w:firstLineChars="5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2.常见短期农作物补偿标准表</w:t>
      </w:r>
    </w:p>
    <w:p>
      <w:pPr>
        <w:pStyle w:val="6"/>
        <w:tabs>
          <w:tab w:val="left" w:pos="420"/>
        </w:tabs>
        <w:snapToGrid w:val="0"/>
        <w:spacing w:after="0" w:line="578" w:lineRule="exact"/>
        <w:ind w:firstLine="1600" w:firstLineChars="5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3.常见中长期经济作物补偿标准表</w:t>
      </w:r>
    </w:p>
    <w:p>
      <w:pPr>
        <w:pStyle w:val="6"/>
        <w:tabs>
          <w:tab w:val="left" w:pos="420"/>
        </w:tabs>
        <w:snapToGrid w:val="0"/>
        <w:spacing w:after="0" w:line="578" w:lineRule="exact"/>
        <w:ind w:firstLine="1600" w:firstLineChars="5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4.常见林木补偿标准表</w:t>
      </w:r>
    </w:p>
    <w:p>
      <w:pPr>
        <w:pStyle w:val="6"/>
        <w:tabs>
          <w:tab w:val="left" w:pos="420"/>
        </w:tabs>
        <w:snapToGrid w:val="0"/>
        <w:spacing w:after="0" w:line="578" w:lineRule="exact"/>
        <w:ind w:firstLine="1600" w:firstLineChars="5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5.常见观赏性苗木补偿标准表</w:t>
      </w:r>
    </w:p>
    <w:p>
      <w:pPr>
        <w:pStyle w:val="6"/>
        <w:tabs>
          <w:tab w:val="left" w:pos="420"/>
        </w:tabs>
        <w:snapToGrid w:val="0"/>
        <w:spacing w:after="0" w:line="578" w:lineRule="exact"/>
        <w:ind w:firstLine="1600" w:firstLineChars="5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6.常见苗圃迁移费补助标准表  </w:t>
      </w:r>
    </w:p>
    <w:p>
      <w:pPr>
        <w:pStyle w:val="6"/>
        <w:tabs>
          <w:tab w:val="left" w:pos="420"/>
        </w:tabs>
        <w:snapToGrid w:val="0"/>
        <w:spacing w:after="0" w:line="578" w:lineRule="exact"/>
        <w:ind w:firstLine="1600" w:firstLineChars="5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7.常见地上附着物补偿标准表</w:t>
      </w:r>
    </w:p>
    <w:p>
      <w:pPr>
        <w:pStyle w:val="6"/>
        <w:tabs>
          <w:tab w:val="left" w:pos="420"/>
        </w:tabs>
        <w:snapToGrid w:val="0"/>
        <w:spacing w:after="0" w:line="578" w:lineRule="exact"/>
        <w:ind w:firstLine="1600" w:firstLineChars="5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8.养殖塘补偿标准表</w:t>
      </w:r>
    </w:p>
    <w:p>
      <w:pPr>
        <w:pStyle w:val="6"/>
        <w:tabs>
          <w:tab w:val="left" w:pos="420"/>
        </w:tabs>
        <w:snapToGrid w:val="0"/>
        <w:spacing w:after="0" w:line="578" w:lineRule="exact"/>
        <w:jc w:val="left"/>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 xml:space="preserve">          </w:t>
      </w:r>
      <w:r>
        <w:rPr>
          <w:rFonts w:hint="eastAsia" w:ascii="宋体" w:hAnsi="宋体" w:eastAsia="宋体" w:cs="宋体"/>
          <w:kern w:val="0"/>
          <w:sz w:val="24"/>
          <w:szCs w:val="24"/>
          <w:lang w:val="en-US" w:eastAsia="zh-CN" w:bidi="ar"/>
        </w:rPr>
        <w:t>9.房屋拆迁补偿标准表 </w:t>
      </w:r>
    </w:p>
    <w:p>
      <w:pPr>
        <w:pStyle w:val="6"/>
        <w:tabs>
          <w:tab w:val="left" w:pos="420"/>
        </w:tabs>
        <w:snapToGrid w:val="0"/>
        <w:spacing w:after="0" w:line="578" w:lineRule="exact"/>
        <w:jc w:val="left"/>
        <w:rPr>
          <w:rFonts w:ascii="Times New Roman" w:hAnsi="Times New Roman" w:eastAsia="仿宋_GB2312" w:cs="Times New Roman"/>
          <w:sz w:val="32"/>
          <w:szCs w:val="32"/>
        </w:rPr>
      </w:pPr>
      <w:r>
        <w:rPr>
          <w:rFonts w:hint="eastAsia" w:ascii="宋体" w:hAnsi="宋体" w:cs="宋体"/>
          <w:kern w:val="0"/>
          <w:sz w:val="24"/>
          <w:szCs w:val="24"/>
          <w:lang w:val="en-US" w:eastAsia="zh-CN" w:bidi="ar"/>
        </w:rPr>
        <w:t xml:space="preserve">          </w:t>
      </w:r>
      <w:r>
        <w:rPr>
          <w:rFonts w:hint="eastAsia" w:ascii="宋体" w:hAnsi="宋体" w:eastAsia="宋体" w:cs="宋体"/>
          <w:kern w:val="0"/>
          <w:sz w:val="24"/>
          <w:szCs w:val="24"/>
          <w:lang w:val="en-US" w:eastAsia="zh-CN" w:bidi="ar"/>
        </w:rPr>
        <w:t>10.三亚市集体土地征收涉及评估补偿工作的指导意见</w:t>
      </w:r>
    </w:p>
    <w:p>
      <w:pPr>
        <w:pStyle w:val="6"/>
        <w:spacing w:line="578" w:lineRule="exact"/>
        <w:rPr>
          <w:rFonts w:ascii="Times New Roman" w:hAnsi="Times New Roman" w:eastAsia="黑体" w:cs="Times New Roman"/>
          <w:sz w:val="28"/>
          <w:szCs w:val="28"/>
        </w:rPr>
      </w:pPr>
    </w:p>
    <w:p>
      <w:pPr>
        <w:pStyle w:val="6"/>
        <w:spacing w:line="578" w:lineRule="exact"/>
        <w:rPr>
          <w:rFonts w:ascii="Times New Roman" w:hAnsi="Times New Roman" w:eastAsia="黑体" w:cs="Times New Roman"/>
          <w:sz w:val="28"/>
          <w:szCs w:val="28"/>
        </w:rPr>
        <w:sectPr>
          <w:footerReference r:id="rId3" w:type="default"/>
          <w:pgSz w:w="11906" w:h="16838"/>
          <w:pgNumType w:fmt="decimal"/>
          <w:cols w:space="720" w:num="1"/>
          <w:docGrid w:type="lines" w:linePitch="312" w:charSpace="0"/>
        </w:sectPr>
      </w:pPr>
    </w:p>
    <w:p>
      <w:pPr>
        <w:pStyle w:val="6"/>
        <w:spacing w:line="560" w:lineRule="exact"/>
        <w:rPr>
          <w:rFonts w:ascii="Times New Roman" w:hAnsi="Times New Roman" w:eastAsia="黑体" w:cs="Times New Roman"/>
          <w:sz w:val="28"/>
          <w:szCs w:val="28"/>
        </w:rPr>
      </w:pPr>
      <w:r>
        <w:rPr>
          <w:rFonts w:ascii="Times New Roman" w:hAnsi="Times New Roman" w:eastAsia="黑体" w:cs="Times New Roman"/>
          <w:sz w:val="28"/>
          <w:szCs w:val="28"/>
        </w:rPr>
        <w:t>附件1</w:t>
      </w:r>
    </w:p>
    <w:p>
      <w:pPr>
        <w:spacing w:before="319" w:beforeLines="100" w:after="319" w:afterLines="100" w:line="560" w:lineRule="exact"/>
        <w:ind w:left="-1" w:leftChars="-95" w:right="-92" w:rightChars="-44" w:hanging="198" w:hangingChars="45"/>
        <w:jc w:val="center"/>
        <w:outlineLvl w:val="0"/>
        <w:rPr>
          <w:rFonts w:hint="eastAsia" w:ascii="方正小标宋_GBK" w:hAnsi="方正小标宋_GBK" w:eastAsia="方正小标宋_GBK" w:cs="方正小标宋_GBK"/>
          <w:sz w:val="44"/>
          <w:szCs w:val="44"/>
        </w:rPr>
      </w:pPr>
      <w:r>
        <w:rPr>
          <w:rFonts w:ascii="Times New Roman" w:hAnsi="Times New Roman" w:eastAsia="方正小标宋简体" w:cs="Times New Roman"/>
          <w:sz w:val="44"/>
          <w:szCs w:val="44"/>
        </w:rPr>
        <w:t xml:space="preserve">  </w:t>
      </w:r>
      <w:r>
        <w:rPr>
          <w:rFonts w:hint="eastAsia" w:ascii="方正小标宋_GBK" w:hAnsi="方正小标宋_GBK" w:eastAsia="方正小标宋_GBK" w:cs="方正小标宋_GBK"/>
          <w:sz w:val="44"/>
          <w:szCs w:val="44"/>
        </w:rPr>
        <w:t>三亚市征地区片综合地价表</w:t>
      </w:r>
    </w:p>
    <w:p>
      <w:pPr>
        <w:pStyle w:val="6"/>
        <w:jc w:val="center"/>
        <w:rPr>
          <w:rFonts w:ascii="Times New Roman" w:hAnsi="Times New Roman" w:eastAsia="黑体" w:cs="Times New Roman"/>
          <w:sz w:val="32"/>
          <w:szCs w:val="32"/>
          <w:lang w:val="en"/>
        </w:rPr>
      </w:pPr>
      <w:r>
        <w:rPr>
          <w:rFonts w:ascii="Times New Roman" w:hAnsi="Times New Roman" w:eastAsia="黑体" w:cs="Times New Roman"/>
          <w:sz w:val="32"/>
          <w:szCs w:val="32"/>
        </w:rPr>
        <w:t xml:space="preserve">                                                             </w:t>
      </w:r>
      <w:r>
        <w:rPr>
          <w:rFonts w:ascii="Times New Roman" w:hAnsi="Times New Roman" w:eastAsia="黑体" w:cs="Times New Roman"/>
          <w:sz w:val="32"/>
          <w:szCs w:val="32"/>
          <w:lang w:val="en"/>
        </w:rPr>
        <w:t>单位：元/亩</w:t>
      </w:r>
    </w:p>
    <w:tbl>
      <w:tblPr>
        <w:tblStyle w:val="11"/>
        <w:tblW w:w="142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2814"/>
        <w:gridCol w:w="2644"/>
        <w:gridCol w:w="2618"/>
        <w:gridCol w:w="4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2" w:hRule="atLeast"/>
          <w:tblHeader/>
          <w:jc w:val="center"/>
        </w:trPr>
        <w:tc>
          <w:tcPr>
            <w:tcW w:w="1212" w:type="dxa"/>
            <w:tcBorders>
              <w:left w:val="single" w:color="auto" w:sz="4" w:space="0"/>
              <w:bottom w:val="single" w:color="auto" w:sz="4" w:space="0"/>
              <w:right w:val="single" w:color="auto" w:sz="4" w:space="0"/>
            </w:tcBorders>
            <w:vAlign w:val="center"/>
          </w:tcPr>
          <w:p>
            <w:pPr>
              <w:jc w:val="center"/>
              <w:rPr>
                <w:rFonts w:ascii="Times New Roman" w:hAnsi="Times New Roman" w:eastAsia="黑体" w:cs="Times New Roman"/>
                <w:sz w:val="32"/>
                <w:szCs w:val="32"/>
              </w:rPr>
            </w:pPr>
            <w:r>
              <w:rPr>
                <w:rFonts w:ascii="Times New Roman" w:hAnsi="Times New Roman" w:eastAsia="黑体" w:cs="Times New Roman"/>
                <w:sz w:val="32"/>
                <w:szCs w:val="32"/>
              </w:rPr>
              <w:t>市</w:t>
            </w:r>
            <w:r>
              <w:rPr>
                <w:rFonts w:ascii="Times New Roman" w:hAnsi="Times New Roman" w:eastAsia="黑体" w:cs="Times New Roman"/>
                <w:sz w:val="32"/>
                <w:szCs w:val="32"/>
                <w:lang w:val="en"/>
              </w:rPr>
              <w:t>/</w:t>
            </w:r>
            <w:r>
              <w:rPr>
                <w:rFonts w:ascii="Times New Roman" w:hAnsi="Times New Roman" w:eastAsia="黑体" w:cs="Times New Roman"/>
                <w:sz w:val="32"/>
                <w:szCs w:val="32"/>
              </w:rPr>
              <w:t>县</w:t>
            </w:r>
          </w:p>
        </w:tc>
        <w:tc>
          <w:tcPr>
            <w:tcW w:w="2814" w:type="dxa"/>
            <w:tcBorders>
              <w:top w:val="single" w:color="auto" w:sz="4" w:space="0"/>
              <w:left w:val="single" w:color="auto" w:sz="4" w:space="0"/>
              <w:right w:val="single" w:color="auto" w:sz="4" w:space="0"/>
            </w:tcBorders>
            <w:vAlign w:val="center"/>
          </w:tcPr>
          <w:p>
            <w:pPr>
              <w:jc w:val="center"/>
              <w:rPr>
                <w:rFonts w:ascii="Times New Roman" w:hAnsi="Times New Roman" w:eastAsia="黑体" w:cs="Times New Roman"/>
                <w:sz w:val="32"/>
                <w:szCs w:val="32"/>
              </w:rPr>
            </w:pPr>
            <w:r>
              <w:rPr>
                <w:rFonts w:ascii="Times New Roman" w:hAnsi="Times New Roman" w:eastAsia="黑体" w:cs="Times New Roman"/>
                <w:sz w:val="32"/>
                <w:szCs w:val="32"/>
              </w:rPr>
              <w:t>征地区片综合地价</w:t>
            </w:r>
          </w:p>
        </w:tc>
        <w:tc>
          <w:tcPr>
            <w:tcW w:w="2644" w:type="dxa"/>
            <w:tcBorders>
              <w:top w:val="single" w:color="auto" w:sz="4" w:space="0"/>
              <w:left w:val="single" w:color="auto" w:sz="4" w:space="0"/>
              <w:right w:val="single" w:color="auto" w:sz="4" w:space="0"/>
            </w:tcBorders>
            <w:vAlign w:val="center"/>
          </w:tcPr>
          <w:p>
            <w:pPr>
              <w:jc w:val="center"/>
              <w:rPr>
                <w:rFonts w:ascii="Times New Roman" w:hAnsi="Times New Roman" w:eastAsia="黑体" w:cs="Times New Roman"/>
                <w:sz w:val="32"/>
                <w:szCs w:val="32"/>
              </w:rPr>
            </w:pPr>
            <w:r>
              <w:rPr>
                <w:rFonts w:ascii="Times New Roman" w:hAnsi="Times New Roman" w:eastAsia="黑体" w:cs="Times New Roman"/>
                <w:sz w:val="32"/>
                <w:szCs w:val="32"/>
              </w:rPr>
              <w:t>其中：土地补偿费</w:t>
            </w:r>
          </w:p>
        </w:tc>
        <w:tc>
          <w:tcPr>
            <w:tcW w:w="2618" w:type="dxa"/>
            <w:tcBorders>
              <w:top w:val="single" w:color="auto" w:sz="4" w:space="0"/>
              <w:left w:val="single" w:color="auto" w:sz="4" w:space="0"/>
              <w:right w:val="single" w:color="auto" w:sz="4" w:space="0"/>
            </w:tcBorders>
            <w:vAlign w:val="center"/>
          </w:tcPr>
          <w:p>
            <w:pPr>
              <w:jc w:val="center"/>
              <w:rPr>
                <w:rFonts w:ascii="Times New Roman" w:hAnsi="Times New Roman" w:eastAsia="黑体" w:cs="Times New Roman"/>
                <w:sz w:val="32"/>
                <w:szCs w:val="32"/>
              </w:rPr>
            </w:pPr>
            <w:r>
              <w:rPr>
                <w:rFonts w:ascii="Times New Roman" w:hAnsi="Times New Roman" w:eastAsia="黑体" w:cs="Times New Roman"/>
                <w:sz w:val="32"/>
                <w:szCs w:val="32"/>
              </w:rPr>
              <w:t>其中：安置补助费</w:t>
            </w:r>
          </w:p>
        </w:tc>
        <w:tc>
          <w:tcPr>
            <w:tcW w:w="4932" w:type="dxa"/>
            <w:tcBorders>
              <w:left w:val="single" w:color="auto" w:sz="4" w:space="0"/>
              <w:bottom w:val="single" w:color="auto" w:sz="4" w:space="0"/>
              <w:right w:val="single" w:color="auto" w:sz="4" w:space="0"/>
            </w:tcBorders>
            <w:vAlign w:val="center"/>
          </w:tcPr>
          <w:p>
            <w:pPr>
              <w:jc w:val="center"/>
              <w:rPr>
                <w:rFonts w:ascii="Times New Roman" w:hAnsi="Times New Roman" w:eastAsia="黑体" w:cs="Times New Roman"/>
                <w:sz w:val="32"/>
                <w:szCs w:val="32"/>
              </w:rPr>
            </w:pPr>
            <w:r>
              <w:rPr>
                <w:rFonts w:ascii="Times New Roman" w:hAnsi="Times New Roman" w:eastAsia="黑体" w:cs="Times New Roman"/>
                <w:sz w:val="32"/>
                <w:szCs w:val="32"/>
              </w:rPr>
              <w:t>区片范围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1212" w:type="dxa"/>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三亚市</w:t>
            </w:r>
          </w:p>
        </w:tc>
        <w:tc>
          <w:tcPr>
            <w:tcW w:w="2814" w:type="dxa"/>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145600</w:t>
            </w:r>
          </w:p>
        </w:tc>
        <w:tc>
          <w:tcPr>
            <w:tcW w:w="2644" w:type="dxa"/>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56000</w:t>
            </w:r>
          </w:p>
        </w:tc>
        <w:tc>
          <w:tcPr>
            <w:tcW w:w="2618" w:type="dxa"/>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89600</w:t>
            </w:r>
          </w:p>
        </w:tc>
        <w:tc>
          <w:tcPr>
            <w:tcW w:w="4932" w:type="dxa"/>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吉阳区、海棠区、天涯区、崖州区</w:t>
            </w:r>
          </w:p>
        </w:tc>
      </w:tr>
    </w:tbl>
    <w:p>
      <w:pPr>
        <w:jc w:val="center"/>
        <w:rPr>
          <w:rFonts w:ascii="Times New Roman" w:hAnsi="Times New Roman" w:cs="Times New Roman"/>
          <w:kern w:val="0"/>
          <w:sz w:val="28"/>
          <w:szCs w:val="28"/>
        </w:rPr>
      </w:pPr>
    </w:p>
    <w:p>
      <w:pPr>
        <w:ind w:right="745" w:rightChars="355"/>
        <w:jc w:val="right"/>
        <w:rPr>
          <w:rFonts w:ascii="Times New Roman" w:hAnsi="Times New Roman" w:eastAsia="仿宋_GB2312" w:cs="Times New Roman"/>
          <w:sz w:val="32"/>
          <w:szCs w:val="32"/>
        </w:rPr>
      </w:pPr>
      <w:r>
        <w:rPr>
          <w:rFonts w:ascii="Times New Roman" w:hAnsi="Times New Roman" w:eastAsia="黑体" w:cs="Times New Roman"/>
          <w:kern w:val="0"/>
          <w:sz w:val="32"/>
          <w:szCs w:val="32"/>
        </w:rPr>
        <w:t>基准日：二〇二三年一月一日</w:t>
      </w:r>
    </w:p>
    <w:p>
      <w:pPr>
        <w:rPr>
          <w:rFonts w:ascii="Times New Roman" w:hAnsi="Times New Roman" w:cs="Times New Roman"/>
        </w:rPr>
      </w:pPr>
    </w:p>
    <w:p>
      <w:pPr>
        <w:pStyle w:val="6"/>
        <w:tabs>
          <w:tab w:val="left" w:pos="420"/>
        </w:tabs>
        <w:spacing w:line="572" w:lineRule="exact"/>
        <w:ind w:firstLine="640" w:firstLineChars="200"/>
        <w:jc w:val="left"/>
        <w:rPr>
          <w:rFonts w:ascii="Times New Roman" w:hAnsi="Times New Roman" w:eastAsia="仿宋_GB2312" w:cs="Times New Roman"/>
          <w:sz w:val="32"/>
          <w:szCs w:val="32"/>
        </w:rPr>
      </w:pPr>
    </w:p>
    <w:p>
      <w:pPr>
        <w:pStyle w:val="6"/>
        <w:tabs>
          <w:tab w:val="left" w:pos="420"/>
        </w:tabs>
        <w:spacing w:line="572" w:lineRule="exact"/>
        <w:jc w:val="left"/>
        <w:rPr>
          <w:rFonts w:ascii="Times New Roman" w:hAnsi="Times New Roman" w:eastAsia="仿宋_GB2312" w:cs="Times New Roman"/>
          <w:sz w:val="32"/>
          <w:szCs w:val="32"/>
        </w:rPr>
        <w:sectPr>
          <w:footerReference r:id="rId4" w:type="default"/>
          <w:pgSz w:w="16838" w:h="11905" w:orient="landscape"/>
          <w:pgMar w:top="1803" w:right="1440" w:bottom="1803" w:left="1383" w:header="851" w:footer="992" w:gutter="0"/>
          <w:pgNumType w:fmt="decimal" w:start="20"/>
          <w:cols w:space="720" w:num="1"/>
          <w:docGrid w:type="lines" w:linePitch="319" w:charSpace="0"/>
        </w:sectPr>
      </w:pPr>
    </w:p>
    <w:p>
      <w:pPr>
        <w:pStyle w:val="6"/>
        <w:spacing w:line="560" w:lineRule="exact"/>
        <w:rPr>
          <w:rFonts w:ascii="Times New Roman" w:hAnsi="Times New Roman" w:eastAsia="黑体" w:cs="Times New Roman"/>
          <w:sz w:val="28"/>
          <w:szCs w:val="28"/>
        </w:rPr>
      </w:pPr>
      <w:r>
        <w:rPr>
          <w:rFonts w:ascii="Times New Roman" w:hAnsi="Times New Roman" w:eastAsia="黑体" w:cs="Times New Roman"/>
          <w:sz w:val="28"/>
          <w:szCs w:val="28"/>
        </w:rPr>
        <w:t>附件2</w:t>
      </w:r>
    </w:p>
    <w:p>
      <w:pPr>
        <w:pStyle w:val="3"/>
        <w:spacing w:before="0" w:after="0" w:line="360" w:lineRule="auto"/>
        <w:jc w:val="center"/>
        <w:rPr>
          <w:rFonts w:hint="eastAsia" w:ascii="方正小标宋_GBK" w:hAnsi="方正小标宋_GBK" w:eastAsia="方正小标宋_GBK" w:cs="方正小标宋_GBK"/>
          <w:b w:val="0"/>
          <w:bCs w:val="0"/>
          <w:sz w:val="32"/>
          <w:szCs w:val="32"/>
        </w:rPr>
      </w:pPr>
      <w:r>
        <w:rPr>
          <w:rFonts w:hint="eastAsia" w:ascii="方正小标宋_GBK" w:hAnsi="方正小标宋_GBK" w:eastAsia="方正小标宋_GBK" w:cs="方正小标宋_GBK"/>
          <w:b w:val="0"/>
          <w:bCs w:val="0"/>
          <w:sz w:val="32"/>
          <w:szCs w:val="32"/>
        </w:rPr>
        <w:t>常见短期农作物补偿标准表</w:t>
      </w:r>
    </w:p>
    <w:tbl>
      <w:tblPr>
        <w:tblStyle w:val="11"/>
        <w:tblW w:w="9288" w:type="dxa"/>
        <w:jc w:val="center"/>
        <w:tblInd w:w="0" w:type="dxa"/>
        <w:tblLayout w:type="fixed"/>
        <w:tblCellMar>
          <w:top w:w="0" w:type="dxa"/>
          <w:left w:w="108" w:type="dxa"/>
          <w:bottom w:w="0" w:type="dxa"/>
          <w:right w:w="108" w:type="dxa"/>
        </w:tblCellMar>
      </w:tblPr>
      <w:tblGrid>
        <w:gridCol w:w="4646"/>
        <w:gridCol w:w="4642"/>
      </w:tblGrid>
      <w:tr>
        <w:tblPrEx>
          <w:tblLayout w:type="fixed"/>
          <w:tblCellMar>
            <w:top w:w="0" w:type="dxa"/>
            <w:left w:w="108" w:type="dxa"/>
            <w:bottom w:w="0" w:type="dxa"/>
            <w:right w:w="108" w:type="dxa"/>
          </w:tblCellMar>
        </w:tblPrEx>
        <w:trPr>
          <w:trHeight w:val="17" w:hRule="atLeast"/>
          <w:tblHeader/>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b/>
                <w:bCs/>
                <w:kern w:val="0"/>
                <w:szCs w:val="21"/>
              </w:rPr>
            </w:pPr>
            <w:r>
              <w:rPr>
                <w:rFonts w:hint="eastAsia" w:ascii="仿宋_GB2312" w:hAnsi="仿宋_GB2312" w:eastAsia="仿宋_GB2312" w:cs="仿宋_GB2312"/>
                <w:b/>
                <w:bCs/>
                <w:kern w:val="0"/>
                <w:szCs w:val="21"/>
              </w:rPr>
              <w:t>作物名称</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b/>
                <w:bCs/>
                <w:kern w:val="0"/>
                <w:szCs w:val="21"/>
              </w:rPr>
            </w:pPr>
            <w:r>
              <w:rPr>
                <w:rFonts w:hint="eastAsia" w:ascii="仿宋_GB2312" w:hAnsi="仿宋_GB2312" w:eastAsia="仿宋_GB2312" w:cs="仿宋_GB2312"/>
                <w:b/>
                <w:bCs/>
                <w:kern w:val="0"/>
                <w:szCs w:val="21"/>
              </w:rPr>
              <w:t>补偿价格（元/亩）</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水稻</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2340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旱稻</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2688</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高粱</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2610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粟</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3060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制种水稻</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3409</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玉米</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2363</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番薯</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2749</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木薯</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2316</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花生</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2666</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木豆</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2750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黄豆</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3000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红豆</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3019</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绿豆</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3010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黑豆</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3126</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毛豆</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3199</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甘蔗（糖蔗）</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3920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甘蔗（果蔗）</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5473</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白菜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4558</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菠菜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4468</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春菜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4680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芥菜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5356</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韭菜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4431</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芹菜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5031</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生菜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5183</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菜心</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4610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甘蓝</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4614</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茼蒿</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5850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空心菜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4722</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龙须菜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4800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油麦菜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4420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珍珠菜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4925</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上海青</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5139</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黄秋葵</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5704</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苋菜（汉菜）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4669</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葱</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4813</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5390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大蒜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5200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白萝卜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4831</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胡萝卜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5550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豇豆</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6125</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四季豆</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5350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四棱豆</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5563</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冬瓜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6836</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黄瓜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6365</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苦瓜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6683</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南瓜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6378</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丝瓜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6726</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白瓜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5400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节瓜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6700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蒲瓜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6500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佛手瓜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5200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西葫芦</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5720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茄子</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7132</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西红柿</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6898</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青椒</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7420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尖椒</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7426</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线椒</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7558</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杭椒</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7514</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小米椒</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7494</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螺丝椒</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7627</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朝天椒</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8094</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黄灯笼辣椒</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7392</w:t>
            </w:r>
          </w:p>
        </w:tc>
      </w:tr>
      <w:tr>
        <w:tblPrEx>
          <w:tblLayout w:type="fixed"/>
          <w:tblCellMar>
            <w:top w:w="0" w:type="dxa"/>
            <w:left w:w="108" w:type="dxa"/>
            <w:bottom w:w="0" w:type="dxa"/>
            <w:right w:w="108" w:type="dxa"/>
          </w:tblCellMar>
        </w:tblPrEx>
        <w:trPr>
          <w:trHeight w:val="174"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牧草</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1750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魔芋</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8800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芝麻</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2879</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冬粉薯</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3250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淮山</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6452</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芋头</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8750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茭白</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6750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莲藕</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6000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香瓜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8250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羊角蜜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6000</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圣女果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10484</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西瓜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9764</w:t>
            </w:r>
          </w:p>
        </w:tc>
      </w:tr>
      <w:tr>
        <w:tblPrEx>
          <w:tblLayout w:type="fixed"/>
          <w:tblCellMar>
            <w:top w:w="0" w:type="dxa"/>
            <w:left w:w="108" w:type="dxa"/>
            <w:bottom w:w="0" w:type="dxa"/>
            <w:right w:w="108" w:type="dxa"/>
          </w:tblCellMar>
        </w:tblPrEx>
        <w:trPr>
          <w:trHeight w:val="17" w:hRule="atLeast"/>
          <w:jc w:val="center"/>
        </w:trPr>
        <w:tc>
          <w:tcPr>
            <w:tcW w:w="464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哈密瓜</w:t>
            </w:r>
          </w:p>
        </w:tc>
        <w:tc>
          <w:tcPr>
            <w:tcW w:w="4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rPr>
            </w:pPr>
            <w:r>
              <w:rPr>
                <w:rFonts w:ascii="Times New Roman" w:hAnsi="Times New Roman" w:eastAsia="仿宋" w:cs="Times New Roman"/>
              </w:rPr>
              <w:t>12837</w:t>
            </w:r>
          </w:p>
        </w:tc>
      </w:tr>
      <w:tr>
        <w:tblPrEx>
          <w:tblLayout w:type="fixed"/>
          <w:tblCellMar>
            <w:top w:w="0" w:type="dxa"/>
            <w:left w:w="108" w:type="dxa"/>
            <w:bottom w:w="0" w:type="dxa"/>
            <w:right w:w="108" w:type="dxa"/>
          </w:tblCellMar>
        </w:tblPrEx>
        <w:trPr>
          <w:trHeight w:val="17" w:hRule="atLeast"/>
          <w:jc w:val="center"/>
        </w:trPr>
        <w:tc>
          <w:tcPr>
            <w:tcW w:w="9288"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eastAsia" w:ascii="仿宋_GB2312" w:hAnsi="仿宋_GB2312" w:eastAsia="仿宋_GB2312" w:cs="仿宋_GB2312"/>
                <w:b/>
                <w:bCs/>
                <w:kern w:val="0"/>
                <w:szCs w:val="21"/>
              </w:rPr>
              <w:t>注</w:t>
            </w:r>
            <w:r>
              <w:rPr>
                <w:rFonts w:ascii="Times New Roman" w:hAnsi="Times New Roman" w:eastAsia="仿宋" w:cs="Times New Roman"/>
                <w:b/>
                <w:bCs/>
                <w:kern w:val="0"/>
                <w:szCs w:val="21"/>
              </w:rPr>
              <w:t>：1.</w:t>
            </w:r>
            <w:r>
              <w:rPr>
                <w:rFonts w:hint="default" w:ascii="Times New Roman" w:hAnsi="Times New Roman" w:eastAsia="仿宋_GB2312" w:cs="Times New Roman"/>
                <w:b/>
                <w:bCs/>
                <w:kern w:val="0"/>
                <w:szCs w:val="21"/>
              </w:rPr>
              <w:t>本标准中的短期农作物是指一年种植一季（造）或多季（造）的农作物；</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2.实际工作中涉及不在本标准中的短期农作物，取得所有权人同意后可参考同类作物的补偿标准；</w:t>
            </w:r>
          </w:p>
          <w:p>
            <w:pPr>
              <w:widowControl/>
              <w:ind w:firstLine="421" w:firstLineChars="200"/>
              <w:jc w:val="left"/>
              <w:rPr>
                <w:rFonts w:ascii="Times New Roman" w:hAnsi="Times New Roman" w:eastAsia="仿宋" w:cs="Times New Roman"/>
              </w:rPr>
            </w:pPr>
            <w:r>
              <w:rPr>
                <w:rFonts w:hint="default" w:ascii="Times New Roman" w:hAnsi="Times New Roman" w:eastAsia="仿宋_GB2312" w:cs="Times New Roman"/>
                <w:b/>
                <w:bCs/>
                <w:kern w:val="0"/>
                <w:szCs w:val="21"/>
              </w:rPr>
              <w:t>3.本标准不含设施设备。</w:t>
            </w:r>
          </w:p>
        </w:tc>
      </w:tr>
    </w:tbl>
    <w:p>
      <w:pPr>
        <w:rPr>
          <w:rFonts w:ascii="Times New Roman" w:hAnsi="Times New Roman" w:eastAsia="仿宋" w:cs="Times New Roman"/>
          <w:b/>
          <w:bCs/>
        </w:rPr>
        <w:sectPr>
          <w:footerReference r:id="rId5" w:type="default"/>
          <w:pgSz w:w="11906" w:h="16838"/>
          <w:pgMar w:top="1304" w:right="1803" w:bottom="1304" w:left="1803" w:header="851" w:footer="992" w:gutter="0"/>
          <w:pgNumType w:fmt="decimal" w:start="21"/>
          <w:cols w:space="720" w:num="1"/>
          <w:docGrid w:type="lines" w:linePitch="319" w:charSpace="0"/>
        </w:sectPr>
      </w:pPr>
    </w:p>
    <w:p>
      <w:pPr>
        <w:pStyle w:val="6"/>
        <w:spacing w:line="560" w:lineRule="exact"/>
        <w:rPr>
          <w:rFonts w:ascii="Times New Roman" w:hAnsi="Times New Roman" w:eastAsia="仿宋" w:cs="Times New Roman"/>
          <w:sz w:val="24"/>
          <w:szCs w:val="24"/>
        </w:rPr>
      </w:pPr>
      <w:r>
        <w:rPr>
          <w:rFonts w:ascii="Times New Roman" w:hAnsi="Times New Roman" w:eastAsia="黑体" w:cs="Times New Roman"/>
          <w:sz w:val="28"/>
          <w:szCs w:val="28"/>
        </w:rPr>
        <w:t>附件3</w:t>
      </w:r>
    </w:p>
    <w:p>
      <w:pPr>
        <w:pStyle w:val="3"/>
        <w:spacing w:before="0" w:after="0" w:line="360" w:lineRule="auto"/>
        <w:jc w:val="center"/>
        <w:rPr>
          <w:rFonts w:eastAsia="方正小标宋简体"/>
          <w:b w:val="0"/>
          <w:bCs w:val="0"/>
          <w:sz w:val="32"/>
          <w:szCs w:val="32"/>
        </w:rPr>
      </w:pPr>
      <w:r>
        <w:rPr>
          <w:rFonts w:hint="eastAsia" w:ascii="方正小标宋_GBK" w:hAnsi="方正小标宋_GBK" w:eastAsia="方正小标宋_GBK" w:cs="方正小标宋_GBK"/>
          <w:b w:val="0"/>
          <w:bCs w:val="0"/>
          <w:sz w:val="32"/>
          <w:szCs w:val="32"/>
        </w:rPr>
        <w:t>常见中长期经济作物补偿标准表</w:t>
      </w:r>
    </w:p>
    <w:tbl>
      <w:tblPr>
        <w:tblStyle w:val="11"/>
        <w:tblW w:w="97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064"/>
        <w:gridCol w:w="873"/>
        <w:gridCol w:w="4362"/>
        <w:gridCol w:w="1163"/>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blHeader/>
          <w:jc w:val="center"/>
        </w:trPr>
        <w:tc>
          <w:tcPr>
            <w:tcW w:w="971" w:type="dxa"/>
            <w:vMerge w:val="restart"/>
            <w:vAlign w:val="center"/>
          </w:tcPr>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作物</w:t>
            </w:r>
          </w:p>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名称</w:t>
            </w:r>
          </w:p>
        </w:tc>
        <w:tc>
          <w:tcPr>
            <w:tcW w:w="1064" w:type="dxa"/>
            <w:vMerge w:val="restart"/>
            <w:vAlign w:val="center"/>
          </w:tcPr>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类别</w:t>
            </w:r>
          </w:p>
        </w:tc>
        <w:tc>
          <w:tcPr>
            <w:tcW w:w="873" w:type="dxa"/>
            <w:vMerge w:val="restart"/>
            <w:vAlign w:val="center"/>
          </w:tcPr>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生长</w:t>
            </w:r>
          </w:p>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阶段</w:t>
            </w:r>
          </w:p>
        </w:tc>
        <w:tc>
          <w:tcPr>
            <w:tcW w:w="4362" w:type="dxa"/>
            <w:vMerge w:val="restart"/>
            <w:vAlign w:val="center"/>
          </w:tcPr>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规格特征</w:t>
            </w:r>
          </w:p>
        </w:tc>
        <w:tc>
          <w:tcPr>
            <w:tcW w:w="1163" w:type="dxa"/>
            <w:vMerge w:val="restart"/>
            <w:vAlign w:val="center"/>
          </w:tcPr>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亩合理</w:t>
            </w:r>
          </w:p>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株数（株）</w:t>
            </w:r>
          </w:p>
        </w:tc>
        <w:tc>
          <w:tcPr>
            <w:tcW w:w="1310" w:type="dxa"/>
            <w:vMerge w:val="restart"/>
            <w:vAlign w:val="center"/>
          </w:tcPr>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补偿价格（元/株）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blHeader/>
          <w:jc w:val="center"/>
        </w:trPr>
        <w:tc>
          <w:tcPr>
            <w:tcW w:w="971" w:type="dxa"/>
            <w:vMerge w:val="continue"/>
            <w:vAlign w:val="center"/>
          </w:tcPr>
          <w:p>
            <w:pPr>
              <w:widowControl/>
              <w:jc w:val="left"/>
              <w:rPr>
                <w:rFonts w:ascii="Times New Roman" w:hAnsi="Times New Roman" w:eastAsia="仿宋" w:cs="Times New Roman"/>
                <w:b/>
                <w:bCs/>
                <w:kern w:val="0"/>
                <w:szCs w:val="21"/>
              </w:rPr>
            </w:pPr>
          </w:p>
        </w:tc>
        <w:tc>
          <w:tcPr>
            <w:tcW w:w="1064" w:type="dxa"/>
            <w:vMerge w:val="continue"/>
            <w:vAlign w:val="center"/>
          </w:tcPr>
          <w:p>
            <w:pPr>
              <w:widowControl/>
              <w:jc w:val="left"/>
              <w:rPr>
                <w:rFonts w:ascii="Times New Roman" w:hAnsi="Times New Roman" w:eastAsia="仿宋" w:cs="Times New Roman"/>
                <w:b/>
                <w:bCs/>
                <w:kern w:val="0"/>
                <w:szCs w:val="21"/>
              </w:rPr>
            </w:pPr>
          </w:p>
        </w:tc>
        <w:tc>
          <w:tcPr>
            <w:tcW w:w="873" w:type="dxa"/>
            <w:vMerge w:val="continue"/>
            <w:vAlign w:val="center"/>
          </w:tcPr>
          <w:p>
            <w:pPr>
              <w:widowControl/>
              <w:jc w:val="left"/>
              <w:rPr>
                <w:rFonts w:ascii="Times New Roman" w:hAnsi="Times New Roman" w:eastAsia="仿宋" w:cs="Times New Roman"/>
                <w:b/>
                <w:bCs/>
                <w:kern w:val="0"/>
                <w:szCs w:val="21"/>
              </w:rPr>
            </w:pPr>
          </w:p>
        </w:tc>
        <w:tc>
          <w:tcPr>
            <w:tcW w:w="4362" w:type="dxa"/>
            <w:vMerge w:val="continue"/>
            <w:vAlign w:val="center"/>
          </w:tcPr>
          <w:p>
            <w:pPr>
              <w:widowControl/>
              <w:jc w:val="left"/>
              <w:rPr>
                <w:rFonts w:ascii="Times New Roman" w:hAnsi="Times New Roman" w:eastAsia="仿宋" w:cs="Times New Roman"/>
                <w:b/>
                <w:bCs/>
                <w:kern w:val="0"/>
                <w:szCs w:val="21"/>
              </w:rPr>
            </w:pPr>
          </w:p>
        </w:tc>
        <w:tc>
          <w:tcPr>
            <w:tcW w:w="1163" w:type="dxa"/>
            <w:vMerge w:val="continue"/>
            <w:vAlign w:val="center"/>
          </w:tcPr>
          <w:p>
            <w:pPr>
              <w:widowControl/>
              <w:jc w:val="left"/>
              <w:rPr>
                <w:rFonts w:ascii="Times New Roman" w:hAnsi="Times New Roman" w:eastAsia="仿宋" w:cs="Times New Roman"/>
                <w:b/>
                <w:bCs/>
                <w:kern w:val="0"/>
                <w:szCs w:val="21"/>
              </w:rPr>
            </w:pPr>
          </w:p>
        </w:tc>
        <w:tc>
          <w:tcPr>
            <w:tcW w:w="1310" w:type="dxa"/>
            <w:vMerge w:val="continue"/>
            <w:vAlign w:val="center"/>
          </w:tcPr>
          <w:p>
            <w:pPr>
              <w:widowControl/>
              <w:jc w:val="left"/>
              <w:rPr>
                <w:rFonts w:ascii="Times New Roman" w:hAnsi="Times New Roman" w:eastAsia="仿宋"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椰子</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矮种</w:t>
            </w:r>
          </w:p>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椰子</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877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起杆，未成果。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未起杆。</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高种</w:t>
            </w:r>
          </w:p>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椰子</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661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起杆，未成果。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未起杆。</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荔枝</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实生苗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种植5年以上，胸径8厘米以上，成果。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种植3-5年，胸径5-8厘米，未成果。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种植1-3年，胸径2-5厘米，未成果。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种植1年以下，胸径2厘米以下，幼苗。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嫁接苗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种植2-3年，地径4-6厘米，未成果。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种植0.5-2年，地径2-4厘米，未成果。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芒果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实生苗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种植5年以上，胸径8厘米以上，成果。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44</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种植3-5年，胸径5-8厘米，未成果。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种植1-3年，胸径2-5厘米，未成果。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种植1年以下，胸径2厘米以下，幼苗。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嫁接苗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44</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种植2-3年，地径4-6厘米，未成果。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种植0.5-2年，地径2-4厘米，未成果。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龙眼</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实生苗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种植5年以上，胸径8厘米以上，成果。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种植3-5年，胸径5-8厘米，未成果。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种植1-3年，胸径2-5厘米，未成果。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种植1年以下，胸径2厘米以下，幼苗。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嫁接苗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种植2-3年，地径4-6厘米，未成果。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种植0.5-2年，地径2-4厘米，未成果。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菠萝蜜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实生苗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种植5年以上，胸径10厘米以上，成果。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33</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种植3-5年，胸径7-10厘米，未成果。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种植1-3年，胸径3-7厘米，未成果。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种植1年以下，胸径3厘米以下，幼苗。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嫁接苗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33</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种植2-3年，地径4-6厘米，未成果。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种植0.5-2年，地径2-4厘米，未成果。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榴莲蜜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榴莲蜜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种植3年以上，地径8厘米以上，成果。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33</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种植2-3年，地径5-8厘米，未成果。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种植0.5-2年，地径2-5厘米，未成果。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榴莲</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榴莲</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种植5年以上，成果。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19</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种植3-5 年，未成果。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center"/>
              <w:rPr>
                <w:rFonts w:hint="default" w:ascii="Times New Roman" w:hAnsi="Times New Roman" w:eastAsia="仿宋_GB2312" w:cs="Times New Roman"/>
                <w:kern w:val="0"/>
                <w:szCs w:val="21"/>
              </w:rPr>
            </w:pPr>
          </w:p>
        </w:tc>
        <w:tc>
          <w:tcPr>
            <w:tcW w:w="1064" w:type="dxa"/>
            <w:vMerge w:val="continue"/>
            <w:vAlign w:val="center"/>
          </w:tcPr>
          <w:p>
            <w:pPr>
              <w:widowControl/>
              <w:jc w:val="center"/>
              <w:rPr>
                <w:rFonts w:hint="default" w:ascii="Times New Roman" w:hAnsi="Times New Roman" w:eastAsia="仿宋_GB2312" w:cs="Times New Roman"/>
                <w:kern w:val="0"/>
                <w:szCs w:val="21"/>
              </w:rPr>
            </w:pPr>
          </w:p>
        </w:tc>
        <w:tc>
          <w:tcPr>
            <w:tcW w:w="7708" w:type="dxa"/>
            <w:gridSpan w:val="4"/>
            <w:vAlign w:val="center"/>
          </w:tcPr>
          <w:p>
            <w:pPr>
              <w:widowControl/>
              <w:jc w:val="both"/>
              <w:rPr>
                <w:rFonts w:hint="default" w:ascii="Times New Roman" w:hAnsi="Times New Roman" w:eastAsia="仿宋_GB2312" w:cs="Times New Roman"/>
                <w:szCs w:val="21"/>
                <w:lang w:eastAsia="zh-CN"/>
              </w:rPr>
            </w:pPr>
            <w:r>
              <w:rPr>
                <w:rFonts w:hint="default" w:ascii="Times New Roman" w:hAnsi="Times New Roman" w:eastAsia="仿宋_GB2312" w:cs="Times New Roman"/>
                <w:szCs w:val="21"/>
              </w:rPr>
              <w:t>属特殊优质品种的，产权人提供相关证明材料后，可申请协商或评估确定补偿费用</w:t>
            </w:r>
            <w:r>
              <w:rPr>
                <w:rFonts w:hint="default" w:ascii="Times New Roman" w:hAnsi="Times New Roman" w:eastAsia="仿宋_GB2312" w:cs="Times New Roman"/>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嘉宝果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嘉宝果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种植7年以上，地径8厘米以上，成果。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657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种植4-7年，地径6-8厘米，未成果。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种植1-4年，地径3-6厘米，未成果。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种植1年以下，地径3厘米以下，幼苗。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杨梅</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杨梅</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种植4年以上，高3米以上，成果。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33</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种植2-4年，高2-3米，未成果。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种植1-2年，高1-2米，未成果。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种植1年以下，高1米以下，幼苗。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杨桃</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实生苗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44</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种植1-3年，高0.6米以上，未成果。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嫁接苗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44</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种植0.5-2年，高0.5米以上，未成果。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种植0.5年以下，高0.5米以下，幼苗。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莲雾</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实生苗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种植3年以上，地径8厘米以上，成果。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33</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种植2-3年，地径5-8厘米，未成果。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种植0.5-2年，地径2-5厘米，未成果。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嫁接苗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种植3年以上，地径8厘米以上，成果。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33</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种植2-3年，地径5-8厘米，未成果。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种植0.5-2年，地径2-5厘米，未成果。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黄皮</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实生苗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种植5年以上，胸径8厘米以上，成果。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种植3-5年，胸径5-8厘米，未成果。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种植1-3年，胸径2-5厘米，未成果。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种植1年以下，胸径2厘米以下，幼苗。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嫁接苗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种植2-3年，地径4-6厘米，未成果。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种植0.5-2年，地径2-4厘米，未成果。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番荔枝</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实生苗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74</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地径2-6厘米，未成果。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嫁接苗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74</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地径2-6厘米，未成果。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番木瓜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番木瓜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152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番石榴</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实生苗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56</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种植0.5-2年，高0.6米以上，未成果。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嫁接苗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种植8个月以上，成果。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56</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种植4-8个月，高0.6米以上，未成果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种植4个月以下，高0.6米以下，幼苗。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毛叶枣</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毛叶枣</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种植2年以上，地径5厘米以上，成果。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种植1-2年，地径2-5厘米，未成果。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人心果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人心果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种植2-3年，地径4-6厘米，未成果。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种植0.5-2年，地径2-4厘米，未成果。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蛋黄果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蛋黄果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种植3年以上，高1米以上，成果。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33</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种植2-3年，高0.8-1米，未成果。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种植0.5-2年，高0.6-0.8米，幼苗。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黄晶果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黄晶果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种植3年以上，高1米以上，成果。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56</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种植2-3年，高0.8-1米，未成果。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种植0.5-2年，高0.6-0.8米，幼苗。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牛油果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牛油果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33</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种植2-3年，地径4-6厘米，未成果。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种植0.5-2年，地径2-4厘米，未成果。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沃柑</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沃柑</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56</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种植2-3年，地径4-6厘米，未成果。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种植0.5-2年，地径2-4厘米，未成果。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桔子</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桔子</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74</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高0.6米以上，未成果。</w:t>
            </w:r>
          </w:p>
        </w:tc>
        <w:tc>
          <w:tcPr>
            <w:tcW w:w="1163" w:type="dxa"/>
            <w:vMerge w:val="continue"/>
            <w:vAlign w:val="center"/>
          </w:tcPr>
          <w:p>
            <w:pPr>
              <w:widowControl/>
              <w:jc w:val="center"/>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高0.6米以下，幼苗。</w:t>
            </w:r>
          </w:p>
        </w:tc>
        <w:tc>
          <w:tcPr>
            <w:tcW w:w="1163" w:type="dxa"/>
            <w:vMerge w:val="continue"/>
            <w:vAlign w:val="center"/>
          </w:tcPr>
          <w:p>
            <w:pPr>
              <w:widowControl/>
              <w:jc w:val="center"/>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橙</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橙</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56</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种植2-3年，地径4-6厘米，未成果。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种植0.5-2年，地径2-4厘米，未成果。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柚</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柚</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33</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种植2-3年，地径4-6厘米，未成果。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种植0.5-2年，地径2-4厘米，未成果。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柠檬</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柠檬</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56</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香蕉</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香蕉</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152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西番莲（百香果）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西番莲（百香果）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种植6个月以上，成果。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278</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种植3-6个月，上架分枝，未成果。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种植3个月以下，未上架，幼苗。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红毛丹</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红毛丹</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种植5年以上，地径8厘米以上，成果。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28</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continue"/>
            <w:vAlign w:val="center"/>
          </w:tcPr>
          <w:p>
            <w:pPr>
              <w:widowControl/>
              <w:jc w:val="center"/>
              <w:rPr>
                <w:rFonts w:hint="default" w:ascii="Times New Roman" w:hAnsi="Times New Roman" w:eastAsia="仿宋_GB2312" w:cs="Times New Roman"/>
                <w:kern w:val="0"/>
                <w:szCs w:val="21"/>
              </w:rPr>
            </w:pPr>
          </w:p>
        </w:tc>
        <w:tc>
          <w:tcPr>
            <w:tcW w:w="1064" w:type="dxa"/>
            <w:vMerge w:val="continue"/>
            <w:vAlign w:val="center"/>
          </w:tcPr>
          <w:p>
            <w:pPr>
              <w:widowControl/>
              <w:jc w:val="center"/>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种植3-5年，地径5-8厘米，未成果。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continue"/>
            <w:vAlign w:val="center"/>
          </w:tcPr>
          <w:p>
            <w:pPr>
              <w:widowControl/>
              <w:jc w:val="center"/>
              <w:rPr>
                <w:rFonts w:hint="default" w:ascii="Times New Roman" w:hAnsi="Times New Roman" w:eastAsia="仿宋_GB2312" w:cs="Times New Roman"/>
                <w:kern w:val="0"/>
                <w:szCs w:val="21"/>
              </w:rPr>
            </w:pPr>
          </w:p>
        </w:tc>
        <w:tc>
          <w:tcPr>
            <w:tcW w:w="1064" w:type="dxa"/>
            <w:vMerge w:val="continue"/>
            <w:vAlign w:val="center"/>
          </w:tcPr>
          <w:p>
            <w:pPr>
              <w:widowControl/>
              <w:jc w:val="center"/>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种植1-3年，地径2-5厘米，未成果。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71" w:type="dxa"/>
            <w:vMerge w:val="continue"/>
            <w:vAlign w:val="center"/>
          </w:tcPr>
          <w:p>
            <w:pPr>
              <w:widowControl/>
              <w:jc w:val="center"/>
              <w:rPr>
                <w:rFonts w:hint="default" w:ascii="Times New Roman" w:hAnsi="Times New Roman" w:eastAsia="仿宋_GB2312" w:cs="Times New Roman"/>
                <w:kern w:val="0"/>
                <w:szCs w:val="21"/>
              </w:rPr>
            </w:pPr>
          </w:p>
        </w:tc>
        <w:tc>
          <w:tcPr>
            <w:tcW w:w="1064" w:type="dxa"/>
            <w:vMerge w:val="continue"/>
            <w:vAlign w:val="center"/>
          </w:tcPr>
          <w:p>
            <w:pPr>
              <w:widowControl/>
              <w:jc w:val="center"/>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菠萝</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巴厘</w:t>
            </w:r>
          </w:p>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菠萝</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3100</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12570元/亩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高0.4米以上，未成果。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6422元/亩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高0.4米以下，幼苗。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3442元/亩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台农</w:t>
            </w:r>
          </w:p>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系列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2800</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14948元/亩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高0.4米以上，未成果。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8466元/亩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高0.4米以下，幼苗。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4538元/亩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火龙果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传统立柱式</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532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种植0.5-1年，高0.5米以上，未成果。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种植0.5年以下，高0.5米以下，幼苗。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center"/>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新型排式（不含燕窝果）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1778</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43026元/亩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种植0.5-1年，高0.5米以上，未成果。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12576元/亩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种植0.5年以下，高0.5米以下，幼苗。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6288元/亩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新型排式（燕窝果）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1778</w:t>
            </w:r>
          </w:p>
        </w:tc>
        <w:tc>
          <w:tcPr>
            <w:tcW w:w="1310" w:type="dxa"/>
            <w:vAlign w:val="center"/>
          </w:tcPr>
          <w:p>
            <w:pPr>
              <w:widowControl/>
              <w:jc w:val="center"/>
              <w:rPr>
                <w:rFonts w:ascii="Times New Roman" w:hAnsi="Times New Roman" w:eastAsia="宋体" w:cs="Times New Roman"/>
                <w:szCs w:val="21"/>
              </w:rPr>
            </w:pPr>
            <w:r>
              <w:rPr>
                <w:rFonts w:ascii="Times New Roman" w:hAnsi="Times New Roman" w:eastAsia="宋体" w:cs="Times New Roman"/>
                <w:szCs w:val="21"/>
              </w:rPr>
              <w:t>55887元/亩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种植0.5-1年，高0.5米以上，未成果。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szCs w:val="21"/>
              </w:rPr>
            </w:pPr>
            <w:r>
              <w:rPr>
                <w:rFonts w:ascii="Times New Roman" w:hAnsi="Times New Roman" w:eastAsia="宋体" w:cs="Times New Roman"/>
                <w:szCs w:val="21"/>
              </w:rPr>
              <w:t>17578元/亩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种植0.5年以下，高0.5米以下，幼苗。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szCs w:val="21"/>
              </w:rPr>
            </w:pPr>
            <w:r>
              <w:rPr>
                <w:rFonts w:ascii="Times New Roman" w:hAnsi="Times New Roman" w:eastAsia="宋体" w:cs="Times New Roman"/>
                <w:szCs w:val="21"/>
              </w:rPr>
              <w:t>8789元/亩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葡萄</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葡萄</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333</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48773元/亩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高0.6米以上，上架，未成果。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15886元/亩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7943元/亩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桑</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果桑</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178</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蚕桑</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采收期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高0.6米以上，采收。</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1112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11267元/亩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3472元/亩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槟榔</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槟榔</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种植5年以上，成果。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120</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种植3-5年，起杆，未成果。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种植1-3年，高0.6米以上，未起杆。</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咖啡</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咖啡</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种植2年以上，高1.5米以上，成果。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107</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种植1-2年，高0.6-1.5米，未成果。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种植1年以下，高0.6米以下。</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胡椒</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胡椒</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种植3年以上，高1.8米以上，成果。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133</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种植2-3年，高1.5-1.8米，未成果。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高0.5-1.5米，未成果。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腰果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腰果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油棕</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油棕</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14</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种植1-3年，高1米以上，未成果。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种植1年以下，高1米以下，幼苗。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油茶</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实生苗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种植5年以上，地径6厘米以上，成果。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种植3-5年，地径4-6厘米，未成果。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种植1-3年，地径2-4厘米，未成果。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嫁接苗</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种植3年以上，地径6厘米以上，成果。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种植2-3年，地径4-6厘米，未成果。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种植0.5-2年，地径2-4厘米，未成果。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种植0.5年以下，地径2厘米以下，幼苗。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剑麻</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剑麻</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采收期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高1米以上，采收。</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278</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橡胶</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橡胶</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出产期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种植6年以上，胸径15厘米以上，开割。</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42</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近产期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种植3-6年，胸径7-15厘米，未开割。</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种植1-3年，胸径3-7厘米，未开割。</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种植1年以下，胸径3厘米以下，幼苗。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益智</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益智</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大丛</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根盘丛径20厘米以上。</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148丛</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52元/丛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中丛</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根盘丛径10-20厘米。</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25元/丛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小丛</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根盘丛径10厘米以下。</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21元/丛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砂仁</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砂仁</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222丛</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5323元/亩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种植1-2年，高0.6米以上，未成果。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2175元/亩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1088元/亩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草豆蔻</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草豆蔻</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大丛</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根盘丛径20厘米以上。</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222丛</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49元/丛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中丛</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根盘丛径10-20厘米。</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24元/丛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小丛</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根盘丛径10厘米以下。</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9元/丛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粽叶</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粽叶</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采收期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种植2年以上，可采收。</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222丛</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36元/丛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种植0.5-2年，高0.6米以上，未采收。</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17元/丛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种植0.5年以下，高0.6米以下，幼苗。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5元/丛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斑兰叶（香露兜）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斑兰叶（香露兜）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采收期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种植1年以上，采收。</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1334</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种植3-12个月，未采收。</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种植3个月以下，幼苗。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牛大力</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牛大力</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采收期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种植4年以上。</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667</w:t>
            </w: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31894元/亩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近采期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种植3-4年。</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17159元/亩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种植1-3年。</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10725元/亩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szCs w:val="21"/>
              </w:rPr>
              <w:t>4290元/亩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海滨木巴戟（诺丽果）</w:t>
            </w:r>
          </w:p>
        </w:tc>
        <w:tc>
          <w:tcPr>
            <w:tcW w:w="1064"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海滨木巴戟（诺丽果）</w:t>
            </w: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成果期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种植2年以上，成果。</w:t>
            </w:r>
          </w:p>
        </w:tc>
        <w:tc>
          <w:tcPr>
            <w:tcW w:w="1163" w:type="dxa"/>
            <w:vMerge w:val="restart"/>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56</w:t>
            </w:r>
          </w:p>
        </w:tc>
        <w:tc>
          <w:tcPr>
            <w:tcW w:w="1310" w:type="dxa"/>
            <w:vAlign w:val="bottom"/>
          </w:tcPr>
          <w:p>
            <w:pPr>
              <w:widowControl/>
              <w:jc w:val="center"/>
              <w:rPr>
                <w:rFonts w:ascii="Times New Roman" w:hAnsi="Times New Roman" w:eastAsia="宋体" w:cs="Times New Roman"/>
                <w:szCs w:val="21"/>
              </w:rPr>
            </w:pPr>
            <w:r>
              <w:rPr>
                <w:rFonts w:ascii="Times New Roman" w:hAnsi="Times New Roman" w:eastAsia="仿宋" w:cs="Times New Roman"/>
                <w:kern w:val="0"/>
                <w:szCs w:val="21"/>
              </w:rPr>
              <w:t>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生长期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种植1-2年，高0.6米以上，未成果。</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bottom"/>
          </w:tcPr>
          <w:p>
            <w:pPr>
              <w:widowControl/>
              <w:jc w:val="center"/>
              <w:rPr>
                <w:rFonts w:ascii="Times New Roman" w:hAnsi="Times New Roman" w:eastAsia="宋体" w:cs="Times New Roman"/>
                <w:szCs w:val="21"/>
              </w:rPr>
            </w:pPr>
            <w:r>
              <w:rPr>
                <w:rFonts w:ascii="Times New Roman" w:hAnsi="Times New Roman" w:eastAsia="仿宋" w:cs="Times New Roman"/>
                <w:kern w:val="0"/>
                <w:szCs w:val="21"/>
              </w:rPr>
              <w:t>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1" w:type="dxa"/>
            <w:vMerge w:val="continue"/>
            <w:vAlign w:val="center"/>
          </w:tcPr>
          <w:p>
            <w:pPr>
              <w:widowControl/>
              <w:jc w:val="left"/>
              <w:rPr>
                <w:rFonts w:hint="default" w:ascii="Times New Roman" w:hAnsi="Times New Roman" w:eastAsia="仿宋_GB2312" w:cs="Times New Roman"/>
                <w:kern w:val="0"/>
                <w:szCs w:val="21"/>
              </w:rPr>
            </w:pPr>
          </w:p>
        </w:tc>
        <w:tc>
          <w:tcPr>
            <w:tcW w:w="1064" w:type="dxa"/>
            <w:vMerge w:val="continue"/>
            <w:vAlign w:val="center"/>
          </w:tcPr>
          <w:p>
            <w:pPr>
              <w:widowControl/>
              <w:jc w:val="left"/>
              <w:rPr>
                <w:rFonts w:hint="default" w:ascii="Times New Roman" w:hAnsi="Times New Roman" w:eastAsia="仿宋_GB2312" w:cs="Times New Roman"/>
                <w:kern w:val="0"/>
                <w:szCs w:val="21"/>
              </w:rPr>
            </w:pPr>
          </w:p>
        </w:tc>
        <w:tc>
          <w:tcPr>
            <w:tcW w:w="873"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幼苗期</w:t>
            </w:r>
          </w:p>
        </w:tc>
        <w:tc>
          <w:tcPr>
            <w:tcW w:w="436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种植1年以下，高0.6米以下，幼苗。</w:t>
            </w:r>
          </w:p>
        </w:tc>
        <w:tc>
          <w:tcPr>
            <w:tcW w:w="1163" w:type="dxa"/>
            <w:vMerge w:val="continue"/>
            <w:vAlign w:val="center"/>
          </w:tcPr>
          <w:p>
            <w:pPr>
              <w:widowControl/>
              <w:jc w:val="left"/>
              <w:rPr>
                <w:rFonts w:ascii="Times New Roman" w:hAnsi="Times New Roman" w:eastAsia="仿宋" w:cs="Times New Roman"/>
                <w:kern w:val="0"/>
                <w:szCs w:val="21"/>
              </w:rPr>
            </w:pPr>
          </w:p>
        </w:tc>
        <w:tc>
          <w:tcPr>
            <w:tcW w:w="1310" w:type="dxa"/>
            <w:vAlign w:val="bottom"/>
          </w:tcPr>
          <w:p>
            <w:pPr>
              <w:widowControl/>
              <w:jc w:val="center"/>
              <w:rPr>
                <w:rFonts w:ascii="Times New Roman" w:hAnsi="Times New Roman" w:eastAsia="宋体" w:cs="Times New Roman"/>
                <w:szCs w:val="21"/>
              </w:rPr>
            </w:pPr>
            <w:r>
              <w:rPr>
                <w:rFonts w:ascii="Times New Roman" w:hAnsi="Times New Roman" w:eastAsia="仿宋" w:cs="Times New Roman"/>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743" w:type="dxa"/>
            <w:gridSpan w:val="6"/>
            <w:vAlign w:val="center"/>
          </w:tcPr>
          <w:p>
            <w:pPr>
              <w:widowControl/>
              <w:jc w:val="left"/>
              <w:rPr>
                <w:rFonts w:hint="default" w:ascii="Times New Roman" w:hAnsi="Times New Roman" w:eastAsia="仿宋_GB2312" w:cs="Times New Roman"/>
                <w:b/>
                <w:bCs/>
                <w:kern w:val="0"/>
                <w:szCs w:val="21"/>
              </w:rPr>
            </w:pPr>
            <w:r>
              <w:rPr>
                <w:rFonts w:hint="eastAsia" w:ascii="仿宋_GB2312" w:hAnsi="仿宋_GB2312" w:eastAsia="仿宋_GB2312" w:cs="仿宋_GB2312"/>
                <w:b/>
                <w:bCs/>
                <w:kern w:val="0"/>
                <w:szCs w:val="21"/>
              </w:rPr>
              <w:t>注</w:t>
            </w:r>
            <w:r>
              <w:rPr>
                <w:rFonts w:ascii="Times New Roman" w:hAnsi="Times New Roman" w:eastAsia="仿宋" w:cs="Times New Roman"/>
                <w:b/>
                <w:bCs/>
                <w:kern w:val="0"/>
                <w:szCs w:val="21"/>
              </w:rPr>
              <w:t>：</w:t>
            </w:r>
            <w:r>
              <w:rPr>
                <w:rFonts w:hint="default" w:ascii="Times New Roman" w:hAnsi="Times New Roman" w:eastAsia="仿宋_GB2312" w:cs="Times New Roman"/>
                <w:b/>
                <w:bCs/>
                <w:kern w:val="0"/>
                <w:szCs w:val="21"/>
              </w:rPr>
              <w:t>1.本标准中的中长期经济作物是指种植以采集根、茎、叶、花、果、汁为主的多年生木本和草本农作物；</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2.实际工作中，涉及不在本标准中的中长期经济作物可参考同类作物的补偿标准；</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3.青苗规格划分界限下含上不含，例如：“种植3-5年，胸径5-8厘米”表示“3年≤种植年限＜5年，5厘米≤胸径＜8厘米”；</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4.本标准中的苗木高是指苗木自地面至最高生长点之间的垂直距离；</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5.本标准中的胸径是指苗木距地面130厘米处的直径；</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6.本标准中的地径是指苗木距地面20厘米处的直径；</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7.本标准中的根盘丛径指丛生植物生长形成束状结构根盘的直径；</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8.本标准中的实生苗是指由种子繁殖培育而成的苗木；</w:t>
            </w:r>
          </w:p>
          <w:p>
            <w:pPr>
              <w:widowControl/>
              <w:ind w:firstLine="421" w:firstLineChars="200"/>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9.本标准中的嫁接苗是指由嫁接的方法培育而成的苗木；</w:t>
            </w:r>
          </w:p>
          <w:p>
            <w:pPr>
              <w:widowControl/>
              <w:ind w:firstLine="421" w:firstLineChars="200"/>
              <w:rPr>
                <w:rFonts w:ascii="Times New Roman" w:hAnsi="Times New Roman" w:eastAsia="宋体" w:cs="Times New Roman"/>
                <w:szCs w:val="21"/>
              </w:rPr>
            </w:pPr>
            <w:r>
              <w:rPr>
                <w:rFonts w:hint="default" w:ascii="Times New Roman" w:hAnsi="Times New Roman" w:eastAsia="仿宋_GB2312" w:cs="Times New Roman"/>
                <w:b/>
                <w:bCs/>
                <w:kern w:val="0"/>
                <w:szCs w:val="21"/>
              </w:rPr>
              <w:t>10.本标准不含设施设备。</w:t>
            </w:r>
          </w:p>
        </w:tc>
      </w:tr>
    </w:tbl>
    <w:p>
      <w:pPr>
        <w:jc w:val="center"/>
        <w:rPr>
          <w:rFonts w:ascii="Times New Roman" w:hAnsi="Times New Roman" w:eastAsia="仿宋" w:cs="Times New Roman"/>
          <w:b/>
          <w:bCs/>
        </w:rPr>
      </w:pPr>
    </w:p>
    <w:p>
      <w:pPr>
        <w:jc w:val="center"/>
        <w:rPr>
          <w:rFonts w:ascii="Times New Roman" w:hAnsi="Times New Roman" w:eastAsia="仿宋" w:cs="Times New Roman"/>
          <w:b/>
          <w:bCs/>
        </w:rPr>
        <w:sectPr>
          <w:pgSz w:w="11906" w:h="16838"/>
          <w:pgMar w:top="1440" w:right="1803" w:bottom="1383" w:left="1803" w:header="851" w:footer="992" w:gutter="0"/>
          <w:pgNumType w:fmt="decimal"/>
          <w:cols w:space="720" w:num="1"/>
          <w:docGrid w:type="lines" w:linePitch="319" w:charSpace="0"/>
        </w:sectPr>
      </w:pPr>
    </w:p>
    <w:p>
      <w:pPr>
        <w:pStyle w:val="6"/>
        <w:spacing w:line="560" w:lineRule="exact"/>
        <w:rPr>
          <w:rFonts w:ascii="Times New Roman" w:hAnsi="Times New Roman" w:eastAsia="仿宋" w:cs="Times New Roman"/>
          <w:sz w:val="24"/>
          <w:szCs w:val="24"/>
        </w:rPr>
      </w:pPr>
      <w:r>
        <w:rPr>
          <w:rFonts w:ascii="Times New Roman" w:hAnsi="Times New Roman" w:eastAsia="黑体" w:cs="Times New Roman"/>
          <w:sz w:val="28"/>
          <w:szCs w:val="28"/>
        </w:rPr>
        <w:t>附件4</w:t>
      </w:r>
    </w:p>
    <w:p>
      <w:pPr>
        <w:pStyle w:val="3"/>
        <w:spacing w:before="0" w:after="0" w:line="360" w:lineRule="auto"/>
        <w:jc w:val="center"/>
        <w:rPr>
          <w:rFonts w:hint="eastAsia" w:ascii="方正小标宋_GBK" w:hAnsi="方正小标宋_GBK" w:eastAsia="方正小标宋_GBK" w:cs="方正小标宋_GBK"/>
          <w:sz w:val="24"/>
          <w:szCs w:val="24"/>
        </w:rPr>
      </w:pPr>
      <w:r>
        <w:rPr>
          <w:rFonts w:hint="eastAsia" w:ascii="方正小标宋_GBK" w:hAnsi="方正小标宋_GBK" w:eastAsia="方正小标宋_GBK" w:cs="方正小标宋_GBK"/>
          <w:b w:val="0"/>
          <w:bCs w:val="0"/>
          <w:sz w:val="32"/>
          <w:szCs w:val="32"/>
        </w:rPr>
        <w:t>常见林木补偿标准表</w:t>
      </w:r>
    </w:p>
    <w:tbl>
      <w:tblPr>
        <w:tblStyle w:val="11"/>
        <w:tblW w:w="84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2"/>
        <w:gridCol w:w="3461"/>
        <w:gridCol w:w="1401"/>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jc w:val="center"/>
        </w:trPr>
        <w:tc>
          <w:tcPr>
            <w:tcW w:w="1772" w:type="dxa"/>
            <w:shd w:val="clear" w:color="000000" w:fill="FFFFFF"/>
            <w:vAlign w:val="center"/>
          </w:tcPr>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作物名称</w:t>
            </w:r>
          </w:p>
        </w:tc>
        <w:tc>
          <w:tcPr>
            <w:tcW w:w="3461" w:type="dxa"/>
            <w:shd w:val="clear" w:color="000000" w:fill="FFFFFF"/>
            <w:vAlign w:val="center"/>
          </w:tcPr>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规格特征</w:t>
            </w:r>
          </w:p>
        </w:tc>
        <w:tc>
          <w:tcPr>
            <w:tcW w:w="1401" w:type="dxa"/>
            <w:shd w:val="clear" w:color="000000" w:fill="FFFFFF"/>
            <w:vAlign w:val="center"/>
          </w:tcPr>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亩合理株数（株）</w:t>
            </w:r>
          </w:p>
        </w:tc>
        <w:tc>
          <w:tcPr>
            <w:tcW w:w="1856" w:type="dxa"/>
            <w:shd w:val="clear" w:color="000000" w:fill="FFFFFF"/>
            <w:vAlign w:val="center"/>
          </w:tcPr>
          <w:p>
            <w:pPr>
              <w:widowControl/>
              <w:jc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补偿价格</w:t>
            </w:r>
            <w:r>
              <w:rPr>
                <w:rFonts w:hint="eastAsia" w:ascii="仿宋_GB2312" w:hAnsi="仿宋_GB2312" w:eastAsia="仿宋_GB2312" w:cs="仿宋_GB2312"/>
                <w:b/>
                <w:bCs/>
                <w:kern w:val="0"/>
                <w:szCs w:val="21"/>
              </w:rPr>
              <w:br w:type="textWrapping"/>
            </w:r>
            <w:r>
              <w:rPr>
                <w:rFonts w:hint="eastAsia" w:ascii="仿宋_GB2312" w:hAnsi="仿宋_GB2312" w:eastAsia="仿宋_GB2312" w:cs="仿宋_GB2312"/>
                <w:b/>
                <w:bCs/>
                <w:kern w:val="0"/>
                <w:szCs w:val="21"/>
              </w:rPr>
              <w:t>（元/株）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木麻黄</w:t>
            </w: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胸径25-30厘米。</w:t>
            </w:r>
          </w:p>
        </w:tc>
        <w:tc>
          <w:tcPr>
            <w:tcW w:w="1401"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167</w:t>
            </w: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胸径3-10厘米。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胸径3厘米以下。</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桉树</w:t>
            </w: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胸径25-30厘米。</w:t>
            </w:r>
          </w:p>
        </w:tc>
        <w:tc>
          <w:tcPr>
            <w:tcW w:w="1401"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167</w:t>
            </w: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胸径3-10厘米。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胸径3厘米以下。</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马占相思</w:t>
            </w: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胸径25-30厘米。</w:t>
            </w:r>
          </w:p>
        </w:tc>
        <w:tc>
          <w:tcPr>
            <w:tcW w:w="1401"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167</w:t>
            </w: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胸径3-10厘米。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胸径3厘米以下。</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苦楝</w:t>
            </w: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胸径25-30厘米。</w:t>
            </w:r>
          </w:p>
        </w:tc>
        <w:tc>
          <w:tcPr>
            <w:tcW w:w="1401"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120</w:t>
            </w: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胸径3-10厘米。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胸径3厘米以下。</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松树</w:t>
            </w: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胸径25-30厘米。</w:t>
            </w:r>
          </w:p>
        </w:tc>
        <w:tc>
          <w:tcPr>
            <w:tcW w:w="1401"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120</w:t>
            </w: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胸径3-10厘米。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胸径3厘米以下。</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jc w:val="center"/>
        </w:trPr>
        <w:tc>
          <w:tcPr>
            <w:tcW w:w="1772"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竹林</w:t>
            </w: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以竹丛根盘面积补偿。</w:t>
            </w:r>
          </w:p>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注：每亩补偿面积不得高于80平方米。</w:t>
            </w:r>
          </w:p>
        </w:tc>
        <w:tc>
          <w:tcPr>
            <w:tcW w:w="1401"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w:t>
            </w: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305元/平方米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其他乔木</w:t>
            </w: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胸径25-30厘米。</w:t>
            </w:r>
          </w:p>
        </w:tc>
        <w:tc>
          <w:tcPr>
            <w:tcW w:w="1401"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167</w:t>
            </w: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胸径3-10厘米。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胸径3厘米以下。</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自然丛灌木</w:t>
            </w: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以自然丛灌木投影面积补偿。</w:t>
            </w:r>
          </w:p>
        </w:tc>
        <w:tc>
          <w:tcPr>
            <w:tcW w:w="1401"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w:t>
            </w: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1286元/亩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降香黄檀</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（海南黄花梨）</w:t>
            </w: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胸径9-12厘米，未出格。</w:t>
            </w:r>
          </w:p>
        </w:tc>
        <w:tc>
          <w:tcPr>
            <w:tcW w:w="1401"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111</w:t>
            </w: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胸径6-9厘米。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胸径3-6厘米。</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caps/>
                <w:kern w:val="0"/>
                <w:szCs w:val="21"/>
              </w:rPr>
            </w:pPr>
            <w:r>
              <w:rPr>
                <w:rFonts w:hint="default" w:ascii="Times New Roman" w:hAnsi="Times New Roman" w:eastAsia="仿宋_GB2312" w:cs="Times New Roman"/>
                <w:kern w:val="0"/>
                <w:szCs w:val="21"/>
              </w:rPr>
              <w:t>胸径3厘米以下。</w:t>
            </w:r>
          </w:p>
        </w:tc>
        <w:tc>
          <w:tcPr>
            <w:tcW w:w="1401" w:type="dxa"/>
            <w:vMerge w:val="continue"/>
            <w:shd w:val="clear" w:color="auto" w:fill="auto"/>
            <w:vAlign w:val="center"/>
          </w:tcPr>
          <w:p>
            <w:pPr>
              <w:widowControl/>
              <w:jc w:val="center"/>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沉香</w:t>
            </w: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胸径6-9厘米，未结香。</w:t>
            </w:r>
          </w:p>
        </w:tc>
        <w:tc>
          <w:tcPr>
            <w:tcW w:w="1401" w:type="dxa"/>
            <w:vMerge w:val="restart"/>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167</w:t>
            </w: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胸径3-6厘米。</w:t>
            </w:r>
          </w:p>
        </w:tc>
        <w:tc>
          <w:tcPr>
            <w:tcW w:w="1401"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772"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3461" w:type="dxa"/>
            <w:shd w:val="clear" w:color="000000" w:fill="FFFFFF"/>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胸径3厘米以下。</w:t>
            </w:r>
          </w:p>
        </w:tc>
        <w:tc>
          <w:tcPr>
            <w:tcW w:w="1401" w:type="dxa"/>
            <w:vMerge w:val="continue"/>
            <w:shd w:val="clear" w:color="auto" w:fill="auto"/>
            <w:vAlign w:val="center"/>
          </w:tcPr>
          <w:p>
            <w:pPr>
              <w:widowControl/>
              <w:jc w:val="left"/>
              <w:rPr>
                <w:rFonts w:hint="default" w:ascii="Times New Roman" w:hAnsi="Times New Roman" w:eastAsia="仿宋_GB2312" w:cs="Times New Roman"/>
                <w:kern w:val="0"/>
                <w:szCs w:val="21"/>
              </w:rPr>
            </w:pPr>
          </w:p>
        </w:tc>
        <w:tc>
          <w:tcPr>
            <w:tcW w:w="1856" w:type="dxa"/>
            <w:shd w:val="clear" w:color="000000" w:fill="FFFFFF"/>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90" w:type="dxa"/>
            <w:gridSpan w:val="4"/>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szCs w:val="21"/>
              </w:rPr>
              <w:t>注：</w:t>
            </w:r>
            <w:r>
              <w:rPr>
                <w:rFonts w:hint="default" w:ascii="Times New Roman" w:hAnsi="Times New Roman" w:eastAsia="仿宋_GB2312" w:cs="Times New Roman"/>
                <w:b/>
                <w:bCs/>
                <w:kern w:val="0"/>
                <w:szCs w:val="21"/>
              </w:rPr>
              <w:t>1.本标准中的林木是指用于生产木材的树木、其他乔木、自然丛灌木及竹林；</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2.实际工作中涉及超出规格特征的林木，应委托有相关资质的估价机构评估补偿，取得所有权人同意的也可以按照议价方式补偿；</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3.青苗规格划分界限下含上不含，例如：“胸径20-25厘米”表示“20厘米≤胸径＜25厘米”；</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4.本标准中的其他乔木是指中长期经济作物、林木、观赏性苗木以外，且不属于名贵树木、特大树木的乔木；</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5.本标准中的降香黄檀（海南黄花梨）、沉香为未出芯材（格）和未结香的补偿价格；</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6.本标准中的胸径是指苗木距地面130厘米处的直径；</w:t>
            </w:r>
          </w:p>
          <w:p>
            <w:pPr>
              <w:widowControl/>
              <w:ind w:firstLine="421" w:firstLineChars="200"/>
              <w:jc w:val="left"/>
              <w:rPr>
                <w:rFonts w:hint="default" w:ascii="Times New Roman" w:hAnsi="Times New Roman" w:eastAsia="仿宋_GB2312" w:cs="Times New Roman"/>
                <w:szCs w:val="21"/>
              </w:rPr>
            </w:pPr>
            <w:r>
              <w:rPr>
                <w:rFonts w:hint="default" w:ascii="Times New Roman" w:hAnsi="Times New Roman" w:eastAsia="仿宋_GB2312" w:cs="Times New Roman"/>
                <w:b/>
                <w:bCs/>
                <w:kern w:val="0"/>
                <w:szCs w:val="21"/>
              </w:rPr>
              <w:t>7.本标准中的根盘面积是指丛生植物生长形成束状结构根盘的面积</w:t>
            </w:r>
            <w:r>
              <w:rPr>
                <w:rFonts w:hint="default" w:ascii="Times New Roman" w:hAnsi="Times New Roman" w:eastAsia="仿宋_GB2312" w:cs="Times New Roman"/>
                <w:b/>
                <w:bCs/>
                <w:szCs w:val="21"/>
              </w:rPr>
              <w:t>。</w:t>
            </w:r>
          </w:p>
        </w:tc>
      </w:tr>
    </w:tbl>
    <w:p>
      <w:pPr>
        <w:widowControl/>
        <w:jc w:val="left"/>
        <w:rPr>
          <w:rFonts w:ascii="Times New Roman" w:hAnsi="Times New Roman" w:eastAsia="仿宋" w:cs="Times New Roman"/>
          <w:b/>
          <w:bCs/>
        </w:rPr>
      </w:pPr>
      <w:r>
        <w:rPr>
          <w:rFonts w:ascii="Times New Roman" w:hAnsi="Times New Roman" w:eastAsia="仿宋" w:cs="Times New Roman"/>
          <w:b/>
          <w:bCs/>
        </w:rPr>
        <w:br w:type="page"/>
      </w:r>
    </w:p>
    <w:p>
      <w:pPr>
        <w:pStyle w:val="6"/>
        <w:spacing w:line="560" w:lineRule="exact"/>
        <w:rPr>
          <w:rFonts w:ascii="Times New Roman" w:hAnsi="Times New Roman" w:eastAsia="仿宋" w:cs="Times New Roman"/>
          <w:sz w:val="24"/>
          <w:szCs w:val="24"/>
        </w:rPr>
      </w:pPr>
      <w:r>
        <w:rPr>
          <w:rFonts w:ascii="Times New Roman" w:hAnsi="Times New Roman" w:eastAsia="黑体" w:cs="Times New Roman"/>
          <w:sz w:val="28"/>
          <w:szCs w:val="28"/>
        </w:rPr>
        <w:t>附件5</w:t>
      </w:r>
    </w:p>
    <w:p>
      <w:pPr>
        <w:pStyle w:val="3"/>
        <w:spacing w:before="0" w:after="0" w:line="360" w:lineRule="auto"/>
        <w:jc w:val="center"/>
        <w:rPr>
          <w:rFonts w:eastAsia="仿宋"/>
          <w:sz w:val="24"/>
          <w:szCs w:val="24"/>
        </w:rPr>
      </w:pPr>
      <w:r>
        <w:rPr>
          <w:rFonts w:eastAsia="方正小标宋简体"/>
          <w:b w:val="0"/>
          <w:bCs w:val="0"/>
          <w:sz w:val="32"/>
          <w:szCs w:val="32"/>
        </w:rPr>
        <w:t>常见观赏性苗木补偿标准表</w:t>
      </w:r>
    </w:p>
    <w:tbl>
      <w:tblPr>
        <w:tblStyle w:val="11"/>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2"/>
        <w:gridCol w:w="3972"/>
        <w:gridCol w:w="2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 w:hRule="atLeast"/>
          <w:tblHeader/>
        </w:trPr>
        <w:tc>
          <w:tcPr>
            <w:tcW w:w="2782"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种类名称</w:t>
            </w:r>
          </w:p>
        </w:tc>
        <w:tc>
          <w:tcPr>
            <w:tcW w:w="3972"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规格特征</w:t>
            </w:r>
          </w:p>
        </w:tc>
        <w:tc>
          <w:tcPr>
            <w:tcW w:w="2307"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补偿价格</w:t>
            </w:r>
          </w:p>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（元/株）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秋枫</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凤凰树（凤凰木）</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榄仁树（大叶榄仁）</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小叶榄仁</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木棉</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青皮木棉</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美丽异木棉</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印度紫檀</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火焰树</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白兰</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榕树</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雨树</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吊灯树（吊瓜树）</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黄花风铃木</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紫花风铃木</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幌伞枫</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非洲楝</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盆架树（盆架子）</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黄槿</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酸豆树</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海南红豆</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樟树</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鹅掌柴（鸭脚木）</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海棠树</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琼崖海棠</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海南蒲桃</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金蒲桃</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麻楝</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胸径20-25厘米。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光瓜栗（发财树）</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地径12-17厘米。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地径8-12厘米。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地径5-8厘米。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地径2-5厘米。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地径2厘米以下。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大花紫薇（大叶紫薇）</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胸径12-17厘米。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胸径8-12厘米。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胸径3-8厘米。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罗汉松</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胸径5-8厘米。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胸径3厘米以下。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九里香</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高2-3米。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高1.5-2米。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高1-1.5米。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高0.6-1米。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高0.6米以下。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三角梅</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地径7-9厘米。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地径5-7厘米。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地径3-5厘米。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地径3厘米以下。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鸡蛋花树</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高2-2.5米。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高1.5-2米。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高1-1.5米。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高0.5-1米。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龙血树</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地径15-20厘米。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地径10-15厘米。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地径5-10厘米。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地径5厘米以下。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棕榈树</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高4-6米。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高3-4米。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高2-3米。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高1-2米。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高0.5-1米。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狐尾椰子</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高4-6米。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高3-4米。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高2-3米。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高1-2米。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高0.5-1米。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散尾葵</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高3-4米。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210元/丛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高2-3米。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125元/丛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高1-2米。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70元/丛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33元/丛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苏铁</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高1.5-2米。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高0.8-1.5米。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高0.5-0.8米。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旅人蕉</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高3-5米。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高2-3米。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高1.5-2米。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高1.5米以下。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782"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美人蕉</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高1米以上。</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高0.5-1米。</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782" w:type="dxa"/>
            <w:vMerge w:val="continue"/>
            <w:vAlign w:val="center"/>
          </w:tcPr>
          <w:p>
            <w:pPr>
              <w:widowControl/>
              <w:jc w:val="left"/>
              <w:rPr>
                <w:rFonts w:hint="default" w:ascii="Times New Roman" w:hAnsi="Times New Roman" w:eastAsia="仿宋_GB2312" w:cs="Times New Roman"/>
                <w:kern w:val="0"/>
                <w:szCs w:val="21"/>
              </w:rPr>
            </w:pP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高0.5米以下。</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278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草坪</w:t>
            </w:r>
          </w:p>
        </w:tc>
        <w:tc>
          <w:tcPr>
            <w:tcW w:w="3972"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以草坪面积补偿。</w:t>
            </w:r>
          </w:p>
        </w:tc>
        <w:tc>
          <w:tcPr>
            <w:tcW w:w="2307"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6元/平方米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061" w:type="dxa"/>
            <w:gridSpan w:val="3"/>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注：1.观赏性苗木是指具有一定的观赏价值适用于美化环境、改善环境并丰富人们生活的植物，本标准中的观赏性苗木补偿标准是针对苗圃培育场外，已完成定植、非规模成片种植的零星观赏性苗木；</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2.实际工作中涉及超出规格特征和有特殊加工造型的观赏性苗木，应委托有相关资质的估价机构评估补偿，取得所有权人同意的也可以按照议价方式补偿；</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3.景观竹丛按林木补偿标准中的“竹林”补偿；</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4.青苗规格划分界限下含上不含，例如：胸径15-20厘米表示“15厘米≤胸径＜20厘米”；</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5.本标准中的苗木高是指苗木自地面至最高生长点之间的垂直距离；</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6.本标准中的胸径是指苗木距地面130厘米处的直径；</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7.本标准中的地径是指苗木距地面20厘米处的直径。</w:t>
            </w:r>
          </w:p>
        </w:tc>
      </w:tr>
    </w:tbl>
    <w:p>
      <w:pPr>
        <w:jc w:val="center"/>
        <w:rPr>
          <w:rFonts w:ascii="Times New Roman" w:hAnsi="Times New Roman" w:eastAsia="仿宋" w:cs="Times New Roman"/>
          <w:b/>
          <w:bCs/>
        </w:rPr>
      </w:pPr>
    </w:p>
    <w:p>
      <w:pPr>
        <w:widowControl/>
        <w:jc w:val="left"/>
        <w:rPr>
          <w:rFonts w:ascii="Times New Roman" w:hAnsi="Times New Roman" w:eastAsia="仿宋" w:cs="Times New Roman"/>
          <w:b/>
          <w:bCs/>
        </w:rPr>
      </w:pPr>
      <w:r>
        <w:rPr>
          <w:rFonts w:ascii="Times New Roman" w:hAnsi="Times New Roman" w:eastAsia="仿宋" w:cs="Times New Roman"/>
          <w:b/>
          <w:bCs/>
        </w:rPr>
        <w:br w:type="page"/>
      </w:r>
    </w:p>
    <w:p>
      <w:pPr>
        <w:pStyle w:val="6"/>
        <w:spacing w:line="560" w:lineRule="exact"/>
        <w:rPr>
          <w:rFonts w:ascii="Times New Roman" w:hAnsi="Times New Roman" w:eastAsia="仿宋" w:cs="Times New Roman"/>
          <w:sz w:val="24"/>
          <w:szCs w:val="24"/>
        </w:rPr>
      </w:pPr>
      <w:r>
        <w:rPr>
          <w:rFonts w:ascii="Times New Roman" w:hAnsi="Times New Roman" w:eastAsia="黑体" w:cs="Times New Roman"/>
          <w:sz w:val="28"/>
          <w:szCs w:val="28"/>
        </w:rPr>
        <w:t>附件6</w:t>
      </w:r>
    </w:p>
    <w:p>
      <w:pPr>
        <w:pStyle w:val="3"/>
        <w:spacing w:before="0" w:after="0" w:line="360" w:lineRule="auto"/>
        <w:jc w:val="center"/>
        <w:rPr>
          <w:rFonts w:eastAsia="仿宋"/>
          <w:sz w:val="24"/>
          <w:szCs w:val="24"/>
        </w:rPr>
      </w:pPr>
      <w:r>
        <w:rPr>
          <w:rFonts w:hint="eastAsia" w:ascii="方正小标宋_GBK" w:hAnsi="方正小标宋_GBK" w:eastAsia="方正小标宋_GBK" w:cs="方正小标宋_GBK"/>
          <w:b w:val="0"/>
          <w:bCs w:val="0"/>
          <w:sz w:val="32"/>
          <w:szCs w:val="32"/>
        </w:rPr>
        <w:t>常见苗圃迁移费补助标准表</w:t>
      </w:r>
    </w:p>
    <w:tbl>
      <w:tblPr>
        <w:tblStyle w:val="11"/>
        <w:tblW w:w="91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95"/>
        <w:gridCol w:w="3178"/>
        <w:gridCol w:w="2019"/>
        <w:gridCol w:w="2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841" w:type="dxa"/>
            <w:gridSpan w:val="2"/>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种类名称</w:t>
            </w:r>
          </w:p>
        </w:tc>
        <w:tc>
          <w:tcPr>
            <w:tcW w:w="3178"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规格特征</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亩株（丛）数</w:t>
            </w:r>
          </w:p>
        </w:tc>
        <w:tc>
          <w:tcPr>
            <w:tcW w:w="2092"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亩迁移费补助价格</w:t>
            </w:r>
          </w:p>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841" w:type="dxa"/>
            <w:gridSpan w:val="2"/>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盆（袋）栽苗</w:t>
            </w: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盆（袋）口径30厘米以上。</w:t>
            </w:r>
          </w:p>
        </w:tc>
        <w:tc>
          <w:tcPr>
            <w:tcW w:w="2019" w:type="dxa"/>
            <w:vAlign w:val="top"/>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7987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841" w:type="dxa"/>
            <w:gridSpan w:val="2"/>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盆（袋）口径15-30厘米。</w:t>
            </w:r>
          </w:p>
        </w:tc>
        <w:tc>
          <w:tcPr>
            <w:tcW w:w="2019" w:type="dxa"/>
            <w:vAlign w:val="top"/>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841" w:type="dxa"/>
            <w:gridSpan w:val="2"/>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盆（袋）口径15厘米以下。</w:t>
            </w:r>
          </w:p>
        </w:tc>
        <w:tc>
          <w:tcPr>
            <w:tcW w:w="2019" w:type="dxa"/>
            <w:vAlign w:val="top"/>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地栽苗</w:t>
            </w:r>
          </w:p>
        </w:tc>
        <w:tc>
          <w:tcPr>
            <w:tcW w:w="995"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绿化</w:t>
            </w:r>
          </w:p>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乔木类</w:t>
            </w: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胸径15-20厘米。</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100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21725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left"/>
              <w:rPr>
                <w:rFonts w:hint="default" w:ascii="Times New Roman" w:hAnsi="Times New Roman" w:eastAsia="仿宋_GB2312" w:cs="Times New Roman"/>
                <w:kern w:val="0"/>
                <w:szCs w:val="21"/>
              </w:rPr>
            </w:pPr>
          </w:p>
        </w:tc>
        <w:tc>
          <w:tcPr>
            <w:tcW w:w="995" w:type="dxa"/>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胸径10-15厘米。</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150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18263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left"/>
              <w:rPr>
                <w:rFonts w:hint="default" w:ascii="Times New Roman" w:hAnsi="Times New Roman" w:eastAsia="仿宋_GB2312" w:cs="Times New Roman"/>
                <w:kern w:val="0"/>
                <w:szCs w:val="21"/>
              </w:rPr>
            </w:pPr>
          </w:p>
        </w:tc>
        <w:tc>
          <w:tcPr>
            <w:tcW w:w="995" w:type="dxa"/>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胸径5-10厘米。</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240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14289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left"/>
              <w:rPr>
                <w:rFonts w:hint="default" w:ascii="Times New Roman" w:hAnsi="Times New Roman" w:eastAsia="仿宋_GB2312" w:cs="Times New Roman"/>
                <w:kern w:val="0"/>
                <w:szCs w:val="21"/>
              </w:rPr>
            </w:pPr>
          </w:p>
        </w:tc>
        <w:tc>
          <w:tcPr>
            <w:tcW w:w="995" w:type="dxa"/>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胸径5厘米以下。</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350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center"/>
              <w:rPr>
                <w:rFonts w:hint="default" w:ascii="Times New Roman" w:hAnsi="Times New Roman" w:eastAsia="仿宋_GB2312" w:cs="Times New Roman"/>
                <w:kern w:val="0"/>
                <w:szCs w:val="21"/>
              </w:rPr>
            </w:pPr>
          </w:p>
        </w:tc>
        <w:tc>
          <w:tcPr>
            <w:tcW w:w="995"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灌木类</w:t>
            </w: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冠幅150-200厘米。</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167</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left"/>
              <w:rPr>
                <w:rFonts w:hint="default" w:ascii="Times New Roman" w:hAnsi="Times New Roman" w:eastAsia="仿宋_GB2312" w:cs="Times New Roman"/>
                <w:kern w:val="0"/>
                <w:szCs w:val="21"/>
              </w:rPr>
            </w:pPr>
          </w:p>
        </w:tc>
        <w:tc>
          <w:tcPr>
            <w:tcW w:w="995" w:type="dxa"/>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冠幅100-150厘米。</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260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left"/>
              <w:rPr>
                <w:rFonts w:hint="default" w:ascii="Times New Roman" w:hAnsi="Times New Roman" w:eastAsia="仿宋_GB2312" w:cs="Times New Roman"/>
                <w:kern w:val="0"/>
                <w:szCs w:val="21"/>
              </w:rPr>
            </w:pPr>
          </w:p>
        </w:tc>
        <w:tc>
          <w:tcPr>
            <w:tcW w:w="995" w:type="dxa"/>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冠幅50-100厘米。</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400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8962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left"/>
              <w:rPr>
                <w:rFonts w:hint="default" w:ascii="Times New Roman" w:hAnsi="Times New Roman" w:eastAsia="仿宋_GB2312" w:cs="Times New Roman"/>
                <w:kern w:val="0"/>
                <w:szCs w:val="21"/>
              </w:rPr>
            </w:pPr>
          </w:p>
        </w:tc>
        <w:tc>
          <w:tcPr>
            <w:tcW w:w="995" w:type="dxa"/>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冠幅50厘米以下。</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700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center"/>
              <w:rPr>
                <w:rFonts w:hint="default" w:ascii="Times New Roman" w:hAnsi="Times New Roman" w:eastAsia="仿宋_GB2312" w:cs="Times New Roman"/>
                <w:kern w:val="0"/>
                <w:szCs w:val="21"/>
              </w:rPr>
            </w:pPr>
          </w:p>
        </w:tc>
        <w:tc>
          <w:tcPr>
            <w:tcW w:w="995" w:type="dxa"/>
            <w:vMerge w:val="restart"/>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棕榈类</w:t>
            </w: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高4-6米。</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60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left"/>
              <w:rPr>
                <w:rFonts w:hint="default" w:ascii="Times New Roman" w:hAnsi="Times New Roman" w:eastAsia="仿宋_GB2312" w:cs="Times New Roman"/>
                <w:kern w:val="0"/>
                <w:szCs w:val="21"/>
              </w:rPr>
            </w:pPr>
          </w:p>
        </w:tc>
        <w:tc>
          <w:tcPr>
            <w:tcW w:w="995" w:type="dxa"/>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高3-4米。</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60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left"/>
              <w:rPr>
                <w:rFonts w:hint="default" w:ascii="Times New Roman" w:hAnsi="Times New Roman" w:eastAsia="仿宋_GB2312" w:cs="Times New Roman"/>
                <w:kern w:val="0"/>
                <w:szCs w:val="21"/>
              </w:rPr>
            </w:pPr>
          </w:p>
        </w:tc>
        <w:tc>
          <w:tcPr>
            <w:tcW w:w="995" w:type="dxa"/>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高2-3米。</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90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9862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left"/>
              <w:rPr>
                <w:rFonts w:hint="default" w:ascii="Times New Roman" w:hAnsi="Times New Roman" w:eastAsia="仿宋_GB2312" w:cs="Times New Roman"/>
                <w:kern w:val="0"/>
                <w:szCs w:val="21"/>
              </w:rPr>
            </w:pPr>
          </w:p>
        </w:tc>
        <w:tc>
          <w:tcPr>
            <w:tcW w:w="995" w:type="dxa"/>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高1-2米。</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120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left"/>
              <w:rPr>
                <w:rFonts w:hint="default" w:ascii="Times New Roman" w:hAnsi="Times New Roman" w:eastAsia="仿宋_GB2312" w:cs="Times New Roman"/>
                <w:kern w:val="0"/>
                <w:szCs w:val="21"/>
              </w:rPr>
            </w:pPr>
          </w:p>
        </w:tc>
        <w:tc>
          <w:tcPr>
            <w:tcW w:w="995" w:type="dxa"/>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高0.5-1米。</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180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6" w:type="dxa"/>
            <w:vMerge w:val="continue"/>
            <w:vAlign w:val="center"/>
          </w:tcPr>
          <w:p>
            <w:pPr>
              <w:widowControl/>
              <w:jc w:val="left"/>
              <w:rPr>
                <w:rFonts w:hint="default" w:ascii="Times New Roman" w:hAnsi="Times New Roman" w:eastAsia="仿宋_GB2312" w:cs="Times New Roman"/>
                <w:kern w:val="0"/>
                <w:szCs w:val="21"/>
              </w:rPr>
            </w:pPr>
          </w:p>
        </w:tc>
        <w:tc>
          <w:tcPr>
            <w:tcW w:w="995" w:type="dxa"/>
            <w:vMerge w:val="continue"/>
            <w:vAlign w:val="center"/>
          </w:tcPr>
          <w:p>
            <w:pPr>
              <w:widowControl/>
              <w:jc w:val="left"/>
              <w:rPr>
                <w:rFonts w:hint="default" w:ascii="Times New Roman" w:hAnsi="Times New Roman" w:eastAsia="仿宋_GB2312" w:cs="Times New Roman"/>
                <w:kern w:val="0"/>
                <w:szCs w:val="21"/>
              </w:rPr>
            </w:pPr>
          </w:p>
        </w:tc>
        <w:tc>
          <w:tcPr>
            <w:tcW w:w="3178" w:type="dxa"/>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高0.5米以下。</w:t>
            </w:r>
          </w:p>
        </w:tc>
        <w:tc>
          <w:tcPr>
            <w:tcW w:w="2019" w:type="dxa"/>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kern w:val="0"/>
                <w:szCs w:val="21"/>
              </w:rPr>
              <w:t>250</w:t>
            </w:r>
          </w:p>
        </w:tc>
        <w:tc>
          <w:tcPr>
            <w:tcW w:w="2092" w:type="dxa"/>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130" w:type="dxa"/>
            <w:gridSpan w:val="5"/>
            <w:vAlign w:val="top"/>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注：1.苗圃是指用于培育苗木的场所或土地，本标准中的苗圃迁移费补助标准是针对苗圃培育场地上青苗的迁移费补助；</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2.盆（袋）栽苗培育地内投影面积达到70%以上（含70%）按本标准执行，若不足70%以实际投影面积比例除以70%乘上相应规格亩迁移补助价格确定其迁移费补助价格；</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3.地栽苗按实际种植清点株（丛）数，达到或超出本标准亩株（丛）数的按本标准执行，不足本标准亩株（丛）数的以实际亩株（丛）数除以本标准亩株（丛）数再乘上相应规格亩迁移补助价格确定其迁移费补助价格;</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4.青苗规格划分界限下含上不含，例如：“胸径5-10厘米”表示 “5厘米≤胸径＜10厘米”;</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5.本标准中的盆（袋）栽苗是指以盆、袋为容器培育种植的苗木；</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6.本标准中的地栽苗是指直接生长在地里培育的苗木；</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7.本标准中的口径是指盆（袋）最大内直径；</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8.本标准中的胸径是指苗木距地面130厘米处的直径；</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9.本标准中的冠幅是指苗木南北和东西方向宽度的平均值；</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10.本标准中的苗木高是指苗木自地面至最高生长点之间的垂直距离；</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11.本标准不含设施设备。</w:t>
            </w:r>
          </w:p>
        </w:tc>
      </w:tr>
    </w:tbl>
    <w:p>
      <w:pPr>
        <w:jc w:val="left"/>
        <w:rPr>
          <w:rFonts w:ascii="Times New Roman" w:hAnsi="Times New Roman" w:eastAsia="仿宋" w:cs="Times New Roman"/>
          <w:b/>
          <w:bCs/>
        </w:rPr>
      </w:pPr>
      <w:r>
        <w:rPr>
          <w:rFonts w:ascii="Times New Roman" w:hAnsi="Times New Roman" w:eastAsia="仿宋" w:cs="Times New Roman"/>
          <w:b/>
          <w:bCs/>
        </w:rPr>
        <w:br w:type="page"/>
      </w:r>
    </w:p>
    <w:p>
      <w:pPr>
        <w:pStyle w:val="6"/>
        <w:spacing w:line="560" w:lineRule="exact"/>
        <w:rPr>
          <w:rFonts w:ascii="Times New Roman" w:hAnsi="Times New Roman" w:eastAsia="仿宋" w:cs="Times New Roman"/>
          <w:sz w:val="24"/>
          <w:szCs w:val="24"/>
        </w:rPr>
      </w:pPr>
      <w:r>
        <w:rPr>
          <w:rFonts w:ascii="Times New Roman" w:hAnsi="Times New Roman" w:eastAsia="黑体" w:cs="Times New Roman"/>
          <w:sz w:val="28"/>
          <w:szCs w:val="28"/>
        </w:rPr>
        <w:t>附件7</w:t>
      </w:r>
    </w:p>
    <w:p>
      <w:pPr>
        <w:pStyle w:val="3"/>
        <w:spacing w:before="0" w:after="0" w:line="360" w:lineRule="auto"/>
        <w:jc w:val="center"/>
        <w:rPr>
          <w:rFonts w:eastAsia="仿宋"/>
          <w:sz w:val="24"/>
          <w:szCs w:val="24"/>
        </w:rPr>
      </w:pPr>
      <w:r>
        <w:rPr>
          <w:rFonts w:hint="eastAsia" w:ascii="方正小标宋_GBK" w:hAnsi="方正小标宋_GBK" w:eastAsia="方正小标宋_GBK" w:cs="方正小标宋_GBK"/>
          <w:b w:val="0"/>
          <w:bCs w:val="0"/>
          <w:sz w:val="32"/>
          <w:szCs w:val="32"/>
        </w:rPr>
        <w:t>常见地上附着物补偿标准表</w:t>
      </w:r>
    </w:p>
    <w:tbl>
      <w:tblPr>
        <w:tblStyle w:val="11"/>
        <w:tblW w:w="8222" w:type="dxa"/>
        <w:jc w:val="center"/>
        <w:tblInd w:w="0" w:type="dxa"/>
        <w:tblLayout w:type="fixed"/>
        <w:tblCellMar>
          <w:top w:w="0" w:type="dxa"/>
          <w:left w:w="108" w:type="dxa"/>
          <w:bottom w:w="0" w:type="dxa"/>
          <w:right w:w="108" w:type="dxa"/>
        </w:tblCellMar>
      </w:tblPr>
      <w:tblGrid>
        <w:gridCol w:w="2405"/>
        <w:gridCol w:w="2410"/>
        <w:gridCol w:w="861"/>
        <w:gridCol w:w="2546"/>
      </w:tblGrid>
      <w:tr>
        <w:tblPrEx>
          <w:tblLayout w:type="fixed"/>
          <w:tblCellMar>
            <w:top w:w="0" w:type="dxa"/>
            <w:left w:w="108" w:type="dxa"/>
            <w:bottom w:w="0" w:type="dxa"/>
            <w:right w:w="108" w:type="dxa"/>
          </w:tblCellMar>
        </w:tblPrEx>
        <w:trPr>
          <w:trHeight w:val="372" w:hRule="atLeast"/>
          <w:tblHeader/>
          <w:jc w:val="center"/>
        </w:trPr>
        <w:tc>
          <w:tcPr>
            <w:tcW w:w="2405"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类别</w:t>
            </w:r>
          </w:p>
        </w:tc>
        <w:tc>
          <w:tcPr>
            <w:tcW w:w="241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规格</w:t>
            </w:r>
          </w:p>
        </w:tc>
        <w:tc>
          <w:tcPr>
            <w:tcW w:w="861"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单位</w:t>
            </w:r>
          </w:p>
        </w:tc>
        <w:tc>
          <w:tcPr>
            <w:tcW w:w="2546"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补偿价格（元）</w:t>
            </w:r>
          </w:p>
        </w:tc>
      </w:tr>
      <w:tr>
        <w:tblPrEx>
          <w:tblLayout w:type="fixed"/>
          <w:tblCellMar>
            <w:top w:w="0" w:type="dxa"/>
            <w:left w:w="108" w:type="dxa"/>
            <w:bottom w:w="0" w:type="dxa"/>
            <w:right w:w="108" w:type="dxa"/>
          </w:tblCellMar>
        </w:tblPrEx>
        <w:trPr>
          <w:trHeight w:val="324"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一、土方</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回填土</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29</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挖土方</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36</w:t>
            </w:r>
          </w:p>
        </w:tc>
      </w:tr>
      <w:tr>
        <w:tblPrEx>
          <w:tblLayout w:type="fixed"/>
          <w:tblCellMar>
            <w:top w:w="0" w:type="dxa"/>
            <w:left w:w="108" w:type="dxa"/>
            <w:bottom w:w="0" w:type="dxa"/>
            <w:right w:w="108" w:type="dxa"/>
          </w:tblCellMar>
        </w:tblPrEx>
        <w:trPr>
          <w:trHeight w:val="324"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二、基础</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红砖基础</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含地梁</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646</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片石基础</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含地梁</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524</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标准石砖基础</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含地梁</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629</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钢筋砼基础</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含地梁</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679</w:t>
            </w:r>
          </w:p>
        </w:tc>
      </w:tr>
      <w:tr>
        <w:tblPrEx>
          <w:tblLayout w:type="fixed"/>
          <w:tblCellMar>
            <w:top w:w="0" w:type="dxa"/>
            <w:left w:w="108" w:type="dxa"/>
            <w:bottom w:w="0" w:type="dxa"/>
            <w:right w:w="108" w:type="dxa"/>
          </w:tblCellMar>
        </w:tblPrEx>
        <w:trPr>
          <w:trHeight w:val="324"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三、钢筋混</w:t>
            </w:r>
            <w:r>
              <w:rPr>
                <w:rFonts w:hint="eastAsia" w:ascii="Times New Roman" w:hAnsi="Times New Roman" w:eastAsia="仿宋_GB2312" w:cs="Times New Roman"/>
                <w:b/>
                <w:bCs/>
                <w:kern w:val="0"/>
                <w:szCs w:val="21"/>
                <w:lang w:eastAsia="zh-CN"/>
              </w:rPr>
              <w:t>凝</w:t>
            </w:r>
            <w:r>
              <w:rPr>
                <w:rFonts w:hint="default" w:ascii="Times New Roman" w:hAnsi="Times New Roman" w:eastAsia="仿宋_GB2312" w:cs="Times New Roman"/>
                <w:b/>
                <w:bCs/>
                <w:kern w:val="0"/>
                <w:szCs w:val="21"/>
              </w:rPr>
              <w:t>土</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钢筋砼柱</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周长1m内</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945</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钢筋砼柱</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周长1m以上</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960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楼板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厚8cm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楼板增减部分</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增减1cm厚</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9</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厚20cm以上</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220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厚16～19cm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180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厚11～15cm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140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厚5～10cm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砼楼梯</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184</w:t>
            </w:r>
          </w:p>
        </w:tc>
      </w:tr>
      <w:tr>
        <w:tblPrEx>
          <w:tblLayout w:type="fixed"/>
          <w:tblCellMar>
            <w:top w:w="0" w:type="dxa"/>
            <w:left w:w="108" w:type="dxa"/>
            <w:bottom w:w="0" w:type="dxa"/>
            <w:right w:w="108" w:type="dxa"/>
          </w:tblCellMar>
        </w:tblPrEx>
        <w:trPr>
          <w:trHeight w:val="324"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四、砖墙柱　</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独立砖柱</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周长1.5m内</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455</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独立砖柱</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周长1.5m以上</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475</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独立钢筋柱</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周长1.5m以内</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591</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独立钢筋柱</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周长1.5-2m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810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独立钢筋柱</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周长2m以上</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1539</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内外砖墙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12cm厚</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115</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内外砖墙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18cm厚</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172</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内外砖墙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24cm厚</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224</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石砖围墙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26cm厚</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369</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片石围墙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30cm厚</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片石围墙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40cm厚</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170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片石挡土墙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450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红砖围墙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24cm厚</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228</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红砖围墙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18cm厚</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172</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红砖围墙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12cm厚</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156</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空心砖砌墙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140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石（红）砖垒墙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按搬迁费</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75</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片石垒墙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按搬迁费</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空心砖垒墙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按搬迁费</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60</w:t>
            </w:r>
          </w:p>
        </w:tc>
      </w:tr>
      <w:tr>
        <w:tblPrEx>
          <w:tblLayout w:type="fixed"/>
          <w:tblCellMar>
            <w:top w:w="0" w:type="dxa"/>
            <w:left w:w="108" w:type="dxa"/>
            <w:bottom w:w="0" w:type="dxa"/>
            <w:right w:w="108" w:type="dxa"/>
          </w:tblCellMar>
        </w:tblPrEx>
        <w:trPr>
          <w:trHeight w:val="324"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五、门、窗、扶手</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塑钢门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364</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塑钢窗</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300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豪华包门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含门框</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扇</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1800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铝合金门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400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铝合金窗</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338</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玻璃地弹门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1.5cm厚</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569</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卷闸门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266</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木板装饰拱门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682</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塑料门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153</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胶合板包门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含门框</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扇</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1000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包门框</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500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实木包门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含门框</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扇</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2500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无锈钢防盗门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1000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水管（铁条）制防盗门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350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镀锌铁皮防盗门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290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铁制伸拉防盗门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500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豪华方铁防盗门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700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豪华铁板防盗门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1500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无锈钢防盗网</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400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扁铁制防盗网</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280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方钢制防盗网</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270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圆钢制防盗网</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166</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铝合金防盗网</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224</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普通铝合金纱窗（门）</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168</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无锈钢扶手</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含栏杆</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370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铁艺扶手</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含栏杆</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400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普通铁条或水管扶手</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含栏杆</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223</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木制扶手</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含栏杆</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232</w:t>
            </w:r>
          </w:p>
        </w:tc>
      </w:tr>
      <w:tr>
        <w:tblPrEx>
          <w:tblLayout w:type="fixed"/>
          <w:tblCellMar>
            <w:top w:w="0" w:type="dxa"/>
            <w:left w:w="108" w:type="dxa"/>
            <w:bottom w:w="0" w:type="dxa"/>
            <w:right w:w="108" w:type="dxa"/>
          </w:tblCellMar>
        </w:tblPrEx>
        <w:trPr>
          <w:trHeight w:val="324"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六、楼地、层面装饰</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隔垫层</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65</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水磨石地板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121</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普通彩釉砖地板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115</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中档彩釉砖地板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152</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高档彩釉砖地板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280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普通马赛克地板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109</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天然花岗岩（地板）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260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天然大理石（地板）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220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普通木铺地板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170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高档木铺地板</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280</w:t>
            </w:r>
          </w:p>
        </w:tc>
      </w:tr>
      <w:tr>
        <w:tblPrEx>
          <w:tblLayout w:type="fixed"/>
          <w:tblCellMar>
            <w:top w:w="0" w:type="dxa"/>
            <w:left w:w="108" w:type="dxa"/>
            <w:bottom w:w="0" w:type="dxa"/>
            <w:right w:w="108" w:type="dxa"/>
          </w:tblCellMar>
        </w:tblPrEx>
        <w:trPr>
          <w:trHeight w:val="324"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七、墙面装饰</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墙面玻璃马赛克</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122</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墙面水刷石</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石米</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109</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墙裙瓷片</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142</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墙面柱面彩釉砖</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124</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墙面柱面大理石</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含花岗岩</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270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墙面柱面条砖</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118</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磨砂玻璃隔墙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285</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柱面镀金包皮</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310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外墙防水多彩涂料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内墙乳胶漆</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33</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镶入木制壁框</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高×宽×厚</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600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木骨架玻璃隔墙</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144</w:t>
            </w:r>
          </w:p>
        </w:tc>
      </w:tr>
      <w:tr>
        <w:tblPrEx>
          <w:tblLayout w:type="fixed"/>
          <w:tblCellMar>
            <w:top w:w="0" w:type="dxa"/>
            <w:left w:w="108" w:type="dxa"/>
            <w:bottom w:w="0" w:type="dxa"/>
            <w:right w:w="108" w:type="dxa"/>
          </w:tblCellMar>
        </w:tblPrEx>
        <w:trPr>
          <w:trHeight w:val="312"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八、猪、牛、羊栏</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水泥地板</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有棚顶</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215</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无垫底</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有棚顶</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150</w:t>
            </w:r>
          </w:p>
        </w:tc>
      </w:tr>
      <w:tr>
        <w:tblPrEx>
          <w:tblLayout w:type="fixed"/>
          <w:tblCellMar>
            <w:top w:w="0" w:type="dxa"/>
            <w:left w:w="108" w:type="dxa"/>
            <w:bottom w:w="0" w:type="dxa"/>
            <w:right w:w="108" w:type="dxa"/>
          </w:tblCellMar>
        </w:tblPrEx>
        <w:trPr>
          <w:trHeight w:val="312"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九、坟墓</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土坟</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以棺位</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座</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12000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砖坟</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以棺位，含装饰部分</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座</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15000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特大坟</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以棺位，含装饰部分</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座</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18000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墓碑</w:t>
            </w:r>
          </w:p>
        </w:tc>
        <w:tc>
          <w:tcPr>
            <w:tcW w:w="2410"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石碑</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块</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3000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墓碑</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水泥碑</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块</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新坟增加补偿</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三年以内</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座</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3000</w:t>
            </w:r>
          </w:p>
        </w:tc>
      </w:tr>
      <w:tr>
        <w:tblPrEx>
          <w:tblLayout w:type="fixed"/>
          <w:tblCellMar>
            <w:top w:w="0" w:type="dxa"/>
            <w:left w:w="108" w:type="dxa"/>
            <w:bottom w:w="0" w:type="dxa"/>
            <w:right w:w="108" w:type="dxa"/>
          </w:tblCellMar>
        </w:tblPrEx>
        <w:trPr>
          <w:trHeight w:val="312"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十、水井</w:t>
            </w:r>
          </w:p>
        </w:tc>
      </w:tr>
      <w:tr>
        <w:tblPrEx>
          <w:tblLayout w:type="fixed"/>
          <w:tblCellMar>
            <w:top w:w="0" w:type="dxa"/>
            <w:left w:w="108" w:type="dxa"/>
            <w:bottom w:w="0" w:type="dxa"/>
            <w:right w:w="108" w:type="dxa"/>
          </w:tblCellMar>
        </w:tblPrEx>
        <w:trPr>
          <w:trHeight w:val="288" w:hRule="exact"/>
          <w:jc w:val="center"/>
        </w:trPr>
        <w:tc>
          <w:tcPr>
            <w:tcW w:w="2405" w:type="dxa"/>
            <w:tcBorders>
              <w:top w:val="nil"/>
              <w:left w:val="single" w:color="auto" w:sz="4" w:space="0"/>
              <w:bottom w:val="single" w:color="auto" w:sz="4" w:space="0"/>
              <w:right w:val="single" w:color="auto" w:sz="4" w:space="0"/>
            </w:tcBorders>
            <w:vAlign w:val="center"/>
          </w:tcPr>
          <w:p>
            <w:pPr>
              <w:widowControl/>
              <w:spacing w:before="100" w:beforeAutospacing="1" w:line="240" w:lineRule="exact"/>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砼圏井</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口径×深×单价</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口</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800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砖砌井</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口径×深×单价</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口</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600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土井</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口径×深×单价</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口</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手摇井</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家庭食用水</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口</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手压井</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农业用水</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口</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600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塑料管水井</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PVC管直径20cm以上</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机钻井</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口径×深×单价</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口</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1600</w:t>
            </w:r>
          </w:p>
        </w:tc>
      </w:tr>
      <w:tr>
        <w:tblPrEx>
          <w:tblLayout w:type="fixed"/>
          <w:tblCellMar>
            <w:top w:w="0" w:type="dxa"/>
            <w:left w:w="108" w:type="dxa"/>
            <w:bottom w:w="0" w:type="dxa"/>
            <w:right w:w="108" w:type="dxa"/>
          </w:tblCellMar>
        </w:tblPrEx>
        <w:trPr>
          <w:trHeight w:val="312"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十一、室外简易卫生间</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砖墙、无顶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180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砖墙、油毡顶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铁皮石棉瓦顶</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350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砖墙、砼平顶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708</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其他</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80</w:t>
            </w:r>
          </w:p>
        </w:tc>
      </w:tr>
      <w:tr>
        <w:tblPrEx>
          <w:tblLayout w:type="fixed"/>
          <w:tblCellMar>
            <w:top w:w="0" w:type="dxa"/>
            <w:left w:w="108" w:type="dxa"/>
            <w:bottom w:w="0" w:type="dxa"/>
            <w:right w:w="108" w:type="dxa"/>
          </w:tblCellMar>
        </w:tblPrEx>
        <w:trPr>
          <w:trHeight w:val="312"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十二、水池</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红砖蓄水池</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有盖、水容量</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367</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红砖蓄水池</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无盖、水容量</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308</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砼蓄水池</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有盖、水容量</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596</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砼蓄水池</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无盖、水容量</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448</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红砖养殖池</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墙厚24cm批档</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145</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红砖养殖池</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墙厚12cm批档</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104</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红砖养殖池</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墙厚5cm批档</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82</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无锈钢蓄水池</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5立方以上搬迁费</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700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无锈钢蓄水池</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5立方以下搬迁费</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400</w:t>
            </w:r>
          </w:p>
        </w:tc>
      </w:tr>
      <w:tr>
        <w:tblPrEx>
          <w:tblLayout w:type="fixed"/>
          <w:tblCellMar>
            <w:top w:w="0" w:type="dxa"/>
            <w:left w:w="108" w:type="dxa"/>
            <w:bottom w:w="0" w:type="dxa"/>
            <w:right w:w="108" w:type="dxa"/>
          </w:tblCellMar>
        </w:tblPrEx>
        <w:trPr>
          <w:trHeight w:val="312"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十三、沼气池</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10立方米（大）</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含配套设施</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8000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8立方米（中）</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含配套设施</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6000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5立方米（小）</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含配套设施</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5000</w:t>
            </w:r>
          </w:p>
        </w:tc>
      </w:tr>
      <w:tr>
        <w:tblPrEx>
          <w:tblLayout w:type="fixed"/>
          <w:tblCellMar>
            <w:top w:w="0" w:type="dxa"/>
            <w:left w:w="108" w:type="dxa"/>
            <w:bottom w:w="0" w:type="dxa"/>
            <w:right w:w="108" w:type="dxa"/>
          </w:tblCellMar>
        </w:tblPrEx>
        <w:trPr>
          <w:trHeight w:val="312" w:hRule="atLeast"/>
          <w:jc w:val="center"/>
        </w:trPr>
        <w:tc>
          <w:tcPr>
            <w:tcW w:w="8222" w:type="dxa"/>
            <w:gridSpan w:val="4"/>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十四、其它</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三合土晒谷场</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室外红砖台阶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室外片石台阶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室外砼台阶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336</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室外砖砌排水沟</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（边高×2+宽）×长</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室外片石砌排水沟</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（边高×2+宽）×长</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78</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室外石砖砌排水沟</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（边高×2+宽）×长</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90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室外水泥地板</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厚3～5cm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52</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室外石条地板</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室外铁制楼梯</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500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室外木条地板</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室外砖砌花池</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混合水泥路面</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厚20cm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164</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水泥花阶砖地板</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砼中小型码头</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429</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化粪池（室外）</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3</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662</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石膏板吊顶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87</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普通木板吊顶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167</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高级木板吊顶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223</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铝板吊顶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144</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塑料吊顶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78</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三合板吊顶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111</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其他材料吊顶</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木板隔裙</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87</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石膏条（线）</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普通地脚线</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木板地脚线</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24</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玻璃瓦</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170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装饰瓷简</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单层木板隔墙</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60</w:t>
            </w:r>
          </w:p>
        </w:tc>
      </w:tr>
      <w:tr>
        <w:tblPrEx>
          <w:tblLayout w:type="fixed"/>
          <w:tblCellMar>
            <w:top w:w="0" w:type="dxa"/>
            <w:left w:w="108" w:type="dxa"/>
            <w:bottom w:w="0" w:type="dxa"/>
            <w:right w:w="108" w:type="dxa"/>
          </w:tblCellMar>
        </w:tblPrEx>
        <w:trPr>
          <w:trHeight w:val="37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双层木板隔墙</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r>
              <w:rPr>
                <w:rFonts w:hint="default" w:ascii="Times New Roman" w:hAnsi="Times New Roman" w:eastAsia="仿宋_GB2312" w:cs="Times New Roman"/>
                <w:kern w:val="0"/>
                <w:szCs w:val="21"/>
                <w:vertAlign w:val="superscript"/>
              </w:rPr>
              <w:t>2</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木篱笆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含刺树等</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铁丝网篱笆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含柱桩</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石条柱</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1.5m以上</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根</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石膏浮雕</w:t>
            </w:r>
          </w:p>
        </w:tc>
        <w:tc>
          <w:tcPr>
            <w:tcW w:w="2410" w:type="dxa"/>
            <w:tcBorders>
              <w:top w:val="nil"/>
              <w:left w:val="nil"/>
              <w:bottom w:val="single" w:color="auto" w:sz="4" w:space="0"/>
              <w:right w:val="single" w:color="auto" w:sz="4" w:space="0"/>
            </w:tcBorders>
            <w:vAlign w:val="bottom"/>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普通坐便盆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450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高级坐便盆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1800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普通喷头</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含配套设施</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380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中档喷头</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含配套设施</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高级喷头</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含配套设施</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普通洗手盆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含配套设施</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中档洗手盆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含配套设施</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600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避雷针</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按1栋房1根计</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根</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橱柜</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大理石面</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1000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橱柜</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瓷砖面</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400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砼预制管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内径20cm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126</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砼预制管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内径30cm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203</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砼预制管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内径40cm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290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砼预制管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内径50cm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323</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砼预制管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内径80cm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468</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砼预制管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内径100cm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552</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U型砼管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内径30cm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130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U型砼管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内径50cm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190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U型砼管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内径50cm以上</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250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水泥电杆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130×6m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条</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370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水泥电杆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130×7m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条</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460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水泥电杆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150×8m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条</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680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水泥电杆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150×9m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条</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860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水泥电杆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150×10m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条</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1120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水泥电杆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190×9m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条</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1060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水泥电杆</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190×10m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条</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1260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立杆坑</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440</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拉杆线坑</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个</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240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室外PVC排水管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含配件（内径50mm）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22</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室外PVC排水管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含配件（内径75mm）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26</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室外PVC排水管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含配件（内径110mm）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55</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室外PVC排水管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含配件（内径160mm）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室外PVC排水管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含配件（内径200mm）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151</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室内PVC供水管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含配件（内径50mm）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55</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室内PVC供水管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含配件（内径75mm）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73</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室内PVC供水管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含配件（内径110mm）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95</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室内PVC供水管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含配件（内径160mm)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151</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室内PVC供水管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含配件（内径200mm)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208</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无缝镀锌水管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含配件（内径20mm）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27</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无缝镀锌水管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含配件（内径25mm)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40</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无缝镀锌水管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内径50mm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79</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无缝镀锌水管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内径80mm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118</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无缝镀锌水管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内径110mm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142</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无缝镀锌水管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内径160mm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211</w:t>
            </w:r>
          </w:p>
        </w:tc>
      </w:tr>
      <w:tr>
        <w:tblPrEx>
          <w:tblLayout w:type="fixed"/>
          <w:tblCellMar>
            <w:top w:w="0" w:type="dxa"/>
            <w:left w:w="108" w:type="dxa"/>
            <w:bottom w:w="0" w:type="dxa"/>
            <w:right w:w="108" w:type="dxa"/>
          </w:tblCellMar>
        </w:tblPrEx>
        <w:trPr>
          <w:trHeight w:val="324"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无缝镀锌水管</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内径200mm</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252</w:t>
            </w:r>
          </w:p>
        </w:tc>
      </w:tr>
      <w:tr>
        <w:tblPrEx>
          <w:tblLayout w:type="fixed"/>
          <w:tblCellMar>
            <w:top w:w="0" w:type="dxa"/>
            <w:left w:w="108" w:type="dxa"/>
            <w:bottom w:w="0" w:type="dxa"/>
            <w:right w:w="108" w:type="dxa"/>
          </w:tblCellMar>
        </w:tblPrEx>
        <w:trPr>
          <w:trHeight w:val="312" w:hRule="atLeast"/>
          <w:jc w:val="center"/>
        </w:trPr>
        <w:tc>
          <w:tcPr>
            <w:tcW w:w="2405"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槽钢（三角铁）</w:t>
            </w:r>
          </w:p>
        </w:tc>
        <w:tc>
          <w:tcPr>
            <w:tcW w:w="241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L2×2</w:t>
            </w:r>
          </w:p>
        </w:tc>
        <w:tc>
          <w:tcPr>
            <w:tcW w:w="861"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9</w:t>
            </w:r>
          </w:p>
        </w:tc>
      </w:tr>
      <w:tr>
        <w:tblPrEx>
          <w:tblLayout w:type="fixed"/>
          <w:tblCellMar>
            <w:top w:w="0" w:type="dxa"/>
            <w:left w:w="108" w:type="dxa"/>
            <w:bottom w:w="0" w:type="dxa"/>
            <w:right w:w="108" w:type="dxa"/>
          </w:tblCellMar>
        </w:tblPrEx>
        <w:trPr>
          <w:trHeight w:val="312" w:hRule="atLeast"/>
          <w:jc w:val="center"/>
        </w:trPr>
        <w:tc>
          <w:tcPr>
            <w:tcW w:w="2405"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槽钢（三角铁）</w:t>
            </w:r>
          </w:p>
        </w:tc>
        <w:tc>
          <w:tcPr>
            <w:tcW w:w="241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L3×3</w:t>
            </w:r>
          </w:p>
        </w:tc>
        <w:tc>
          <w:tcPr>
            <w:tcW w:w="861"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w:t>
            </w:r>
          </w:p>
        </w:tc>
      </w:tr>
      <w:tr>
        <w:tblPrEx>
          <w:tblLayout w:type="fixed"/>
          <w:tblCellMar>
            <w:top w:w="0" w:type="dxa"/>
            <w:left w:w="108" w:type="dxa"/>
            <w:bottom w:w="0" w:type="dxa"/>
            <w:right w:w="108" w:type="dxa"/>
          </w:tblCellMar>
        </w:tblPrEx>
        <w:trPr>
          <w:trHeight w:val="312" w:hRule="atLeast"/>
          <w:jc w:val="center"/>
        </w:trPr>
        <w:tc>
          <w:tcPr>
            <w:tcW w:w="2405"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槽钢（三角铁）</w:t>
            </w:r>
          </w:p>
        </w:tc>
        <w:tc>
          <w:tcPr>
            <w:tcW w:w="241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L4×4</w:t>
            </w:r>
          </w:p>
        </w:tc>
        <w:tc>
          <w:tcPr>
            <w:tcW w:w="861"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w:t>
            </w:r>
          </w:p>
        </w:tc>
      </w:tr>
      <w:tr>
        <w:tblPrEx>
          <w:tblLayout w:type="fixed"/>
          <w:tblCellMar>
            <w:top w:w="0" w:type="dxa"/>
            <w:left w:w="108" w:type="dxa"/>
            <w:bottom w:w="0" w:type="dxa"/>
            <w:right w:w="108" w:type="dxa"/>
          </w:tblCellMar>
        </w:tblPrEx>
        <w:trPr>
          <w:trHeight w:val="312" w:hRule="atLeast"/>
          <w:jc w:val="center"/>
        </w:trPr>
        <w:tc>
          <w:tcPr>
            <w:tcW w:w="2405"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槽钢（三角铁）</w:t>
            </w:r>
          </w:p>
        </w:tc>
        <w:tc>
          <w:tcPr>
            <w:tcW w:w="241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L5×5</w:t>
            </w:r>
          </w:p>
        </w:tc>
        <w:tc>
          <w:tcPr>
            <w:tcW w:w="861"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w:t>
            </w:r>
          </w:p>
        </w:tc>
      </w:tr>
      <w:tr>
        <w:tblPrEx>
          <w:tblLayout w:type="fixed"/>
          <w:tblCellMar>
            <w:top w:w="0" w:type="dxa"/>
            <w:left w:w="108" w:type="dxa"/>
            <w:bottom w:w="0" w:type="dxa"/>
            <w:right w:w="108" w:type="dxa"/>
          </w:tblCellMar>
        </w:tblPrEx>
        <w:trPr>
          <w:trHeight w:val="312" w:hRule="atLeast"/>
          <w:jc w:val="center"/>
        </w:trPr>
        <w:tc>
          <w:tcPr>
            <w:tcW w:w="2405"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槽钢（三角铁）</w:t>
            </w:r>
          </w:p>
        </w:tc>
        <w:tc>
          <w:tcPr>
            <w:tcW w:w="2410" w:type="dxa"/>
            <w:tcBorders>
              <w:top w:val="single" w:color="auto" w:sz="4" w:space="0"/>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L7×7</w:t>
            </w:r>
          </w:p>
        </w:tc>
        <w:tc>
          <w:tcPr>
            <w:tcW w:w="861"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m</w:t>
            </w:r>
          </w:p>
        </w:tc>
        <w:tc>
          <w:tcPr>
            <w:tcW w:w="2546"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31</w:t>
            </w:r>
          </w:p>
        </w:tc>
      </w:tr>
      <w:tr>
        <w:tblPrEx>
          <w:tblLayout w:type="fixed"/>
          <w:tblCellMar>
            <w:top w:w="0" w:type="dxa"/>
            <w:left w:w="108" w:type="dxa"/>
            <w:bottom w:w="0" w:type="dxa"/>
            <w:right w:w="108" w:type="dxa"/>
          </w:tblCellMar>
        </w:tblPrEx>
        <w:trPr>
          <w:trHeight w:val="312" w:hRule="atLeast"/>
          <w:jc w:val="center"/>
        </w:trPr>
        <w:tc>
          <w:tcPr>
            <w:tcW w:w="8222"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注：1.本标准中的零星地上附着物是指各类零星地上建筑物（不含房屋）或构筑物；</w:t>
            </w:r>
          </w:p>
          <w:p>
            <w:pPr>
              <w:widowControl/>
              <w:ind w:firstLine="421" w:firstLineChars="200"/>
              <w:jc w:val="left"/>
              <w:rPr>
                <w:rFonts w:hint="default" w:ascii="Times New Roman" w:hAnsi="Times New Roman" w:eastAsia="仿宋_GB2312" w:cs="Times New Roman"/>
                <w:kern w:val="0"/>
                <w:szCs w:val="21"/>
              </w:rPr>
            </w:pPr>
            <w:r>
              <w:rPr>
                <w:rFonts w:hint="default" w:ascii="Times New Roman" w:hAnsi="Times New Roman" w:eastAsia="仿宋_GB2312" w:cs="Times New Roman"/>
                <w:b/>
                <w:bCs/>
                <w:kern w:val="0"/>
                <w:szCs w:val="21"/>
              </w:rPr>
              <w:t>2.涉及不在本标准中的地上各类建筑物、构筑物等地上附着物的补偿由征收人及被征收人委托有相关资质的估价机构评估确认，具体委托程序及评估结果确定方法按市政府相关规定执行。</w:t>
            </w:r>
          </w:p>
        </w:tc>
      </w:tr>
    </w:tbl>
    <w:p>
      <w:pPr>
        <w:jc w:val="center"/>
        <w:rPr>
          <w:rFonts w:ascii="Times New Roman" w:hAnsi="Times New Roman" w:eastAsia="仿宋" w:cs="Times New Roman"/>
          <w:b/>
          <w:bCs/>
        </w:rPr>
      </w:pPr>
    </w:p>
    <w:p>
      <w:pPr>
        <w:jc w:val="left"/>
        <w:rPr>
          <w:rFonts w:ascii="Times New Roman" w:hAnsi="Times New Roman" w:eastAsia="仿宋" w:cs="Times New Roman"/>
          <w:b/>
          <w:bCs/>
        </w:rPr>
      </w:pPr>
      <w:r>
        <w:rPr>
          <w:rFonts w:ascii="Times New Roman" w:hAnsi="Times New Roman" w:eastAsia="仿宋" w:cs="Times New Roman"/>
          <w:b/>
          <w:bCs/>
        </w:rPr>
        <w:br w:type="page"/>
      </w:r>
    </w:p>
    <w:p>
      <w:pPr>
        <w:pStyle w:val="6"/>
        <w:spacing w:line="560" w:lineRule="exact"/>
        <w:rPr>
          <w:rFonts w:ascii="Times New Roman" w:hAnsi="Times New Roman" w:eastAsia="仿宋" w:cs="Times New Roman"/>
          <w:sz w:val="24"/>
          <w:szCs w:val="24"/>
        </w:rPr>
      </w:pPr>
      <w:r>
        <w:rPr>
          <w:rFonts w:ascii="Times New Roman" w:hAnsi="Times New Roman" w:eastAsia="黑体" w:cs="Times New Roman"/>
          <w:sz w:val="28"/>
          <w:szCs w:val="28"/>
        </w:rPr>
        <w:t>附件8</w:t>
      </w:r>
    </w:p>
    <w:p>
      <w:pPr>
        <w:pStyle w:val="3"/>
        <w:spacing w:before="0" w:after="0" w:line="360" w:lineRule="auto"/>
        <w:jc w:val="center"/>
        <w:rPr>
          <w:rFonts w:hint="eastAsia" w:ascii="方正小标宋_GBK" w:hAnsi="方正小标宋_GBK" w:eastAsia="方正小标宋_GBK" w:cs="方正小标宋_GBK"/>
          <w:sz w:val="24"/>
          <w:szCs w:val="24"/>
        </w:rPr>
      </w:pPr>
      <w:r>
        <w:rPr>
          <w:rFonts w:hint="eastAsia" w:ascii="方正小标宋_GBK" w:hAnsi="方正小标宋_GBK" w:eastAsia="方正小标宋_GBK" w:cs="方正小标宋_GBK"/>
          <w:b w:val="0"/>
          <w:bCs w:val="0"/>
          <w:sz w:val="32"/>
          <w:szCs w:val="32"/>
        </w:rPr>
        <w:t>养殖塘补偿标准表</w:t>
      </w:r>
    </w:p>
    <w:tbl>
      <w:tblPr>
        <w:tblStyle w:val="11"/>
        <w:tblW w:w="9061" w:type="dxa"/>
        <w:jc w:val="center"/>
        <w:tblInd w:w="0" w:type="dxa"/>
        <w:tblLayout w:type="fixed"/>
        <w:tblCellMar>
          <w:top w:w="0" w:type="dxa"/>
          <w:left w:w="108" w:type="dxa"/>
          <w:bottom w:w="0" w:type="dxa"/>
          <w:right w:w="108" w:type="dxa"/>
        </w:tblCellMar>
      </w:tblPr>
      <w:tblGrid>
        <w:gridCol w:w="1884"/>
        <w:gridCol w:w="4450"/>
        <w:gridCol w:w="2727"/>
      </w:tblGrid>
      <w:tr>
        <w:tblPrEx>
          <w:tblLayout w:type="fixed"/>
          <w:tblCellMar>
            <w:top w:w="0" w:type="dxa"/>
            <w:left w:w="108" w:type="dxa"/>
            <w:bottom w:w="0" w:type="dxa"/>
            <w:right w:w="108" w:type="dxa"/>
          </w:tblCellMar>
        </w:tblPrEx>
        <w:trPr>
          <w:trHeight w:val="288"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种类名称</w:t>
            </w:r>
          </w:p>
        </w:tc>
        <w:tc>
          <w:tcPr>
            <w:tcW w:w="445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建造规格</w:t>
            </w:r>
          </w:p>
        </w:tc>
        <w:tc>
          <w:tcPr>
            <w:tcW w:w="2727"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补偿价格（元/亩）</w:t>
            </w:r>
          </w:p>
        </w:tc>
      </w:tr>
      <w:tr>
        <w:tblPrEx>
          <w:tblLayout w:type="fixed"/>
          <w:tblCellMar>
            <w:top w:w="0" w:type="dxa"/>
            <w:left w:w="108" w:type="dxa"/>
            <w:bottom w:w="0" w:type="dxa"/>
            <w:right w:w="108" w:type="dxa"/>
          </w:tblCellMar>
        </w:tblPrEx>
        <w:trPr>
          <w:trHeight w:val="288" w:hRule="atLeast"/>
          <w:jc w:val="center"/>
        </w:trPr>
        <w:tc>
          <w:tcPr>
            <w:tcW w:w="1884" w:type="dxa"/>
            <w:vMerge w:val="restar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土坡养殖塘</w:t>
            </w:r>
          </w:p>
        </w:tc>
        <w:tc>
          <w:tcPr>
            <w:tcW w:w="445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土坡、泥（沙）底，塘深2米以上。</w:t>
            </w:r>
          </w:p>
        </w:tc>
        <w:tc>
          <w:tcPr>
            <w:tcW w:w="2727" w:type="dxa"/>
            <w:tcBorders>
              <w:top w:val="nil"/>
              <w:left w:val="nil"/>
              <w:bottom w:val="single" w:color="auto" w:sz="4" w:space="0"/>
              <w:right w:val="single" w:color="auto" w:sz="4" w:space="0"/>
            </w:tcBorders>
            <w:vAlign w:val="top"/>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rPr>
              <w:t>9978</w:t>
            </w:r>
          </w:p>
        </w:tc>
      </w:tr>
      <w:tr>
        <w:tblPrEx>
          <w:tblLayout w:type="fixed"/>
          <w:tblCellMar>
            <w:top w:w="0" w:type="dxa"/>
            <w:left w:w="108" w:type="dxa"/>
            <w:bottom w:w="0" w:type="dxa"/>
            <w:right w:w="108" w:type="dxa"/>
          </w:tblCellMar>
        </w:tblPrEx>
        <w:trPr>
          <w:trHeight w:val="288" w:hRule="atLeast"/>
          <w:jc w:val="center"/>
        </w:trPr>
        <w:tc>
          <w:tcPr>
            <w:tcW w:w="188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445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土坡、泥（沙）底，塘深2米以下。</w:t>
            </w:r>
          </w:p>
        </w:tc>
        <w:tc>
          <w:tcPr>
            <w:tcW w:w="2727" w:type="dxa"/>
            <w:tcBorders>
              <w:top w:val="nil"/>
              <w:left w:val="nil"/>
              <w:bottom w:val="single" w:color="auto" w:sz="4" w:space="0"/>
              <w:right w:val="single" w:color="auto" w:sz="4" w:space="0"/>
            </w:tcBorders>
            <w:vAlign w:val="top"/>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rPr>
              <w:t>7566</w:t>
            </w:r>
          </w:p>
        </w:tc>
      </w:tr>
      <w:tr>
        <w:tblPrEx>
          <w:tblLayout w:type="fixed"/>
          <w:tblCellMar>
            <w:top w:w="0" w:type="dxa"/>
            <w:left w:w="108" w:type="dxa"/>
            <w:bottom w:w="0" w:type="dxa"/>
            <w:right w:w="108" w:type="dxa"/>
          </w:tblCellMar>
        </w:tblPrEx>
        <w:trPr>
          <w:trHeight w:val="288" w:hRule="atLeast"/>
          <w:jc w:val="center"/>
        </w:trPr>
        <w:tc>
          <w:tcPr>
            <w:tcW w:w="1884" w:type="dxa"/>
            <w:vMerge w:val="restar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石块护坡养殖塘</w:t>
            </w:r>
          </w:p>
        </w:tc>
        <w:tc>
          <w:tcPr>
            <w:tcW w:w="445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石块护坡、泥（沙）底，塘深2米以上。</w:t>
            </w:r>
          </w:p>
        </w:tc>
        <w:tc>
          <w:tcPr>
            <w:tcW w:w="2727" w:type="dxa"/>
            <w:tcBorders>
              <w:top w:val="nil"/>
              <w:left w:val="nil"/>
              <w:bottom w:val="single" w:color="auto" w:sz="4" w:space="0"/>
              <w:right w:val="single" w:color="auto" w:sz="4" w:space="0"/>
            </w:tcBorders>
            <w:vAlign w:val="top"/>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rPr>
              <w:t>24052</w:t>
            </w:r>
          </w:p>
        </w:tc>
      </w:tr>
      <w:tr>
        <w:tblPrEx>
          <w:tblLayout w:type="fixed"/>
          <w:tblCellMar>
            <w:top w:w="0" w:type="dxa"/>
            <w:left w:w="108" w:type="dxa"/>
            <w:bottom w:w="0" w:type="dxa"/>
            <w:right w:w="108" w:type="dxa"/>
          </w:tblCellMar>
        </w:tblPrEx>
        <w:trPr>
          <w:trHeight w:val="288" w:hRule="atLeast"/>
          <w:jc w:val="center"/>
        </w:trPr>
        <w:tc>
          <w:tcPr>
            <w:tcW w:w="188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445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石块护坡、泥（沙）底，塘深2米以下。</w:t>
            </w:r>
          </w:p>
        </w:tc>
        <w:tc>
          <w:tcPr>
            <w:tcW w:w="2727" w:type="dxa"/>
            <w:tcBorders>
              <w:top w:val="nil"/>
              <w:left w:val="nil"/>
              <w:bottom w:val="single" w:color="auto" w:sz="4" w:space="0"/>
              <w:right w:val="single" w:color="auto" w:sz="4" w:space="0"/>
            </w:tcBorders>
            <w:vAlign w:val="top"/>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rPr>
              <w:t>17218</w:t>
            </w:r>
          </w:p>
        </w:tc>
      </w:tr>
      <w:tr>
        <w:tblPrEx>
          <w:tblLayout w:type="fixed"/>
          <w:tblCellMar>
            <w:top w:w="0" w:type="dxa"/>
            <w:left w:w="108" w:type="dxa"/>
            <w:bottom w:w="0" w:type="dxa"/>
            <w:right w:w="108" w:type="dxa"/>
          </w:tblCellMar>
        </w:tblPrEx>
        <w:trPr>
          <w:trHeight w:val="288" w:hRule="atLeast"/>
          <w:jc w:val="center"/>
        </w:trPr>
        <w:tc>
          <w:tcPr>
            <w:tcW w:w="1884" w:type="dxa"/>
            <w:vMerge w:val="restar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砖砌护坡养殖塘</w:t>
            </w:r>
          </w:p>
        </w:tc>
        <w:tc>
          <w:tcPr>
            <w:tcW w:w="445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砖砌护坡、泥（沙）底，塘深2米以上。</w:t>
            </w:r>
          </w:p>
        </w:tc>
        <w:tc>
          <w:tcPr>
            <w:tcW w:w="2727" w:type="dxa"/>
            <w:tcBorders>
              <w:top w:val="nil"/>
              <w:left w:val="nil"/>
              <w:bottom w:val="single" w:color="auto" w:sz="4" w:space="0"/>
              <w:right w:val="single" w:color="auto" w:sz="4" w:space="0"/>
            </w:tcBorders>
            <w:vAlign w:val="top"/>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rPr>
              <w:t>29176</w:t>
            </w:r>
          </w:p>
        </w:tc>
      </w:tr>
      <w:tr>
        <w:tblPrEx>
          <w:tblLayout w:type="fixed"/>
          <w:tblCellMar>
            <w:top w:w="0" w:type="dxa"/>
            <w:left w:w="108" w:type="dxa"/>
            <w:bottom w:w="0" w:type="dxa"/>
            <w:right w:w="108" w:type="dxa"/>
          </w:tblCellMar>
        </w:tblPrEx>
        <w:trPr>
          <w:trHeight w:val="288" w:hRule="atLeast"/>
          <w:jc w:val="center"/>
        </w:trPr>
        <w:tc>
          <w:tcPr>
            <w:tcW w:w="1884"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445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砖砌护坡、泥（沙）底，塘深2米以下。</w:t>
            </w:r>
          </w:p>
        </w:tc>
        <w:tc>
          <w:tcPr>
            <w:tcW w:w="2727" w:type="dxa"/>
            <w:tcBorders>
              <w:top w:val="nil"/>
              <w:left w:val="nil"/>
              <w:bottom w:val="single" w:color="auto" w:sz="4" w:space="0"/>
              <w:right w:val="single" w:color="auto" w:sz="4" w:space="0"/>
            </w:tcBorders>
            <w:vAlign w:val="top"/>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rPr>
              <w:t>20984</w:t>
            </w:r>
          </w:p>
        </w:tc>
      </w:tr>
      <w:tr>
        <w:tblPrEx>
          <w:tblLayout w:type="fixed"/>
          <w:tblCellMar>
            <w:top w:w="0" w:type="dxa"/>
            <w:left w:w="108" w:type="dxa"/>
            <w:bottom w:w="0" w:type="dxa"/>
            <w:right w:w="108" w:type="dxa"/>
          </w:tblCellMar>
        </w:tblPrEx>
        <w:trPr>
          <w:trHeight w:val="288" w:hRule="atLeast"/>
          <w:jc w:val="center"/>
        </w:trPr>
        <w:tc>
          <w:tcPr>
            <w:tcW w:w="1884"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铺膜护坡养殖塘</w:t>
            </w:r>
          </w:p>
        </w:tc>
        <w:tc>
          <w:tcPr>
            <w:tcW w:w="445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薄膜护坡、泥（沙）底，塘深2米以上。</w:t>
            </w:r>
          </w:p>
        </w:tc>
        <w:tc>
          <w:tcPr>
            <w:tcW w:w="2727" w:type="dxa"/>
            <w:tcBorders>
              <w:top w:val="nil"/>
              <w:left w:val="nil"/>
              <w:bottom w:val="single" w:color="auto" w:sz="4" w:space="0"/>
              <w:right w:val="single" w:color="auto" w:sz="4" w:space="0"/>
            </w:tcBorders>
            <w:vAlign w:val="top"/>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rPr>
              <w:t>22677</w:t>
            </w:r>
          </w:p>
        </w:tc>
      </w:tr>
      <w:tr>
        <w:tblPrEx>
          <w:tblLayout w:type="fixed"/>
          <w:tblCellMar>
            <w:top w:w="0" w:type="dxa"/>
            <w:left w:w="108" w:type="dxa"/>
            <w:bottom w:w="0" w:type="dxa"/>
            <w:right w:w="108" w:type="dxa"/>
          </w:tblCellMar>
        </w:tblPrEx>
        <w:trPr>
          <w:trHeight w:val="288" w:hRule="atLeast"/>
          <w:jc w:val="center"/>
        </w:trPr>
        <w:tc>
          <w:tcPr>
            <w:tcW w:w="1884"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全塘铺膜养殖塘</w:t>
            </w:r>
          </w:p>
        </w:tc>
        <w:tc>
          <w:tcPr>
            <w:tcW w:w="445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薄膜护坡、薄膜底，塘深2米以上。</w:t>
            </w:r>
          </w:p>
        </w:tc>
        <w:tc>
          <w:tcPr>
            <w:tcW w:w="2727" w:type="dxa"/>
            <w:tcBorders>
              <w:top w:val="nil"/>
              <w:left w:val="nil"/>
              <w:bottom w:val="single" w:color="auto" w:sz="4" w:space="0"/>
              <w:right w:val="single" w:color="auto" w:sz="4" w:space="0"/>
            </w:tcBorders>
            <w:vAlign w:val="top"/>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rPr>
              <w:t>29739</w:t>
            </w:r>
          </w:p>
        </w:tc>
      </w:tr>
      <w:tr>
        <w:tblPrEx>
          <w:tblLayout w:type="fixed"/>
          <w:tblCellMar>
            <w:top w:w="0" w:type="dxa"/>
            <w:left w:w="108" w:type="dxa"/>
            <w:bottom w:w="0" w:type="dxa"/>
            <w:right w:w="108" w:type="dxa"/>
          </w:tblCellMar>
        </w:tblPrEx>
        <w:trPr>
          <w:trHeight w:val="288" w:hRule="atLeast"/>
          <w:jc w:val="center"/>
        </w:trPr>
        <w:tc>
          <w:tcPr>
            <w:tcW w:w="1884" w:type="dxa"/>
            <w:tcBorders>
              <w:top w:val="nil"/>
              <w:left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水泥护坡养殖塘</w:t>
            </w:r>
          </w:p>
        </w:tc>
        <w:tc>
          <w:tcPr>
            <w:tcW w:w="4450"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水泥护坡、薄膜底，塘深2米以上。</w:t>
            </w:r>
          </w:p>
        </w:tc>
        <w:tc>
          <w:tcPr>
            <w:tcW w:w="2727" w:type="dxa"/>
            <w:tcBorders>
              <w:top w:val="nil"/>
              <w:left w:val="nil"/>
              <w:bottom w:val="single" w:color="auto" w:sz="4" w:space="0"/>
              <w:right w:val="single" w:color="auto" w:sz="4" w:space="0"/>
            </w:tcBorders>
            <w:vAlign w:val="top"/>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rPr>
              <w:t>37764</w:t>
            </w:r>
          </w:p>
        </w:tc>
      </w:tr>
      <w:tr>
        <w:tblPrEx>
          <w:tblLayout w:type="fixed"/>
          <w:tblCellMar>
            <w:top w:w="0" w:type="dxa"/>
            <w:left w:w="108" w:type="dxa"/>
            <w:bottom w:w="0" w:type="dxa"/>
            <w:right w:w="108" w:type="dxa"/>
          </w:tblCellMar>
        </w:tblPrEx>
        <w:trPr>
          <w:trHeight w:val="288" w:hRule="atLeast"/>
          <w:jc w:val="center"/>
        </w:trPr>
        <w:tc>
          <w:tcPr>
            <w:tcW w:w="9061"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注：1.养殖塘是指人工修建用于养殖各类水产品的室外养殖塘，本标准中的养殖塘补偿标准仅对养殖塘建设补偿，包含养殖塘开发建设、单塘灌排系统；</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2.增氧设备、塘外共用灌排系统、深水井等设备设施，应委托有相关资质的估价机构评估补偿，取得所有权人同意的也可以按照议价方式补偿；</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3.塘深以护坡上沿至塘底的垂直深度确定；</w:t>
            </w:r>
          </w:p>
          <w:p>
            <w:pPr>
              <w:widowControl/>
              <w:ind w:firstLine="421" w:firstLineChars="200"/>
              <w:jc w:val="left"/>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4.养殖塘面积指护坡上沿内侧围合区域面积。</w:t>
            </w:r>
          </w:p>
        </w:tc>
      </w:tr>
    </w:tbl>
    <w:p>
      <w:pPr>
        <w:jc w:val="center"/>
        <w:rPr>
          <w:rFonts w:ascii="Times New Roman" w:hAnsi="Times New Roman" w:eastAsia="仿宋" w:cs="Times New Roman"/>
          <w:b/>
          <w:bCs/>
        </w:rPr>
      </w:pPr>
    </w:p>
    <w:p>
      <w:pPr>
        <w:pStyle w:val="6"/>
        <w:tabs>
          <w:tab w:val="left" w:pos="420"/>
        </w:tabs>
        <w:spacing w:line="572" w:lineRule="exact"/>
        <w:ind w:firstLine="640" w:firstLineChars="200"/>
        <w:jc w:val="left"/>
        <w:rPr>
          <w:rFonts w:ascii="Times New Roman" w:hAnsi="Times New Roman" w:eastAsia="仿宋_GB2312" w:cs="Times New Roman"/>
          <w:sz w:val="32"/>
          <w:szCs w:val="32"/>
        </w:rPr>
      </w:pPr>
    </w:p>
    <w:p>
      <w:pPr>
        <w:pStyle w:val="6"/>
        <w:tabs>
          <w:tab w:val="left" w:pos="420"/>
        </w:tabs>
        <w:spacing w:line="572" w:lineRule="exact"/>
        <w:ind w:firstLine="640" w:firstLineChars="200"/>
        <w:jc w:val="left"/>
        <w:rPr>
          <w:rFonts w:ascii="Times New Roman" w:hAnsi="Times New Roman" w:eastAsia="仿宋_GB2312" w:cs="Times New Roman"/>
          <w:sz w:val="32"/>
          <w:szCs w:val="32"/>
        </w:rPr>
      </w:pPr>
    </w:p>
    <w:p>
      <w:pPr>
        <w:pStyle w:val="6"/>
        <w:tabs>
          <w:tab w:val="left" w:pos="420"/>
        </w:tabs>
        <w:spacing w:line="572" w:lineRule="exact"/>
        <w:ind w:firstLine="640" w:firstLineChars="200"/>
        <w:jc w:val="left"/>
        <w:rPr>
          <w:rFonts w:ascii="Times New Roman" w:hAnsi="Times New Roman" w:eastAsia="仿宋_GB2312" w:cs="Times New Roman"/>
          <w:sz w:val="32"/>
          <w:szCs w:val="32"/>
        </w:rPr>
      </w:pPr>
    </w:p>
    <w:p>
      <w:pPr>
        <w:pStyle w:val="6"/>
        <w:tabs>
          <w:tab w:val="left" w:pos="420"/>
        </w:tabs>
        <w:spacing w:line="572" w:lineRule="exact"/>
        <w:ind w:firstLine="640" w:firstLineChars="200"/>
        <w:jc w:val="left"/>
        <w:rPr>
          <w:rFonts w:ascii="Times New Roman" w:hAnsi="Times New Roman" w:eastAsia="仿宋_GB2312" w:cs="Times New Roman"/>
          <w:sz w:val="32"/>
          <w:szCs w:val="32"/>
        </w:rPr>
      </w:pPr>
    </w:p>
    <w:p>
      <w:pPr>
        <w:pStyle w:val="6"/>
        <w:tabs>
          <w:tab w:val="left" w:pos="420"/>
        </w:tabs>
        <w:spacing w:line="572" w:lineRule="exact"/>
        <w:ind w:firstLine="640" w:firstLineChars="200"/>
        <w:jc w:val="left"/>
        <w:rPr>
          <w:rFonts w:ascii="Times New Roman" w:hAnsi="Times New Roman" w:eastAsia="仿宋_GB2312" w:cs="Times New Roman"/>
          <w:sz w:val="32"/>
          <w:szCs w:val="32"/>
        </w:rPr>
      </w:pPr>
    </w:p>
    <w:p>
      <w:pPr>
        <w:pStyle w:val="6"/>
        <w:tabs>
          <w:tab w:val="left" w:pos="420"/>
        </w:tabs>
        <w:spacing w:line="572" w:lineRule="exact"/>
        <w:ind w:firstLine="640" w:firstLineChars="200"/>
        <w:jc w:val="left"/>
        <w:rPr>
          <w:rFonts w:ascii="Times New Roman" w:hAnsi="Times New Roman" w:eastAsia="仿宋_GB2312" w:cs="Times New Roman"/>
          <w:sz w:val="32"/>
          <w:szCs w:val="32"/>
        </w:rPr>
      </w:pPr>
    </w:p>
    <w:p>
      <w:pPr>
        <w:pStyle w:val="6"/>
        <w:tabs>
          <w:tab w:val="left" w:pos="420"/>
        </w:tabs>
        <w:spacing w:line="572" w:lineRule="exact"/>
        <w:ind w:firstLine="640" w:firstLineChars="200"/>
        <w:jc w:val="left"/>
        <w:rPr>
          <w:rFonts w:ascii="Times New Roman" w:hAnsi="Times New Roman" w:eastAsia="仿宋_GB2312" w:cs="Times New Roman"/>
          <w:sz w:val="32"/>
          <w:szCs w:val="32"/>
        </w:rPr>
      </w:pPr>
    </w:p>
    <w:p>
      <w:pPr>
        <w:pStyle w:val="6"/>
        <w:tabs>
          <w:tab w:val="left" w:pos="420"/>
        </w:tabs>
        <w:spacing w:line="572" w:lineRule="exact"/>
        <w:jc w:val="left"/>
        <w:rPr>
          <w:rFonts w:ascii="Times New Roman" w:hAnsi="Times New Roman" w:eastAsia="仿宋_GB2312" w:cs="Times New Roman"/>
          <w:sz w:val="32"/>
          <w:szCs w:val="32"/>
        </w:rPr>
      </w:pPr>
    </w:p>
    <w:p>
      <w:pPr>
        <w:pStyle w:val="6"/>
        <w:spacing w:line="572" w:lineRule="exact"/>
        <w:rPr>
          <w:rFonts w:ascii="Times New Roman" w:hAnsi="Times New Roman" w:eastAsia="黑体" w:cs="Times New Roman"/>
          <w:sz w:val="28"/>
          <w:szCs w:val="28"/>
        </w:rPr>
      </w:pPr>
      <w:r>
        <w:rPr>
          <w:rFonts w:ascii="Times New Roman" w:hAnsi="Times New Roman" w:eastAsia="黑体" w:cs="Times New Roman"/>
          <w:sz w:val="28"/>
          <w:szCs w:val="28"/>
        </w:rPr>
        <w:t>附件9</w:t>
      </w:r>
    </w:p>
    <w:p>
      <w:pPr>
        <w:pStyle w:val="6"/>
        <w:spacing w:line="572" w:lineRule="exact"/>
        <w:jc w:val="center"/>
        <w:rPr>
          <w:rFonts w:ascii="Times New Roman" w:hAnsi="Times New Roman" w:eastAsia="方正小标宋简体" w:cs="Times New Roman"/>
          <w:bCs/>
          <w:sz w:val="44"/>
          <w:szCs w:val="44"/>
        </w:rPr>
      </w:pPr>
      <w:r>
        <w:rPr>
          <w:rFonts w:hint="eastAsia" w:ascii="方正小标宋_GBK" w:hAnsi="方正小标宋_GBK" w:eastAsia="方正小标宋_GBK" w:cs="方正小标宋_GBK"/>
          <w:bCs/>
          <w:sz w:val="44"/>
          <w:szCs w:val="44"/>
        </w:rPr>
        <w:t>房屋拆迁补偿标准表</w:t>
      </w:r>
    </w:p>
    <w:tbl>
      <w:tblPr>
        <w:tblStyle w:val="11"/>
        <w:tblW w:w="8313" w:type="dxa"/>
        <w:jc w:val="center"/>
        <w:tblInd w:w="0" w:type="dxa"/>
        <w:tblLayout w:type="fixed"/>
        <w:tblCellMar>
          <w:top w:w="0" w:type="dxa"/>
          <w:left w:w="108" w:type="dxa"/>
          <w:bottom w:w="0" w:type="dxa"/>
          <w:right w:w="108" w:type="dxa"/>
        </w:tblCellMar>
      </w:tblPr>
      <w:tblGrid>
        <w:gridCol w:w="1219"/>
        <w:gridCol w:w="619"/>
        <w:gridCol w:w="1677"/>
        <w:gridCol w:w="4798"/>
      </w:tblGrid>
      <w:tr>
        <w:tblPrEx>
          <w:tblLayout w:type="fixed"/>
          <w:tblCellMar>
            <w:top w:w="0" w:type="dxa"/>
            <w:left w:w="108" w:type="dxa"/>
            <w:bottom w:w="0" w:type="dxa"/>
            <w:right w:w="108" w:type="dxa"/>
          </w:tblCellMar>
        </w:tblPrEx>
        <w:trPr>
          <w:trHeight w:val="530" w:hRule="atLeast"/>
          <w:tblHeader/>
          <w:jc w:val="center"/>
        </w:trPr>
        <w:tc>
          <w:tcPr>
            <w:tcW w:w="121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房屋结构</w:t>
            </w:r>
          </w:p>
        </w:tc>
        <w:tc>
          <w:tcPr>
            <w:tcW w:w="61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等级</w:t>
            </w:r>
          </w:p>
        </w:tc>
        <w:tc>
          <w:tcPr>
            <w:tcW w:w="1677"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单价</w:t>
            </w:r>
          </w:p>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（元/平方米）</w:t>
            </w:r>
          </w:p>
        </w:tc>
        <w:tc>
          <w:tcPr>
            <w:tcW w:w="479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结构及装饰特征（规格）</w:t>
            </w:r>
          </w:p>
        </w:tc>
      </w:tr>
      <w:tr>
        <w:tblPrEx>
          <w:tblLayout w:type="fixed"/>
          <w:tblCellMar>
            <w:top w:w="0" w:type="dxa"/>
            <w:left w:w="108" w:type="dxa"/>
            <w:bottom w:w="0" w:type="dxa"/>
            <w:right w:w="108" w:type="dxa"/>
          </w:tblCellMar>
        </w:tblPrEx>
        <w:trPr>
          <w:trHeight w:val="530" w:hRule="atLeast"/>
          <w:tblHeader/>
          <w:jc w:val="center"/>
        </w:trPr>
        <w:tc>
          <w:tcPr>
            <w:tcW w:w="12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6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1677"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479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2034" w:hRule="atLeast"/>
          <w:jc w:val="center"/>
        </w:trPr>
        <w:tc>
          <w:tcPr>
            <w:tcW w:w="1219" w:type="dxa"/>
            <w:vMerge w:val="restar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混凝土结构（框架结构）</w:t>
            </w: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2750</w:t>
            </w:r>
          </w:p>
        </w:tc>
        <w:tc>
          <w:tcPr>
            <w:tcW w:w="4798" w:type="dxa"/>
            <w:tcBorders>
              <w:top w:val="nil"/>
              <w:left w:val="nil"/>
              <w:bottom w:val="single" w:color="auto" w:sz="4" w:space="0"/>
              <w:right w:val="single" w:color="auto" w:sz="4" w:space="0"/>
            </w:tcBorders>
            <w:vAlign w:val="center"/>
          </w:tcPr>
          <w:p>
            <w:pPr>
              <w:widowControl/>
              <w:spacing w:line="34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层高：3m-4.5m，楼板：钢筋砼柱8厘米厚，楼地面：铺地板砖，基础：钢筋砼基础，梁柱：钢筋砼梁柱，墙体：红砖内外墙，墙面：内墙一般涂料，外墙有装饰贴面，窗：铝合金玻璃窗，门：普通镶板门，水电：普通水电及卫生设备。</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层高超过4.5m后每增加10cm，造价成本相应提高3%。</w:t>
            </w:r>
          </w:p>
        </w:tc>
      </w:tr>
      <w:tr>
        <w:tblPrEx>
          <w:tblLayout w:type="fixed"/>
          <w:tblCellMar>
            <w:top w:w="0" w:type="dxa"/>
            <w:left w:w="108" w:type="dxa"/>
            <w:bottom w:w="0" w:type="dxa"/>
            <w:right w:w="108" w:type="dxa"/>
          </w:tblCellMar>
        </w:tblPrEx>
        <w:trPr>
          <w:trHeight w:val="2034" w:hRule="atLeast"/>
          <w:jc w:val="center"/>
        </w:trPr>
        <w:tc>
          <w:tcPr>
            <w:tcW w:w="121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2630</w:t>
            </w:r>
          </w:p>
        </w:tc>
        <w:tc>
          <w:tcPr>
            <w:tcW w:w="4798" w:type="dxa"/>
            <w:tcBorders>
              <w:top w:val="nil"/>
              <w:left w:val="nil"/>
              <w:bottom w:val="single" w:color="auto" w:sz="4" w:space="0"/>
              <w:right w:val="single" w:color="auto" w:sz="4" w:space="0"/>
            </w:tcBorders>
            <w:vAlign w:val="center"/>
          </w:tcPr>
          <w:p>
            <w:pPr>
              <w:widowControl/>
              <w:spacing w:line="34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层高：2.2m-3m，楼板：钢筋砼柱8cm厚，楼地面：水泥砂浆批面，基础：钢筋砼基础，梁柱：钢筋砼梁柱，墙体：红砖内外墙，墙面：一般涂料，门窗：木门窗，水电：普通水电及卫生洁具。</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层高超过3m后每增加10cm，造价成本相应提高1%。</w:t>
            </w:r>
          </w:p>
        </w:tc>
      </w:tr>
      <w:tr>
        <w:tblPrEx>
          <w:tblLayout w:type="fixed"/>
          <w:tblCellMar>
            <w:top w:w="0" w:type="dxa"/>
            <w:left w:w="108" w:type="dxa"/>
            <w:bottom w:w="0" w:type="dxa"/>
            <w:right w:w="108" w:type="dxa"/>
          </w:tblCellMar>
        </w:tblPrEx>
        <w:trPr>
          <w:trHeight w:val="2034" w:hRule="atLeast"/>
          <w:jc w:val="center"/>
        </w:trPr>
        <w:tc>
          <w:tcPr>
            <w:tcW w:w="1219" w:type="dxa"/>
            <w:vMerge w:val="restar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砌体结构（混合结构）</w:t>
            </w: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2540</w:t>
            </w:r>
          </w:p>
        </w:tc>
        <w:tc>
          <w:tcPr>
            <w:tcW w:w="4798" w:type="dxa"/>
            <w:tcBorders>
              <w:top w:val="nil"/>
              <w:left w:val="nil"/>
              <w:bottom w:val="single" w:color="auto" w:sz="4" w:space="0"/>
              <w:right w:val="single" w:color="auto" w:sz="4" w:space="0"/>
            </w:tcBorders>
            <w:vAlign w:val="center"/>
          </w:tcPr>
          <w:p>
            <w:pPr>
              <w:widowControl/>
              <w:spacing w:line="34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层高：3m-4.5m，楼板：钢筋砼柱8cm厚，楼地面：铺地板砖，基础：地梁、片石基础，墙体：红砖内外墙，墙面：内墙一般涂料，外墙有装饰贴面，窗：铝合金玻璃窗，门：普通木门，水电：普通水电及卫生设备。</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层高超过4.5m后每增加10cm，造价成本相应提高3%。</w:t>
            </w:r>
          </w:p>
        </w:tc>
      </w:tr>
      <w:tr>
        <w:tblPrEx>
          <w:tblLayout w:type="fixed"/>
          <w:tblCellMar>
            <w:top w:w="0" w:type="dxa"/>
            <w:left w:w="108" w:type="dxa"/>
            <w:bottom w:w="0" w:type="dxa"/>
            <w:right w:w="108" w:type="dxa"/>
          </w:tblCellMar>
        </w:tblPrEx>
        <w:trPr>
          <w:trHeight w:val="1743" w:hRule="atLeast"/>
          <w:jc w:val="center"/>
        </w:trPr>
        <w:tc>
          <w:tcPr>
            <w:tcW w:w="121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2350</w:t>
            </w:r>
          </w:p>
        </w:tc>
        <w:tc>
          <w:tcPr>
            <w:tcW w:w="4798" w:type="dxa"/>
            <w:tcBorders>
              <w:top w:val="nil"/>
              <w:left w:val="nil"/>
              <w:bottom w:val="single" w:color="auto" w:sz="4" w:space="0"/>
              <w:right w:val="single" w:color="auto" w:sz="4" w:space="0"/>
            </w:tcBorders>
            <w:vAlign w:val="center"/>
          </w:tcPr>
          <w:p>
            <w:pPr>
              <w:widowControl/>
              <w:spacing w:line="34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层高：2.2m-3m，楼板：钢筋砼柱8cm厚，楼地面：水泥砂浆批面，基础：地梁、片石基础，墙体：红砖内外墙，墙面：一般涂料，门窗：木门窗，水电：普通水电及卫生洁具。</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层高超过3m后每增加10cm，造价成本相应提高3%。</w:t>
            </w:r>
          </w:p>
        </w:tc>
      </w:tr>
      <w:tr>
        <w:tblPrEx>
          <w:tblLayout w:type="fixed"/>
          <w:tblCellMar>
            <w:top w:w="0" w:type="dxa"/>
            <w:left w:w="108" w:type="dxa"/>
            <w:bottom w:w="0" w:type="dxa"/>
            <w:right w:w="108" w:type="dxa"/>
          </w:tblCellMar>
        </w:tblPrEx>
        <w:trPr>
          <w:trHeight w:val="1162" w:hRule="atLeast"/>
          <w:jc w:val="center"/>
        </w:trPr>
        <w:tc>
          <w:tcPr>
            <w:tcW w:w="1219" w:type="dxa"/>
            <w:vMerge w:val="restar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砖木结构</w:t>
            </w: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2270</w:t>
            </w:r>
          </w:p>
        </w:tc>
        <w:tc>
          <w:tcPr>
            <w:tcW w:w="4798" w:type="dxa"/>
            <w:tcBorders>
              <w:top w:val="nil"/>
              <w:left w:val="nil"/>
              <w:bottom w:val="single" w:color="auto" w:sz="4" w:space="0"/>
              <w:right w:val="single" w:color="auto" w:sz="4" w:space="0"/>
            </w:tcBorders>
            <w:vAlign w:val="center"/>
          </w:tcPr>
          <w:p>
            <w:pPr>
              <w:widowControl/>
              <w:spacing w:line="34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檐高：2.8m以上，屋面：土瓦屋面，地面：水泥砂浆批面，基础：片石基础，梁料：木梁木桁，墙体：红砖内外墙，墙面：石灰刷白，门窗：木门窗，其他：普通水电设备。</w:t>
            </w:r>
          </w:p>
        </w:tc>
      </w:tr>
      <w:tr>
        <w:tblPrEx>
          <w:tblLayout w:type="fixed"/>
          <w:tblCellMar>
            <w:top w:w="0" w:type="dxa"/>
            <w:left w:w="108" w:type="dxa"/>
            <w:bottom w:w="0" w:type="dxa"/>
            <w:right w:w="108" w:type="dxa"/>
          </w:tblCellMar>
        </w:tblPrEx>
        <w:trPr>
          <w:trHeight w:val="1162" w:hRule="atLeast"/>
          <w:jc w:val="center"/>
        </w:trPr>
        <w:tc>
          <w:tcPr>
            <w:tcW w:w="121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2140</w:t>
            </w:r>
          </w:p>
        </w:tc>
        <w:tc>
          <w:tcPr>
            <w:tcW w:w="4798" w:type="dxa"/>
            <w:tcBorders>
              <w:top w:val="nil"/>
              <w:left w:val="nil"/>
              <w:bottom w:val="single" w:color="auto" w:sz="4" w:space="0"/>
              <w:right w:val="single" w:color="auto" w:sz="4" w:space="0"/>
            </w:tcBorders>
            <w:vAlign w:val="center"/>
          </w:tcPr>
          <w:p>
            <w:pPr>
              <w:widowControl/>
              <w:spacing w:line="340" w:lineRule="exact"/>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檐高：2.2-2.8m，屋面：土瓦屋面，地面：水泥砂浆批面，基础：片石基础，梁桁：木料木桁，墙体：红砖内外墙，墙面：石灰刷白，门窗：木门窗。</w:t>
            </w:r>
          </w:p>
        </w:tc>
      </w:tr>
      <w:tr>
        <w:tblPrEx>
          <w:tblLayout w:type="fixed"/>
          <w:tblCellMar>
            <w:top w:w="0" w:type="dxa"/>
            <w:left w:w="108" w:type="dxa"/>
            <w:bottom w:w="0" w:type="dxa"/>
            <w:right w:w="108" w:type="dxa"/>
          </w:tblCellMar>
        </w:tblPrEx>
        <w:trPr>
          <w:trHeight w:val="1210" w:hRule="atLeast"/>
          <w:jc w:val="center"/>
        </w:trPr>
        <w:tc>
          <w:tcPr>
            <w:tcW w:w="1219" w:type="dxa"/>
            <w:vMerge w:val="restar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既有轻型围护结构（简易结构）</w:t>
            </w: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570</w:t>
            </w:r>
          </w:p>
        </w:tc>
        <w:tc>
          <w:tcPr>
            <w:tcW w:w="4798"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层高：2.2-3m，墙体：红砖墙，屋顶：铁皮顶或石棉瓦顶。</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层高超过3m后每增加50cm，造价成本相应提高3元/m</w:t>
            </w:r>
            <w:r>
              <w:rPr>
                <w:rFonts w:hint="default" w:ascii="Times New Roman" w:hAnsi="Times New Roman" w:eastAsia="仿宋_GB2312" w:cs="Times New Roman"/>
                <w:kern w:val="0"/>
                <w:szCs w:val="21"/>
                <w:vertAlign w:val="superscript"/>
              </w:rPr>
              <w:t>2</w:t>
            </w:r>
            <w:r>
              <w:rPr>
                <w:rFonts w:hint="default" w:ascii="Times New Roman" w:hAnsi="Times New Roman" w:eastAsia="仿宋_GB2312" w:cs="Times New Roman"/>
                <w:kern w:val="0"/>
                <w:szCs w:val="21"/>
              </w:rPr>
              <w:t>。</w:t>
            </w:r>
          </w:p>
        </w:tc>
      </w:tr>
      <w:tr>
        <w:tblPrEx>
          <w:tblLayout w:type="fixed"/>
          <w:tblCellMar>
            <w:top w:w="0" w:type="dxa"/>
            <w:left w:w="108" w:type="dxa"/>
            <w:bottom w:w="0" w:type="dxa"/>
            <w:right w:w="108" w:type="dxa"/>
          </w:tblCellMar>
        </w:tblPrEx>
        <w:trPr>
          <w:trHeight w:val="920" w:hRule="atLeast"/>
          <w:jc w:val="center"/>
        </w:trPr>
        <w:tc>
          <w:tcPr>
            <w:tcW w:w="121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510</w:t>
            </w:r>
          </w:p>
        </w:tc>
        <w:tc>
          <w:tcPr>
            <w:tcW w:w="4798"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层高：2.2-3m，墙体：红砖墙，屋顶：油毡顶。</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层高超过3m后每增加50cm，造价成本相应提高3元/m</w:t>
            </w:r>
            <w:r>
              <w:rPr>
                <w:rFonts w:hint="default" w:ascii="Times New Roman" w:hAnsi="Times New Roman" w:eastAsia="仿宋_GB2312" w:cs="Times New Roman"/>
                <w:kern w:val="0"/>
                <w:szCs w:val="21"/>
                <w:vertAlign w:val="superscript"/>
              </w:rPr>
              <w:t>2</w:t>
            </w:r>
            <w:r>
              <w:rPr>
                <w:rFonts w:hint="default" w:ascii="Times New Roman" w:hAnsi="Times New Roman" w:eastAsia="仿宋_GB2312" w:cs="Times New Roman"/>
                <w:kern w:val="0"/>
                <w:szCs w:val="21"/>
              </w:rPr>
              <w:t>。</w:t>
            </w:r>
          </w:p>
        </w:tc>
      </w:tr>
      <w:tr>
        <w:tblPrEx>
          <w:tblLayout w:type="fixed"/>
          <w:tblCellMar>
            <w:top w:w="0" w:type="dxa"/>
            <w:left w:w="108" w:type="dxa"/>
            <w:bottom w:w="0" w:type="dxa"/>
            <w:right w:w="108" w:type="dxa"/>
          </w:tblCellMar>
        </w:tblPrEx>
        <w:trPr>
          <w:trHeight w:val="1210" w:hRule="atLeast"/>
          <w:jc w:val="center"/>
        </w:trPr>
        <w:tc>
          <w:tcPr>
            <w:tcW w:w="121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450</w:t>
            </w:r>
          </w:p>
        </w:tc>
        <w:tc>
          <w:tcPr>
            <w:tcW w:w="4798"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层高：2.2-3m，墙体：空心砖，屋顶：铁皮顶或石棉瓦顶。</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层高超过3m后每增加50cm，造价成本相应提高3元/m</w:t>
            </w:r>
            <w:r>
              <w:rPr>
                <w:rFonts w:hint="default" w:ascii="Times New Roman" w:hAnsi="Times New Roman" w:eastAsia="仿宋_GB2312" w:cs="Times New Roman"/>
                <w:kern w:val="0"/>
                <w:szCs w:val="21"/>
                <w:vertAlign w:val="superscript"/>
              </w:rPr>
              <w:t>2</w:t>
            </w:r>
            <w:r>
              <w:rPr>
                <w:rFonts w:hint="default" w:ascii="Times New Roman" w:hAnsi="Times New Roman" w:eastAsia="仿宋_GB2312" w:cs="Times New Roman"/>
                <w:kern w:val="0"/>
                <w:szCs w:val="21"/>
              </w:rPr>
              <w:t>。</w:t>
            </w:r>
          </w:p>
        </w:tc>
      </w:tr>
      <w:tr>
        <w:tblPrEx>
          <w:tblLayout w:type="fixed"/>
          <w:tblCellMar>
            <w:top w:w="0" w:type="dxa"/>
            <w:left w:w="108" w:type="dxa"/>
            <w:bottom w:w="0" w:type="dxa"/>
            <w:right w:w="108" w:type="dxa"/>
          </w:tblCellMar>
        </w:tblPrEx>
        <w:trPr>
          <w:trHeight w:val="920" w:hRule="atLeast"/>
          <w:jc w:val="center"/>
        </w:trPr>
        <w:tc>
          <w:tcPr>
            <w:tcW w:w="121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380</w:t>
            </w:r>
          </w:p>
        </w:tc>
        <w:tc>
          <w:tcPr>
            <w:tcW w:w="4798"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层高：2.2-3m，墙体：空心砖，屋顶：油毡顶。</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层高超过3m后每增加50cm，造价成本相应提高3元/m</w:t>
            </w:r>
            <w:r>
              <w:rPr>
                <w:rFonts w:hint="default" w:ascii="Times New Roman" w:hAnsi="Times New Roman" w:eastAsia="仿宋_GB2312" w:cs="Times New Roman"/>
                <w:kern w:val="0"/>
                <w:szCs w:val="21"/>
                <w:vertAlign w:val="superscript"/>
              </w:rPr>
              <w:t>2</w:t>
            </w:r>
            <w:r>
              <w:rPr>
                <w:rFonts w:hint="default" w:ascii="Times New Roman" w:hAnsi="Times New Roman" w:eastAsia="仿宋_GB2312" w:cs="Times New Roman"/>
                <w:kern w:val="0"/>
                <w:szCs w:val="21"/>
              </w:rPr>
              <w:t>。</w:t>
            </w:r>
          </w:p>
        </w:tc>
      </w:tr>
      <w:tr>
        <w:tblPrEx>
          <w:tblLayout w:type="fixed"/>
          <w:tblCellMar>
            <w:top w:w="0" w:type="dxa"/>
            <w:left w:w="108" w:type="dxa"/>
            <w:bottom w:w="0" w:type="dxa"/>
            <w:right w:w="108" w:type="dxa"/>
          </w:tblCellMar>
        </w:tblPrEx>
        <w:trPr>
          <w:trHeight w:val="1210" w:hRule="atLeast"/>
          <w:jc w:val="center"/>
        </w:trPr>
        <w:tc>
          <w:tcPr>
            <w:tcW w:w="121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320</w:t>
            </w:r>
          </w:p>
        </w:tc>
        <w:tc>
          <w:tcPr>
            <w:tcW w:w="4798"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层高：2.2-3m，墙体：木板、铁皮、竹编等材料墙，屋顶：油毡顶。</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层高超过3m后每增加50cm，造价成本相应提高3元/m</w:t>
            </w:r>
            <w:r>
              <w:rPr>
                <w:rFonts w:hint="default" w:ascii="Times New Roman" w:hAnsi="Times New Roman" w:eastAsia="仿宋_GB2312" w:cs="Times New Roman"/>
                <w:kern w:val="0"/>
                <w:szCs w:val="21"/>
                <w:vertAlign w:val="superscript"/>
              </w:rPr>
              <w:t>2</w:t>
            </w:r>
            <w:r>
              <w:rPr>
                <w:rFonts w:hint="default" w:ascii="Times New Roman" w:hAnsi="Times New Roman" w:eastAsia="仿宋_GB2312" w:cs="Times New Roman"/>
                <w:kern w:val="0"/>
                <w:szCs w:val="21"/>
              </w:rPr>
              <w:t>。</w:t>
            </w:r>
          </w:p>
        </w:tc>
      </w:tr>
      <w:tr>
        <w:tblPrEx>
          <w:tblLayout w:type="fixed"/>
          <w:tblCellMar>
            <w:top w:w="0" w:type="dxa"/>
            <w:left w:w="108" w:type="dxa"/>
            <w:bottom w:w="0" w:type="dxa"/>
            <w:right w:w="108" w:type="dxa"/>
          </w:tblCellMar>
        </w:tblPrEx>
        <w:trPr>
          <w:trHeight w:val="290" w:hRule="atLeast"/>
          <w:jc w:val="center"/>
        </w:trPr>
        <w:tc>
          <w:tcPr>
            <w:tcW w:w="1219" w:type="dxa"/>
            <w:vMerge w:val="restar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凉棚</w:t>
            </w: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170</w:t>
            </w:r>
          </w:p>
        </w:tc>
        <w:tc>
          <w:tcPr>
            <w:tcW w:w="4798"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铁皮顶或石棉瓦顶、铁柱、铁架。</w:t>
            </w:r>
          </w:p>
        </w:tc>
      </w:tr>
      <w:tr>
        <w:tblPrEx>
          <w:tblLayout w:type="fixed"/>
          <w:tblCellMar>
            <w:top w:w="0" w:type="dxa"/>
            <w:left w:w="108" w:type="dxa"/>
            <w:bottom w:w="0" w:type="dxa"/>
            <w:right w:w="108" w:type="dxa"/>
          </w:tblCellMar>
        </w:tblPrEx>
        <w:trPr>
          <w:trHeight w:val="311" w:hRule="atLeast"/>
          <w:jc w:val="center"/>
        </w:trPr>
        <w:tc>
          <w:tcPr>
            <w:tcW w:w="121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130</w:t>
            </w:r>
          </w:p>
        </w:tc>
        <w:tc>
          <w:tcPr>
            <w:tcW w:w="4798"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铁皮顶或石棉瓦顶、木柱、木架。</w:t>
            </w:r>
          </w:p>
        </w:tc>
      </w:tr>
      <w:tr>
        <w:tblPrEx>
          <w:tblLayout w:type="fixed"/>
          <w:tblCellMar>
            <w:top w:w="0" w:type="dxa"/>
            <w:left w:w="108" w:type="dxa"/>
            <w:bottom w:w="0" w:type="dxa"/>
            <w:right w:w="108" w:type="dxa"/>
          </w:tblCellMar>
        </w:tblPrEx>
        <w:trPr>
          <w:trHeight w:val="290" w:hRule="atLeast"/>
          <w:jc w:val="center"/>
        </w:trPr>
        <w:tc>
          <w:tcPr>
            <w:tcW w:w="121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120</w:t>
            </w:r>
          </w:p>
        </w:tc>
        <w:tc>
          <w:tcPr>
            <w:tcW w:w="4798"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油毡顶、竹片顶、木板顶、木柱、木架。</w:t>
            </w:r>
          </w:p>
        </w:tc>
      </w:tr>
      <w:tr>
        <w:tblPrEx>
          <w:tblLayout w:type="fixed"/>
          <w:tblCellMar>
            <w:top w:w="0" w:type="dxa"/>
            <w:left w:w="108" w:type="dxa"/>
            <w:bottom w:w="0" w:type="dxa"/>
            <w:right w:w="108" w:type="dxa"/>
          </w:tblCellMar>
        </w:tblPrEx>
        <w:trPr>
          <w:trHeight w:val="290" w:hRule="atLeast"/>
          <w:jc w:val="center"/>
        </w:trPr>
        <w:tc>
          <w:tcPr>
            <w:tcW w:w="121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p>
        </w:tc>
        <w:tc>
          <w:tcPr>
            <w:tcW w:w="61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p>
        </w:tc>
        <w:tc>
          <w:tcPr>
            <w:tcW w:w="1677"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80</w:t>
            </w:r>
          </w:p>
        </w:tc>
        <w:tc>
          <w:tcPr>
            <w:tcW w:w="4798"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茅草、编叶、柳叶等。</w:t>
            </w:r>
          </w:p>
        </w:tc>
      </w:tr>
    </w:tbl>
    <w:p>
      <w:pPr>
        <w:pStyle w:val="6"/>
        <w:spacing w:line="572" w:lineRule="exact"/>
        <w:jc w:val="center"/>
        <w:rPr>
          <w:rFonts w:ascii="Times New Roman" w:hAnsi="Times New Roman" w:eastAsia="方正小标宋简体" w:cs="Times New Roman"/>
          <w:bCs/>
          <w:sz w:val="44"/>
          <w:szCs w:val="44"/>
        </w:rPr>
      </w:pPr>
    </w:p>
    <w:p>
      <w:pPr>
        <w:pStyle w:val="6"/>
        <w:spacing w:line="572" w:lineRule="exact"/>
        <w:rPr>
          <w:rFonts w:ascii="Times New Roman" w:hAnsi="Times New Roman" w:eastAsia="黑体" w:cs="Times New Roman"/>
          <w:sz w:val="28"/>
          <w:szCs w:val="28"/>
        </w:rPr>
      </w:pPr>
    </w:p>
    <w:p>
      <w:pPr>
        <w:pStyle w:val="6"/>
        <w:spacing w:line="572" w:lineRule="exact"/>
        <w:rPr>
          <w:rFonts w:ascii="Times New Roman" w:hAnsi="Times New Roman" w:eastAsia="黑体" w:cs="Times New Roman"/>
          <w:sz w:val="28"/>
          <w:szCs w:val="28"/>
        </w:rPr>
      </w:pPr>
    </w:p>
    <w:p>
      <w:pPr>
        <w:pStyle w:val="6"/>
        <w:spacing w:after="0" w:line="600" w:lineRule="exact"/>
        <w:rPr>
          <w:rFonts w:ascii="Times New Roman" w:hAnsi="Times New Roman" w:eastAsia="黑体" w:cs="Times New Roman"/>
          <w:sz w:val="28"/>
          <w:szCs w:val="28"/>
        </w:rPr>
      </w:pPr>
      <w:r>
        <w:rPr>
          <w:rFonts w:ascii="Times New Roman" w:hAnsi="Times New Roman" w:eastAsia="黑体" w:cs="Times New Roman"/>
          <w:sz w:val="28"/>
          <w:szCs w:val="28"/>
        </w:rPr>
        <w:t>附件10</w:t>
      </w:r>
    </w:p>
    <w:p>
      <w:pPr>
        <w:pStyle w:val="6"/>
        <w:spacing w:after="0" w:line="600" w:lineRule="exact"/>
        <w:rPr>
          <w:rFonts w:ascii="Times New Roman" w:hAnsi="Times New Roman" w:eastAsia="黑体" w:cs="Times New Roman"/>
          <w:sz w:val="28"/>
          <w:szCs w:val="28"/>
        </w:rPr>
      </w:pPr>
    </w:p>
    <w:p>
      <w:pPr>
        <w:spacing w:after="0" w:line="600" w:lineRule="exact"/>
        <w:jc w:val="center"/>
        <w:rPr>
          <w:rFonts w:hint="eastAsia" w:ascii="方正小标宋_GBK" w:hAnsi="方正小标宋_GBK" w:eastAsia="方正小标宋_GBK" w:cs="方正小标宋_GBK"/>
          <w:b/>
          <w:sz w:val="28"/>
          <w:szCs w:val="28"/>
        </w:rPr>
      </w:pPr>
      <w:r>
        <w:rPr>
          <w:rFonts w:hint="eastAsia" w:ascii="方正小标宋_GBK" w:hAnsi="方正小标宋_GBK" w:eastAsia="方正小标宋_GBK" w:cs="方正小标宋_GBK"/>
          <w:bCs/>
          <w:sz w:val="44"/>
          <w:szCs w:val="44"/>
        </w:rPr>
        <w:t>三亚市集体土地征收涉及评估补偿工作的指导意见</w:t>
      </w:r>
    </w:p>
    <w:p>
      <w:pPr>
        <w:spacing w:after="0" w:line="600" w:lineRule="exact"/>
        <w:ind w:firstLine="627" w:firstLineChars="196"/>
        <w:rPr>
          <w:rFonts w:ascii="Times New Roman" w:hAnsi="Times New Roman" w:eastAsia="黑体" w:cs="Times New Roman"/>
          <w:bCs/>
          <w:sz w:val="32"/>
          <w:szCs w:val="32"/>
        </w:rPr>
      </w:pPr>
    </w:p>
    <w:p>
      <w:pPr>
        <w:spacing w:after="0" w:line="600" w:lineRule="exact"/>
        <w:ind w:firstLine="627" w:firstLineChars="196"/>
        <w:rPr>
          <w:rFonts w:ascii="Times New Roman" w:hAnsi="Times New Roman" w:eastAsia="黑体" w:cs="Times New Roman"/>
          <w:bCs/>
          <w:sz w:val="32"/>
          <w:szCs w:val="32"/>
        </w:rPr>
      </w:pPr>
      <w:r>
        <w:rPr>
          <w:rFonts w:ascii="Times New Roman" w:hAnsi="Times New Roman" w:eastAsia="黑体" w:cs="Times New Roman"/>
          <w:bCs/>
          <w:sz w:val="32"/>
          <w:szCs w:val="32"/>
        </w:rPr>
        <w:t>一、确认评估工作的主体和评估专家备选库</w:t>
      </w:r>
    </w:p>
    <w:p>
      <w:pPr>
        <w:spacing w:after="0"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（一）各区人民政府负责本行政区域内集体土地征收涉及的建设用地、特殊苗木及其他附着物的评估补偿工作，由区人民政府确定的征收</w:t>
      </w:r>
      <w:r>
        <w:rPr>
          <w:rFonts w:hint="eastAsia" w:ascii="Times New Roman" w:hAnsi="Times New Roman" w:eastAsia="仿宋_GB2312" w:cs="Times New Roman"/>
          <w:sz w:val="32"/>
          <w:szCs w:val="32"/>
          <w:lang w:eastAsia="zh-CN"/>
        </w:rPr>
        <w:t>实施</w:t>
      </w:r>
      <w:r>
        <w:rPr>
          <w:rFonts w:ascii="Times New Roman" w:hAnsi="Times New Roman" w:eastAsia="仿宋_GB2312" w:cs="Times New Roman"/>
          <w:sz w:val="32"/>
          <w:szCs w:val="32"/>
        </w:rPr>
        <w:t>单位（以下</w:t>
      </w:r>
      <w:r>
        <w:rPr>
          <w:rFonts w:hint="eastAsia" w:ascii="仿宋_GB2312" w:hAnsi="仿宋_GB2312" w:eastAsia="仿宋_GB2312" w:cs="仿宋_GB2312"/>
          <w:sz w:val="32"/>
          <w:szCs w:val="32"/>
        </w:rPr>
        <w:t>称“征收</w:t>
      </w:r>
      <w:r>
        <w:rPr>
          <w:rFonts w:hint="eastAsia" w:ascii="仿宋_GB2312" w:hAnsi="仿宋_GB2312" w:eastAsia="仿宋_GB2312" w:cs="仿宋_GB2312"/>
          <w:sz w:val="32"/>
          <w:szCs w:val="32"/>
          <w:lang w:eastAsia="zh-CN"/>
        </w:rPr>
        <w:t>实施</w:t>
      </w:r>
      <w:r>
        <w:rPr>
          <w:rFonts w:hint="eastAsia" w:ascii="仿宋_GB2312" w:hAnsi="仿宋_GB2312" w:eastAsia="仿宋_GB2312" w:cs="仿宋_GB2312"/>
          <w:sz w:val="32"/>
          <w:szCs w:val="32"/>
        </w:rPr>
        <w:t>单位”</w:t>
      </w:r>
      <w:r>
        <w:rPr>
          <w:rFonts w:ascii="Times New Roman" w:hAnsi="Times New Roman" w:eastAsia="仿宋_GB2312" w:cs="Times New Roman"/>
          <w:sz w:val="32"/>
          <w:szCs w:val="32"/>
        </w:rPr>
        <w:t>）负责具体组织实施。</w:t>
      </w:r>
    </w:p>
    <w:p>
      <w:pPr>
        <w:spacing w:after="0"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（二）各区人民政府可选取具有相关资产评估专业资质的专家组成评估专家备选库，专家成员通过区人民政府特邀方式组成。</w:t>
      </w:r>
    </w:p>
    <w:p>
      <w:pPr>
        <w:spacing w:after="0" w:line="600" w:lineRule="exact"/>
        <w:ind w:firstLine="627" w:firstLineChars="196"/>
        <w:rPr>
          <w:rFonts w:ascii="Times New Roman" w:hAnsi="Times New Roman" w:eastAsia="黑体" w:cs="Times New Roman"/>
          <w:bCs/>
          <w:sz w:val="32"/>
          <w:szCs w:val="32"/>
        </w:rPr>
      </w:pPr>
      <w:r>
        <w:rPr>
          <w:rFonts w:ascii="Times New Roman" w:hAnsi="Times New Roman" w:eastAsia="黑体" w:cs="Times New Roman"/>
          <w:bCs/>
          <w:sz w:val="32"/>
          <w:szCs w:val="32"/>
        </w:rPr>
        <w:t>二、评估工作的组织实施</w:t>
      </w:r>
    </w:p>
    <w:p>
      <w:pPr>
        <w:spacing w:after="0"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（一）评估机构由征收</w:t>
      </w:r>
      <w:r>
        <w:rPr>
          <w:rFonts w:hint="eastAsia" w:ascii="Times New Roman" w:hAnsi="Times New Roman" w:eastAsia="仿宋_GB2312" w:cs="Times New Roman"/>
          <w:sz w:val="32"/>
          <w:szCs w:val="32"/>
          <w:lang w:eastAsia="zh-CN"/>
        </w:rPr>
        <w:t>实施</w:t>
      </w:r>
      <w:r>
        <w:rPr>
          <w:rFonts w:ascii="Times New Roman" w:hAnsi="Times New Roman" w:eastAsia="仿宋_GB2312" w:cs="Times New Roman"/>
          <w:sz w:val="32"/>
          <w:szCs w:val="32"/>
        </w:rPr>
        <w:t>单位以摇号方式确定。摇号过程中，须由被征收产权人代表、辖区人民政府的工作人员到场监督</w:t>
      </w:r>
      <w:r>
        <w:rPr>
          <w:rFonts w:hint="eastAsia" w:ascii="Times New Roman" w:hAnsi="Times New Roman" w:eastAsia="仿宋_GB2312" w:cs="Times New Roman"/>
          <w:sz w:val="32"/>
          <w:szCs w:val="32"/>
        </w:rPr>
        <w:t>，如被征收产权人代表拒绝到场监督，可委托公证处监督</w:t>
      </w:r>
      <w:r>
        <w:rPr>
          <w:rFonts w:ascii="Times New Roman" w:hAnsi="Times New Roman" w:eastAsia="仿宋_GB2312" w:cs="Times New Roman"/>
          <w:sz w:val="32"/>
          <w:szCs w:val="32"/>
        </w:rPr>
        <w:t>。</w:t>
      </w:r>
    </w:p>
    <w:p>
      <w:pPr>
        <w:spacing w:after="0"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（二）评估机构选定后，征收</w:t>
      </w:r>
      <w:r>
        <w:rPr>
          <w:rFonts w:hint="eastAsia" w:ascii="Times New Roman" w:hAnsi="Times New Roman" w:eastAsia="仿宋_GB2312" w:cs="Times New Roman"/>
          <w:sz w:val="32"/>
          <w:szCs w:val="32"/>
          <w:lang w:eastAsia="zh-CN"/>
        </w:rPr>
        <w:t>实施</w:t>
      </w:r>
      <w:r>
        <w:rPr>
          <w:rFonts w:ascii="Times New Roman" w:hAnsi="Times New Roman" w:eastAsia="仿宋_GB2312" w:cs="Times New Roman"/>
          <w:sz w:val="32"/>
          <w:szCs w:val="32"/>
        </w:rPr>
        <w:t>单位向其出具征收评估业务委托书，并签订委托合同。</w:t>
      </w:r>
    </w:p>
    <w:p>
      <w:pPr>
        <w:spacing w:after="0"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（三）同一项目的征收评估业务原则上由一家评估机构承担。征收范围较大的项目，可由两家及两家以上评估机构共同承担。</w:t>
      </w:r>
    </w:p>
    <w:p>
      <w:pPr>
        <w:spacing w:after="0" w:line="600" w:lineRule="exact"/>
        <w:ind w:firstLine="627" w:firstLineChars="196"/>
        <w:rPr>
          <w:rFonts w:ascii="Times New Roman" w:hAnsi="Times New Roman" w:eastAsia="黑体" w:cs="Times New Roman"/>
          <w:bCs/>
          <w:sz w:val="32"/>
          <w:szCs w:val="32"/>
        </w:rPr>
      </w:pPr>
      <w:r>
        <w:rPr>
          <w:rFonts w:ascii="Times New Roman" w:hAnsi="Times New Roman" w:eastAsia="黑体" w:cs="Times New Roman"/>
          <w:bCs/>
          <w:sz w:val="32"/>
          <w:szCs w:val="32"/>
        </w:rPr>
        <w:t>三、评估报告的审定</w:t>
      </w:r>
    </w:p>
    <w:p>
      <w:pPr>
        <w:spacing w:after="0"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（一）征收</w:t>
      </w:r>
      <w:r>
        <w:rPr>
          <w:rFonts w:hint="eastAsia" w:ascii="Times New Roman" w:hAnsi="Times New Roman" w:eastAsia="仿宋_GB2312" w:cs="Times New Roman"/>
          <w:sz w:val="32"/>
          <w:szCs w:val="32"/>
          <w:lang w:eastAsia="zh-CN"/>
        </w:rPr>
        <w:t>实施</w:t>
      </w:r>
      <w:r>
        <w:rPr>
          <w:rFonts w:ascii="Times New Roman" w:hAnsi="Times New Roman" w:eastAsia="仿宋_GB2312" w:cs="Times New Roman"/>
          <w:sz w:val="32"/>
          <w:szCs w:val="32"/>
        </w:rPr>
        <w:t>单位成立专家评审小组，负责对评估报告进行评审。专家评审小组成员由征收</w:t>
      </w:r>
      <w:r>
        <w:rPr>
          <w:rFonts w:hint="eastAsia" w:ascii="Times New Roman" w:hAnsi="Times New Roman" w:eastAsia="仿宋_GB2312" w:cs="Times New Roman"/>
          <w:sz w:val="32"/>
          <w:szCs w:val="32"/>
          <w:lang w:eastAsia="zh-CN"/>
        </w:rPr>
        <w:t>实施</w:t>
      </w:r>
      <w:r>
        <w:rPr>
          <w:rFonts w:ascii="Times New Roman" w:hAnsi="Times New Roman" w:eastAsia="仿宋_GB2312" w:cs="Times New Roman"/>
          <w:sz w:val="32"/>
          <w:szCs w:val="32"/>
        </w:rPr>
        <w:t>单位从区人民政府评估专家备选库中选取，成员为</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人（含）以上单数。征收</w:t>
      </w:r>
      <w:r>
        <w:rPr>
          <w:rFonts w:hint="eastAsia" w:ascii="Times New Roman" w:hAnsi="Times New Roman" w:eastAsia="仿宋_GB2312" w:cs="Times New Roman"/>
          <w:sz w:val="32"/>
          <w:szCs w:val="32"/>
          <w:lang w:eastAsia="zh-CN"/>
        </w:rPr>
        <w:t>实施</w:t>
      </w:r>
      <w:r>
        <w:rPr>
          <w:rFonts w:ascii="Times New Roman" w:hAnsi="Times New Roman" w:eastAsia="仿宋_GB2312" w:cs="Times New Roman"/>
          <w:sz w:val="32"/>
          <w:szCs w:val="32"/>
        </w:rPr>
        <w:t>单位应指定一名专家为评审小组组长，负责组织专家评审，并出具评审意见，评估机构应根据专家评审意见修改评估报告。</w:t>
      </w:r>
    </w:p>
    <w:p>
      <w:pPr>
        <w:spacing w:after="0"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（二）被征收人对评估报告有异议的，应当自收到评估报告之日起10日内，以书面形式提出复核评估的申请，并指出评估报告存在的问题。征收</w:t>
      </w:r>
      <w:r>
        <w:rPr>
          <w:rFonts w:hint="eastAsia" w:ascii="Times New Roman" w:hAnsi="Times New Roman" w:eastAsia="仿宋_GB2312" w:cs="Times New Roman"/>
          <w:sz w:val="32"/>
          <w:szCs w:val="32"/>
          <w:lang w:eastAsia="zh-CN"/>
        </w:rPr>
        <w:t>实施</w:t>
      </w:r>
      <w:r>
        <w:rPr>
          <w:rFonts w:ascii="Times New Roman" w:hAnsi="Times New Roman" w:eastAsia="仿宋_GB2312" w:cs="Times New Roman"/>
          <w:sz w:val="32"/>
          <w:szCs w:val="32"/>
        </w:rPr>
        <w:t>单位应当自收到复核评估申请之日起10日内组织评估机构及评审专家对评估报告进行复核。复核后，改变原评估报告的，应当重新出具评审意见；评估报告没有改变的，应当书面告知复核评估申请人。</w:t>
      </w:r>
    </w:p>
    <w:p>
      <w:pPr>
        <w:spacing w:after="0" w:line="600" w:lineRule="exact"/>
        <w:ind w:firstLine="640" w:firstLineChars="200"/>
        <w:rPr>
          <w:rFonts w:ascii="Times New Roman" w:hAnsi="Times New Roman" w:cs="Times New Roman"/>
          <w:sz w:val="32"/>
          <w:szCs w:val="32"/>
          <w:highlight w:val="yellow"/>
        </w:rPr>
      </w:pPr>
      <w:r>
        <w:rPr>
          <w:rFonts w:ascii="Times New Roman" w:hAnsi="Times New Roman" w:eastAsia="仿宋_GB2312" w:cs="Times New Roman"/>
          <w:sz w:val="32"/>
          <w:szCs w:val="32"/>
        </w:rPr>
        <w:t>（三）征收</w:t>
      </w:r>
      <w:r>
        <w:rPr>
          <w:rFonts w:hint="eastAsia" w:ascii="Times New Roman" w:hAnsi="Times New Roman" w:eastAsia="仿宋_GB2312" w:cs="Times New Roman"/>
          <w:sz w:val="32"/>
          <w:szCs w:val="32"/>
          <w:lang w:eastAsia="zh-CN"/>
        </w:rPr>
        <w:t>实施</w:t>
      </w:r>
      <w:r>
        <w:rPr>
          <w:rFonts w:ascii="Times New Roman" w:hAnsi="Times New Roman" w:eastAsia="仿宋_GB2312" w:cs="Times New Roman"/>
          <w:sz w:val="32"/>
          <w:szCs w:val="32"/>
        </w:rPr>
        <w:t>单位负责将评估报告和专家评审意见提交区人民政府</w:t>
      </w:r>
      <w:r>
        <w:rPr>
          <w:rFonts w:hint="eastAsia" w:ascii="Times New Roman" w:hAnsi="Times New Roman" w:eastAsia="仿宋_GB2312" w:cs="Times New Roman"/>
          <w:sz w:val="32"/>
          <w:szCs w:val="32"/>
          <w:lang w:eastAsia="zh-CN"/>
        </w:rPr>
        <w:t>研究</w:t>
      </w:r>
      <w:r>
        <w:rPr>
          <w:rFonts w:ascii="Times New Roman" w:hAnsi="Times New Roman" w:eastAsia="仿宋_GB2312" w:cs="Times New Roman"/>
          <w:sz w:val="32"/>
          <w:szCs w:val="32"/>
        </w:rPr>
        <w:t>审定。审定通过后，征收</w:t>
      </w:r>
      <w:r>
        <w:rPr>
          <w:rFonts w:hint="eastAsia" w:ascii="Times New Roman" w:hAnsi="Times New Roman" w:eastAsia="仿宋_GB2312" w:cs="Times New Roman"/>
          <w:sz w:val="32"/>
          <w:szCs w:val="32"/>
          <w:lang w:eastAsia="zh-CN"/>
        </w:rPr>
        <w:t>实施</w:t>
      </w:r>
      <w:r>
        <w:rPr>
          <w:rFonts w:ascii="Times New Roman" w:hAnsi="Times New Roman" w:eastAsia="仿宋_GB2312" w:cs="Times New Roman"/>
          <w:sz w:val="32"/>
          <w:szCs w:val="32"/>
        </w:rPr>
        <w:t>单位与被征收人签订补偿协议，并按程序开展征收补偿工作。</w:t>
      </w:r>
    </w:p>
    <w:p>
      <w:pPr>
        <w:pStyle w:val="2"/>
        <w:rPr>
          <w:rFonts w:hint="default"/>
          <w:lang w:val="en-US" w:eastAsia="zh-CN"/>
        </w:rPr>
      </w:pPr>
      <w:r>
        <w:rPr>
          <w:rFonts w:ascii="Times New Roman" w:hAnsi="Times New Roman" w:eastAsia="仿宋_GB2312" w:cs="Times New Roman"/>
          <w:sz w:val="32"/>
          <w:szCs w:val="32"/>
        </w:rPr>
        <w:t>育才生态区管理委员会根据市人民政府的授权，参照前述规定组织实施评估补偿工作。</w:t>
      </w:r>
    </w:p>
    <w:p>
      <w:pPr>
        <w:rPr>
          <w:rFonts w:hint="default"/>
          <w:lang w:val="en-US" w:eastAsia="zh-CN"/>
        </w:rPr>
      </w:pPr>
    </w:p>
    <w:p>
      <w:pPr>
        <w:pStyle w:val="2"/>
        <w:rPr>
          <w:rFonts w:hint="default"/>
          <w:lang w:val="en-US" w:eastAsia="zh-CN"/>
        </w:rPr>
      </w:pPr>
    </w:p>
    <w:p>
      <w:pPr>
        <w:pStyle w:val="4"/>
        <w:spacing w:line="240" w:lineRule="exact"/>
        <w:rPr>
          <w:rFonts w:hint="eastAsia"/>
        </w:rPr>
      </w:pPr>
    </w:p>
    <w:p>
      <w:pPr>
        <w:pStyle w:val="4"/>
        <w:spacing w:line="480" w:lineRule="exact"/>
        <w:ind w:left="1044" w:hanging="1014" w:hangingChars="373"/>
        <w:rPr>
          <w:rFonts w:hint="eastAsia" w:ascii="仿宋_GB2312" w:hAnsi="仿宋_GB2312" w:eastAsia="仿宋_GB2312" w:cs="仿宋_GB2312"/>
          <w:sz w:val="28"/>
          <w:szCs w:val="28"/>
        </w:rPr>
      </w:pPr>
      <w:r>
        <w:rPr>
          <w:rFonts w:ascii="Times New Roman" w:hAnsi="Times New Roman" w:eastAsia="仿宋_GB2312"/>
          <w:spacing w:val="-4"/>
          <w:sz w:val="28"/>
          <w:szCs w:val="28"/>
        </w:rPr>
        <mc:AlternateContent>
          <mc:Choice Requires="wps">
            <w:drawing>
              <wp:anchor distT="0" distB="0" distL="114300" distR="114300" simplePos="0" relativeHeight="251664384" behindDoc="0" locked="0" layoutInCell="0" allowOverlap="1">
                <wp:simplePos x="0" y="0"/>
                <wp:positionH relativeFrom="column">
                  <wp:posOffset>-7620</wp:posOffset>
                </wp:positionH>
                <wp:positionV relativeFrom="paragraph">
                  <wp:posOffset>51435</wp:posOffset>
                </wp:positionV>
                <wp:extent cx="56007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6007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6pt;margin-top:4.05pt;height:0.05pt;width:441pt;z-index:251664384;mso-width-relative:page;mso-height-relative:page;" filled="f" stroked="t" coordsize="21600,21600" o:allowincell="f" o:gfxdata="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ddsTbUAAAABgEAAA8AAAAAAAAAAQAgAAAAIgAA&#10;AGRycy9kb3ducmV2LnhtbFBLAQIUABQAAAAIAIdO4kA1TDN40wEAAIwDAAAOAAAAAAAAAAEAIAAA&#10;ACMBAABkcnMvZTJvRG9jLnhtbFBLBQYAAAAABgAGAFkBAABoBQAAAAA=&#10;">
                <v:fill on="f" focussize="0,0"/>
                <v:stroke color="#000000" joinstyle="round"/>
                <v:imagedata o:title=""/>
                <o:lock v:ext="edit" aspectratio="f"/>
              </v:line>
            </w:pict>
          </mc:Fallback>
        </mc:AlternateContent>
      </w:r>
      <w:r>
        <w:rPr>
          <w:rFonts w:hint="eastAsia" w:ascii="仿宋_GB2312" w:hAnsi="仿宋_GB2312" w:eastAsia="仿宋_GB2312" w:cs="仿宋_GB2312"/>
          <w:sz w:val="28"/>
          <w:szCs w:val="28"/>
        </w:rPr>
        <w:t xml:space="preserve">  抄送：市委各部门,市人大办公室,市政协办公室,市中级人民法院,市人民检察院,市城郊法院,市城郊检察院,中央、省、部队驻三亚单位,各人民团体。</w:t>
      </w:r>
    </w:p>
    <w:p>
      <w:pPr>
        <w:snapToGrid w:val="0"/>
        <w:spacing w:line="578" w:lineRule="exact"/>
        <w:ind w:right="-94" w:rightChars="0" w:firstLine="314"/>
        <w:jc w:val="left"/>
        <w:rPr>
          <w:rFonts w:hint="default"/>
          <w:lang w:val="en-US" w:eastAsia="zh-CN"/>
        </w:rPr>
      </w:pPr>
      <w:r>
        <w:rPr>
          <w:rFonts w:ascii="Times New Roman" w:hAnsi="Times New Roman" w:eastAsia="仿宋_GB2312"/>
          <w:spacing w:val="-4"/>
          <w:sz w:val="28"/>
          <w:szCs w:val="28"/>
        </w:rPr>
        <mc:AlternateContent>
          <mc:Choice Requires="wps">
            <w:drawing>
              <wp:anchor distT="0" distB="0" distL="114300" distR="114300" simplePos="0" relativeHeight="251663360" behindDoc="0" locked="0" layoutInCell="0" allowOverlap="1">
                <wp:simplePos x="0" y="0"/>
                <wp:positionH relativeFrom="column">
                  <wp:posOffset>0</wp:posOffset>
                </wp:positionH>
                <wp:positionV relativeFrom="paragraph">
                  <wp:posOffset>457200</wp:posOffset>
                </wp:positionV>
                <wp:extent cx="560070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36pt;height:0.05pt;width:441pt;z-index:251663360;mso-width-relative:page;mso-height-relative:page;" filled="f" stroked="t" coordsize="21600,21600" o:allowincell="f" o:gfxdata="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&#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ei4APTAAAABgEAAA8AAAAAAAAAAQAgAAAAIgAAAGRy&#10;cy9kb3ducmV2LnhtbFBLAQIUABQAAAAIAIdO4kCoF/rd0QEAAIwDAAAOAAAAAAAAAAEAIAAAACIB&#10;AABkcnMvZTJvRG9jLnhtbFBLBQYAAAAABgAGAFkBAABlBQAAAAA=&#10;">
                <v:fill on="f" focussize="0,0"/>
                <v:stroke color="#000000" joinstyle="round"/>
                <v:imagedata o:title=""/>
                <o:lock v:ext="edit" aspectratio="f"/>
              </v:line>
            </w:pict>
          </mc:Fallback>
        </mc:AlternateContent>
      </w:r>
      <w:r>
        <w:rPr>
          <w:rFonts w:ascii="Times New Roman" w:hAnsi="Times New Roman" w:eastAsia="仿宋_GB2312"/>
          <w:spacing w:val="-4"/>
          <w:sz w:val="28"/>
          <w:szCs w:val="28"/>
        </w:rPr>
        <mc:AlternateContent>
          <mc:Choice Requires="wps">
            <w:drawing>
              <wp:anchor distT="0" distB="0" distL="114300" distR="114300" simplePos="0" relativeHeight="251662336" behindDoc="0" locked="0" layoutInCell="0" allowOverlap="1">
                <wp:simplePos x="0" y="0"/>
                <wp:positionH relativeFrom="column">
                  <wp:posOffset>0</wp:posOffset>
                </wp:positionH>
                <wp:positionV relativeFrom="paragraph">
                  <wp:posOffset>20320</wp:posOffset>
                </wp:positionV>
                <wp:extent cx="56007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007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pt;height:0.05pt;width:441pt;z-index:251662336;mso-width-relative:page;mso-height-relative:page;" filled="f" stroked="t" coordsize="21600,21600" o:allowincell="f" o:gfxdata="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&#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1CaZnSAAAABAEAAA8AAAAAAAAAAQAgAAAAIgAAAGRy&#10;cy9kb3ducmV2LnhtbFBLAQIUABQAAAAIAIdO4kBGOaZi0gEAAIwDAAAOAAAAAAAAAAEAIAAAACEB&#10;AABkcnMvZTJvRG9jLnhtbFBLBQYAAAAABgAGAFkBAABlBQAAAAA=&#10;">
                <v:fill on="f" focussize="0,0"/>
                <v:stroke color="#000000" joinstyle="round"/>
                <v:imagedata o:title=""/>
                <o:lock v:ext="edit" aspectratio="f"/>
              </v:line>
            </w:pict>
          </mc:Fallback>
        </mc:AlternateContent>
      </w:r>
      <w:r>
        <w:rPr>
          <w:rFonts w:ascii="Times New Roman" w:hAnsi="Times New Roman" w:eastAsia="仿宋_GB2312"/>
          <w:spacing w:val="-4"/>
          <w:sz w:val="28"/>
          <w:szCs w:val="28"/>
        </w:rPr>
        <w:t xml:space="preserve">三亚市人民政府办公室          </w:t>
      </w:r>
      <w:r>
        <w:rPr>
          <w:rFonts w:hint="eastAsia" w:ascii="Times New Roman" w:hAnsi="Times New Roman" w:eastAsia="仿宋_GB2312"/>
          <w:spacing w:val="-4"/>
          <w:sz w:val="28"/>
          <w:szCs w:val="28"/>
          <w:lang w:val="en-US" w:eastAsia="zh-CN"/>
        </w:rPr>
        <w:t xml:space="preserve">   </w:t>
      </w:r>
      <w:r>
        <w:rPr>
          <w:rFonts w:ascii="Times New Roman" w:hAnsi="Times New Roman" w:eastAsia="仿宋_GB2312"/>
          <w:spacing w:val="-4"/>
          <w:sz w:val="28"/>
          <w:szCs w:val="28"/>
        </w:rPr>
        <w:t xml:space="preserve">    </w:t>
      </w:r>
      <w:r>
        <w:rPr>
          <w:rFonts w:hint="eastAsia" w:ascii="Times New Roman" w:hAnsi="Times New Roman" w:eastAsia="仿宋_GB2312"/>
          <w:spacing w:val="-4"/>
          <w:sz w:val="28"/>
          <w:szCs w:val="28"/>
        </w:rPr>
        <w:t xml:space="preserve"> </w:t>
      </w:r>
      <w:r>
        <w:rPr>
          <w:rFonts w:ascii="Times New Roman" w:hAnsi="Times New Roman" w:eastAsia="仿宋_GB2312"/>
          <w:spacing w:val="-4"/>
          <w:sz w:val="28"/>
          <w:szCs w:val="28"/>
        </w:rPr>
        <w:t xml:space="preserve">  202</w:t>
      </w:r>
      <w:r>
        <w:rPr>
          <w:rFonts w:hint="eastAsia" w:ascii="Times New Roman" w:hAnsi="Times New Roman" w:eastAsia="仿宋_GB2312"/>
          <w:spacing w:val="-4"/>
          <w:sz w:val="28"/>
          <w:szCs w:val="28"/>
          <w:lang w:val="en-US" w:eastAsia="zh-CN"/>
        </w:rPr>
        <w:t>5</w:t>
      </w:r>
      <w:r>
        <w:rPr>
          <w:rFonts w:ascii="Times New Roman" w:hAnsi="Times New Roman" w:eastAsia="仿宋_GB2312"/>
          <w:spacing w:val="-4"/>
          <w:sz w:val="28"/>
          <w:szCs w:val="28"/>
        </w:rPr>
        <w:t>年</w:t>
      </w:r>
      <w:r>
        <w:rPr>
          <w:rFonts w:hint="eastAsia" w:ascii="Times New Roman" w:hAnsi="Times New Roman" w:eastAsia="仿宋_GB2312"/>
          <w:spacing w:val="-4"/>
          <w:sz w:val="28"/>
          <w:szCs w:val="28"/>
          <w:lang w:val="en-US" w:eastAsia="zh-CN"/>
        </w:rPr>
        <w:t>12</w:t>
      </w:r>
      <w:r>
        <w:rPr>
          <w:rFonts w:ascii="Times New Roman" w:hAnsi="Times New Roman" w:eastAsia="仿宋_GB2312"/>
          <w:spacing w:val="-4"/>
          <w:sz w:val="28"/>
          <w:szCs w:val="28"/>
        </w:rPr>
        <w:t>月</w:t>
      </w:r>
      <w:r>
        <w:rPr>
          <w:rFonts w:hint="eastAsia" w:ascii="Times New Roman" w:hAnsi="Times New Roman" w:eastAsia="仿宋_GB2312"/>
          <w:spacing w:val="-4"/>
          <w:sz w:val="28"/>
          <w:szCs w:val="28"/>
          <w:lang w:val="en-US" w:eastAsia="zh-CN"/>
        </w:rPr>
        <w:t>31</w:t>
      </w:r>
      <w:r>
        <w:rPr>
          <w:rFonts w:ascii="Times New Roman" w:hAnsi="Times New Roman" w:eastAsia="仿宋_GB2312"/>
          <w:spacing w:val="-4"/>
          <w:sz w:val="28"/>
          <w:szCs w:val="28"/>
        </w:rPr>
        <w:t>日印发</w:t>
      </w:r>
      <w:bookmarkEnd w:id="0"/>
    </w:p>
    <w:sectPr>
      <w:footerReference r:id="rId6" w:type="default"/>
      <w:pgSz w:w="11906" w:h="16838"/>
      <w:pgMar w:top="2098" w:right="1474" w:bottom="1984" w:left="1587" w:header="851" w:footer="992" w:gutter="0"/>
      <w:pgNumType w:fmt="decimal" w:start="3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宋体S-超大字符集">
    <w:altName w:val="宋体"/>
    <w:panose1 w:val="02000000000000000000"/>
    <w:charset w:val="86"/>
    <w:family w:val="auto"/>
    <w:pitch w:val="default"/>
    <w:sig w:usb0="00000000" w:usb1="0000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2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7"/>
                    </w:pP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2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7"/>
                    </w:pP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2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cs="Times New Roma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cs="Times New Roma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6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mN2I4Zjg5ZTZkZmQyYzczMjFjYjhiZTUwYzg5YTcifQ=="/>
  </w:docVars>
  <w:rsids>
    <w:rsidRoot w:val="003978EE"/>
    <w:rsid w:val="00362C70"/>
    <w:rsid w:val="003978EE"/>
    <w:rsid w:val="00FD2AC1"/>
    <w:rsid w:val="04CD2B23"/>
    <w:rsid w:val="13AD3F5D"/>
    <w:rsid w:val="19D3FAD4"/>
    <w:rsid w:val="3265A051"/>
    <w:rsid w:val="374F8BCD"/>
    <w:rsid w:val="37F4D602"/>
    <w:rsid w:val="3D7395E9"/>
    <w:rsid w:val="3D7F5C53"/>
    <w:rsid w:val="3EED70FF"/>
    <w:rsid w:val="3FFD1A05"/>
    <w:rsid w:val="3FFF4069"/>
    <w:rsid w:val="47FD9FA7"/>
    <w:rsid w:val="5F3F7887"/>
    <w:rsid w:val="5FFF0A04"/>
    <w:rsid w:val="5FFF9869"/>
    <w:rsid w:val="6C5853FD"/>
    <w:rsid w:val="6FDEEC76"/>
    <w:rsid w:val="6FFD9F38"/>
    <w:rsid w:val="76F5907C"/>
    <w:rsid w:val="77F93A99"/>
    <w:rsid w:val="7D7DAEAB"/>
    <w:rsid w:val="7DF31CD0"/>
    <w:rsid w:val="7F77C673"/>
    <w:rsid w:val="7FFBB98F"/>
    <w:rsid w:val="7FFF7A07"/>
    <w:rsid w:val="8FFDB56A"/>
    <w:rsid w:val="9D4B5CFF"/>
    <w:rsid w:val="BA7B23C6"/>
    <w:rsid w:val="BEE9AB68"/>
    <w:rsid w:val="BFD7D146"/>
    <w:rsid w:val="D0A58025"/>
    <w:rsid w:val="E77BB26C"/>
    <w:rsid w:val="EECDD488"/>
    <w:rsid w:val="EF0CD59D"/>
    <w:rsid w:val="EF37CFCA"/>
    <w:rsid w:val="EF772B75"/>
    <w:rsid w:val="EFBF25EE"/>
    <w:rsid w:val="F1BBCB23"/>
    <w:rsid w:val="F7A7ABD4"/>
    <w:rsid w:val="F97CC902"/>
    <w:rsid w:val="FA1F657E"/>
    <w:rsid w:val="FDBF33FA"/>
    <w:rsid w:val="FE734873"/>
    <w:rsid w:val="FEFD4ED0"/>
    <w:rsid w:val="FF7B3D4F"/>
    <w:rsid w:val="FFFF37F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lang w:val="zh-CN" w:eastAsia="zh-CN" w:bidi="ar-SA"/>
    </w:rPr>
  </w:style>
  <w:style w:type="character" w:default="1" w:styleId="10">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4">
    <w:name w:val="Salutation"/>
    <w:basedOn w:val="1"/>
    <w:next w:val="1"/>
    <w:link w:val="12"/>
    <w:qFormat/>
    <w:uiPriority w:val="0"/>
  </w:style>
  <w:style w:type="paragraph" w:styleId="5">
    <w:name w:val="Body Text"/>
    <w:basedOn w:val="1"/>
    <w:link w:val="13"/>
    <w:qFormat/>
    <w:uiPriority w:val="0"/>
    <w:pPr>
      <w:jc w:val="center"/>
    </w:pPr>
    <w:rPr>
      <w:rFonts w:ascii="Times New Roman" w:hAnsi="Times New Roman" w:eastAsia="黑体"/>
      <w:b/>
      <w:bCs/>
      <w:sz w:val="24"/>
    </w:rPr>
  </w:style>
  <w:style w:type="paragraph" w:styleId="6">
    <w:name w:val="Balloon Text"/>
    <w:basedOn w:val="1"/>
    <w:qFormat/>
    <w:uiPriority w:val="0"/>
    <w:pPr>
      <w:spacing w:after="160" w:line="278" w:lineRule="auto"/>
    </w:pPr>
    <w:rPr>
      <w:rFonts w:ascii="Calibri" w:hAnsi="Calibri" w:eastAsia="宋体" w:cs="Times New Roman"/>
      <w:kern w:val="2"/>
      <w:sz w:val="18"/>
      <w:szCs w:val="18"/>
      <w:lang w:val="en-US" w:eastAsia="zh-CN" w:bidi="ar-SA"/>
    </w:rPr>
  </w:style>
  <w:style w:type="paragraph" w:styleId="7">
    <w:name w:val="footer"/>
    <w:basedOn w:val="1"/>
    <w:link w:val="14"/>
    <w:qFormat/>
    <w:uiPriority w:val="0"/>
    <w:pPr>
      <w:tabs>
        <w:tab w:val="center" w:pos="4153"/>
        <w:tab w:val="right" w:pos="8306"/>
      </w:tabs>
      <w:snapToGrid w:val="0"/>
      <w:jc w:val="left"/>
    </w:pPr>
    <w:rPr>
      <w:sz w:val="28"/>
    </w:rPr>
  </w:style>
  <w:style w:type="paragraph" w:styleId="8">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2">
    <w:name w:val="称呼 字符"/>
    <w:basedOn w:val="10"/>
    <w:link w:val="4"/>
    <w:qFormat/>
    <w:uiPriority w:val="0"/>
    <w:rPr>
      <w:rFonts w:ascii="Calibri" w:hAnsi="Calibri" w:eastAsia="宋体" w:cs="Times New Roman"/>
      <w:szCs w:val="24"/>
    </w:rPr>
  </w:style>
  <w:style w:type="character" w:customStyle="1" w:styleId="13">
    <w:name w:val="正文文本 字符"/>
    <w:basedOn w:val="10"/>
    <w:link w:val="5"/>
    <w:qFormat/>
    <w:uiPriority w:val="0"/>
    <w:rPr>
      <w:rFonts w:ascii="Times New Roman" w:hAnsi="Times New Roman" w:eastAsia="黑体" w:cs="Times New Roman"/>
      <w:b/>
      <w:bCs/>
      <w:sz w:val="24"/>
      <w:szCs w:val="24"/>
    </w:rPr>
  </w:style>
  <w:style w:type="character" w:customStyle="1" w:styleId="14">
    <w:name w:val="页脚 字符"/>
    <w:basedOn w:val="10"/>
    <w:link w:val="7"/>
    <w:qFormat/>
    <w:uiPriority w:val="0"/>
    <w:rPr>
      <w:rFonts w:ascii="Calibri" w:hAnsi="Calibri" w:eastAsia="宋体" w:cs="Times New Roman"/>
      <w:sz w:val="28"/>
      <w:szCs w:val="24"/>
    </w:rPr>
  </w:style>
  <w:style w:type="paragraph" w:customStyle="1" w:styleId="15">
    <w:name w:val="Body text|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2907</Words>
  <Characters>2962</Characters>
  <Lines>22</Lines>
  <Paragraphs>6</Paragraphs>
  <TotalTime>0</TotalTime>
  <ScaleCrop>false</ScaleCrop>
  <LinksUpToDate>false</LinksUpToDate>
  <CharactersWithSpaces>3082</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2022-12-06T07:22:00Z</dcterms:created>
  <dc:creator>LENOVO</dc:creator>
  <cp:lastModifiedBy>ggdhg</cp:lastModifiedBy>
  <cp:lastPrinted>2026-01-22T18:27:00Z</cp:lastPrinted>
  <dcterms:modified xsi:type="dcterms:W3CDTF">2026-01-29T09:08:27Z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0B0D910D72E94100A88F3896FB60E9D0</vt:lpwstr>
  </property>
</Properties>
</file>