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关于三亚市2024年预算执行情况和</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2025年预算草案的报告</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default" w:ascii="Times New Roman" w:hAnsi="Times New Roman" w:eastAsia="方正仿宋简体"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0" w:firstLineChars="0"/>
        <w:jc w:val="center"/>
        <w:textAlignment w:val="auto"/>
        <w:outlineLvl w:val="9"/>
        <w:rPr>
          <w:rFonts w:hint="default" w:ascii="Times New Roman" w:hAnsi="Times New Roman" w:eastAsia="方正楷体简体" w:cs="Times New Roman"/>
          <w:sz w:val="32"/>
          <w:szCs w:val="32"/>
        </w:rPr>
      </w:pPr>
      <w:r>
        <w:rPr>
          <w:rFonts w:hint="default" w:ascii="Times New Roman" w:hAnsi="Times New Roman" w:eastAsia="方正楷体简体" w:cs="Times New Roman"/>
          <w:sz w:val="32"/>
          <w:szCs w:val="32"/>
        </w:rPr>
        <w:t>2025年1月8日在三亚市第八届人民代表大会第六次会议上</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0" w:firstLineChars="0"/>
        <w:jc w:val="center"/>
        <w:textAlignment w:val="auto"/>
        <w:outlineLvl w:val="9"/>
        <w:rPr>
          <w:rFonts w:hint="default" w:ascii="Times New Roman" w:hAnsi="Times New Roman" w:eastAsia="方正楷体简体" w:cs="Times New Roman"/>
          <w:sz w:val="32"/>
          <w:szCs w:val="32"/>
        </w:rPr>
      </w:pPr>
      <w:r>
        <w:rPr>
          <w:rFonts w:hint="default" w:ascii="Times New Roman" w:hAnsi="Times New Roman" w:eastAsia="方正楷体简体" w:cs="Times New Roman"/>
          <w:sz w:val="32"/>
          <w:szCs w:val="32"/>
        </w:rPr>
        <w:t>三亚市财政局</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default" w:ascii="Times New Roman" w:hAnsi="Times New Roman" w:eastAsia="方正仿宋简体"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各位代表：</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受市人民政府委托，向大会报告三亚市2024年预算执行情况和2025年预算草案，请予审议，并请各位政协委员和其他列席人员提出意见。</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rPr>
        <w:t>一、2024年预算执行情况</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2024年是新中国成立75周年，也是全面贯彻落实党的二十大精神、全力实施“十四五”规划的关键之年。全市上下坚持以习近平新时代中国特色社会主义思想为指导，深入学习贯彻党的二十届二中、三中全会精神，认真贯彻落实习近平总书记关于海南工作的系列重要讲话和指示批示精神，在省委省政府和市委市政府的坚强领导下，在市人大市政协的监督支持下，锚定“一本三基四梁八柱”战略框架，坚持稳中求进工作总基调，贯彻落实化债等中央一揽子增量政策，推动积极财政政策加力提效，坚持党政机关习惯过“紧日子”，兜牢兜实“三保”底线，开源节流保重点办大事，支持重点园区爬坡过坎、成型起势，支持加快培育新质生产力，构建现代化产业体系，防范化解各类风险，推动财政管理制度建设，充分发挥财政资金及政策供给作用，全市财政运行总体平稳，为社会经济高质量发展提供了坚实的财政保障。</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（一）2024年预算收支情况</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1.一般公共预算收支情况</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全市地方一般公共预算收入154.2亿元，完成年度预算的96.8%，增长4.6%；加上上级补助收入、债务转贷收入、动用预算稳定调节基金等195.9亿元，收入总计350.1亿元。全市地方一般公共预算支出252.5亿元，完成年度预算的97%，增长8.6%；加上上解上级支出、债务还本支出等65.1亿元，支出总计317.6亿元。收支相抵，年终结余结转32.5亿元。</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市本级地方一般公共预算收入100.3亿元，增长4.8%；加上上级补助收入、债务转贷收入、上解收入、动用预算稳定调节基金等202.2亿元，收入总计302.5亿元。市本级地方一般公共预算支出183.9亿元，增长11.7%；加上补助区级支出、上解上级支出、债务还本支出等90.7亿元，支出总计274.6亿元。收支相抵，年终结余结转27.9亿元。</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2.政府性基金预算收支情况</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全市地方政府性基金预算收入119.3亿元，完成年度预算的70.5%，下降22.2%；加上上级补助收入、债务转贷收入等200.2亿元，收入总计319.5亿元。全市地方政府性基金预算支出215亿元，完成年度预算的74.2%，下降2.9%；加上债务还本支出等73.8亿元，支出总计288.8亿元。收支相抵，年终结转结余30.7亿元。</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市本级地方政府性基金预算收入119.3亿元，下降22.2%；加上上级补助收入、债务转贷收入等194.2亿元，收入总计313.5亿元。市本级地方政府性基金预算支出158.2亿元，下降14.5%；加上补助区级支出、债务还本支出等137亿元，支出总计295.2亿元。收支相抵，年终结转结余18.3亿元。</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3.国有资本经营预算收支情况</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全市国有资本经营预算收入6241万元，完成年度预算的100.1%，增长105.9%；加上转移支付收入55万元、上年结余收入149万元，收入总计6445万元。全市国有资本经营预算支出2476万元，完成年度预算的56.5%，增长47.2%；加上调出资金，支出总计6444万元。收支相抵，年终结转结余1万元。</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市本级国有资本经营预算收入6003万元，增长108.8%；加上转移支付收入55万元、上年结余收入110万元，收入总计6168万元。市本级国有资本经营预算支出2285万元，增长41.7%；加上调出资金，支出总计6167万元。收支相抵，年终结转结余1万元。</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4.社会保险基金预算收支情况</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企业职工基本养老保险基金等5项基金已上划省级统筹管理，全市社会保险基金预算收入13.4亿元（机关事业单位基本养老保险基金和城乡居民基本养老保险基金），完成年度预算的124.8%，增长8.5%。全市社会保险基金预算支出15.8亿元，完成年度预算的148.7%，增长65.4%（主要是城乡居民基本养老保险基金新增上解上级支出5.3亿元）。本年收支无结余，年末滚存结余39.7亿元。</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5.市对区转移支付补助情况</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2024年市对区级转移支付47.6亿元。其中：一般公共预算转移支付23.7亿元（一般性转移支付17.3亿元，专项转移支付6.4亿元），政府性基金预算转移支付23.9亿元。</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6.全市地方政府债务情况</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2024年安排新增地方政府债券112.6亿元、再融资债券资金48.2亿元（用于债券还本支出）、特殊再融资债券资金6亿元、置换债资金38.8亿元，主要用于重点园区、教育、卫生等重点项目。2024年全市到期地方政府债券本息72.95亿元，均已按时足额偿还，政府信用良好。2024年末，我市地方政府债务余额747亿元，包括一般债务余额166.85亿元、专项债务余额580.15亿元，整体债务风险安全可控。</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（二）2024年主要财税政策落实及重点财政工作</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1.以超常规措施筹措发展资金，提高财政统筹保障能力</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是财政收入完成情况位列全省前列。加强财源建设和资源统筹力度，抓实中央减税降费及所得税“两个15%”等自贸港财税优惠政策转化，统筹推进招商引资和税源培植，做大财政收入蛋糕，依法加强收入征管。2024年，我市地方一般公共预算收入增长4.6%，高于全省增幅（-1.1%），在全省地级市中排名第一。</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是争取三亚经济圈财税政策落地。结合三亚经济圈实际，牵头研究政策争取省级支持，争取到省级支持三亚经济圈一体化发展财税措施，省将在构建一体化项目投融资机制、优化债务管理机制、强化资金保障等方面支持三亚经济圈一体化发展。</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三是全力争取上级补助及地债支持。全力争取上级各类资金及政策支持，充分发挥财政政策和资金供给作用。2024年，我市争取到上级资金328.2亿元，同比增长32.2%。其中，争取到包括超长期特别国债补助资金、中央基建投资预算资金在内的上级转移支付资金约122.6亿元，用于教育发展、生态修复、农业扶持、科技振兴等支出；争取到再融资债券资金48.2亿元，有效缓解我市偿债压力；争取到新增债券112.6亿元及特殊再融资债券资金6亿元，用于三亚河口通道工程、崖州湾科技城硬件设施建设等重点项目；争取到置换债资金38.8亿元，贯彻落实化债等中央一揽子增量政策，置换存量债务腾出更多财力空间来促发展、保民生，加大固投等重点项目建设财政支出强度，确保财政投入政策持续加力提效。此外，还争取到国家综合交通枢纽强链补链项目中央专项补助资金7.5亿元以及城中村专项借款额度94.5亿元，夯实以后年度发展建设财力保障基础。</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2.兜牢兜实“三保”底线，切实防范财政运行风险</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是优先保障“三保”支出。坚持党政机关习惯过“紧日子”，进一步压减会议、培训等一般性支出。贯彻落实中央及省级关于“三保”政策要求，足额编列预算，加强各区“三保”预算审查，优先使用稳定财力足额保障“三保”预算，全年“三保”预算支出约50亿元，超过国标和地标需求，全市“三保”保障倍数为7，“三保”保障充足有力。</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是防范化解债务风险。贯彻落实化债等中央一揽子增量政策及国务院审定化债方案，足额安排预算还本付息，建立防范化解地方政府债务风险长效工作机制，推进存量隐债及融资平台风险化解工作，争取30亿元新增债券及38.8亿元置换债券置换各类存量隐债等，优化存量债务结构，腾出更多地方财力保障发展建设，严肃查处违规新增地方政府隐性债务等突出问题，防范化解债务等重点领域风险。</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三是加强财会监督工作。贯彻落实党中央国务院关于加强财会监督工作意见精神，持续扎实做好财会监督各项工作，开展财经纪律重点问题监督检查行动，重点整治违规出台财税优惠政策招商引资问题；加强财政收支规范管理，聚焦党政机关过“紧日子”、债务管理、国有资产管理、惠民惠农补贴等重点领域，加强监督检查工作；落实审计等监管部门监督检查问题整改等。</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3.支持培育产业发展新动能，促进社会经济高质量发展</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充分发挥海南自由贸易港财税等优惠政策，强化国家重大战略政策支撑作用，加快培育新质生产力及经济发展新动能，加速推进产业培优提升，加快现代产业体系建设。</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是全力支持打造自由贸易港科创高地。投入崖州湾科技城发展建设资金60.9亿元，支持推动南繁种业和深海科技两个“国之大者”建设，有序推进崖州湾国家实验室等重大科研设施平台创建，支持重点园区基础设施建设，支持“专精特新”企业培育工程，引进种业等产业链企业，支持深海科技产业加速集聚，促进高新技术产业发展壮大，助力打造战略性新兴产业增长引擎；投入0.8亿元发放高新技术企业奖励资金、科技创新联合项目配套经费等，支持科技创新发展，推动新质生产力加快发展。</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是全力支持推动现代服务业提质增效。投入中央商务区发展建设资金11.6亿元，支持加大精准招商引资力度，持续优化三亚营商环境，推进“两个总部基地”三亚示范区建设，推动金融商贸等现代服务业提质升级，加快构建现代产业体系；投入国企注册资本金2.3亿元，支持海南低空文旅科技项目、三亚凤凰妇女儿童健康中心项目等；投入0.4亿元，打造高质量总部经济聚集区等。</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三是全力支持打造国际旅游胜地。锚定国际旅游消费中心建设主要任务，支持规范旅游市场秩序，持续推进“双城联动”旅游合作，全力开拓境外旅游市场，支持推出三亚城市旅游节、芒禾音乐节等一系列精品文化活动，全力激活旅游消费需求，加速推进三亚国际旅游胜地建设。投入9.24亿元，保障海南西环高铁和货线三亚至乐东（岭头）段开行公交化旅游化列车改造工程；投入5.52亿元实施公交成本规制、有轨电车缺口性补贴等，增强公交服务能力和吸引力；投入3.4亿元支持第十二届全国少数民族传统体育运动会，支持成功办赛和城市发展一体推进；投入1.5亿元恢复并加密境外客运航线，打造更便捷高效的国际航空交通网络；投入0.9亿元支持天涯海角等国有景区免门票运营，提升景区品质；投入1亿元支持举办2024年海南岛国际电影节等文化盛会，打造文旅融合全新国际IP；投入0.6亿元支持旅游促销，持续创新营销策略，全面激发境内外旅游市场活力等。</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4.加大政府投资项目建设力度，推动世界级滨海城市建设</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支持城市品质提档升级，保障重点项目建设，全力打造和谐宜居的现代化滨海旅游城市。2024年，坚持扩需求、稳增长，持续增强项目的牵引和支撑作用，积极把握国家政策导向，贯彻落实中央一揽子增量政策，努力拓宽资金筹措渠道，争取超长期特别国债、专项债券、中央预算内资金等上级资金，保障重大项目建设，投入政府投资项目建设资金153.5亿元，支持封关运作、重点园区、科技创新等重点项目，主要包括三亚市体育中心（体育馆、游泳馆）、海垦城建·鹿城壹号项目周边配套项目、现代服务业产业园基础设施配套椰风路一期项目、三亚凤凰国际机场三期改扩建项目、三亚河口通道工程项目、崖州湾科技城硬件设施等项目。加快土地要素供给，投入征地拆迁补偿成本6亿元，保障重点项目及产业发展需求。</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5.重点保障民生领域投入，支持持续增进民生福祉</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继续践行以人民为中心的发展思想，聚焦解决一批教育、医疗等民生领域突出问题，持续加大民生投入力度，保障体育馆等一批综合性文体设施竣工投用，支持教育、医疗、卫生、养老等领域短板加快补齐，民生保障扎实有力。一是全市投入28.5亿元，支持扩大教育供给，支持实施基础教育提升和学位扩容计划，提升城乡义务教育优质均衡发展水平，推进教育软硬件设施建设，重点保障海罗小学、南新小学改扩建等重点项目建设，支持迎宾路中段学校（三亚市迎宾路小学、三亚市第九中学）完工顺利开学，支持办好人民满意教育；二是全市投入23.3亿元，推进“健康三亚”建设，支持紧密型医疗集团建设和公立医院改革，保障区域医疗中心建设和大三亚120急救体系建设，支持推动妇幼保健院二期项目、北京大学口腔医院三亚分院等项目建设；三是全市投入21.5亿元，全面落实低保、特困、残疾等群体救助政策，支持社会救助扩围增效，健全完善社会保障体系，推进企业稳岗扩就业政策，织密扎牢社会保障网；四是投入“菜篮子”工程建设资金2.1亿元，推动“菜篮子”网点建设，构建“菜篮子”保供稳价长效机制，提升“菜篮子”应急保供能力；五是全力保障民生实事项目，提升人民群众幸福感。投入省市民生实事资金1.5亿元，保障省市两级十大民生实事事项在我市落地见效，让全市人民群众在点滴变化中获得幸福感、安全感。</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6.推动绿色生态低碳发展，支持着力打造“绿色三亚”</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坚持贯彻“绿水青山就是金山银山”发展理念，持续巩固三亚生态优势。重点保障红塘湾临空商贸区项目整改工程、凤凰岛二期项目拆除工程、海洋生态保护修复工程等项目，全力推进环保督察整改，加强生态文明建设。投入重点生态保护和修复治理资金8.53亿元，支持南部典型热带区域山水林田湖草沙一体化保护和修复工程建设；投入3.26亿元，支持污水处理运营和污泥处理；投入1.4亿元，支持污水管网维护，促进水资源可持续利用；投入1.7元，支持垃圾处理，推行生活垃圾减量化和资源化；投入0.9亿元，实施森林生态效益补偿，加强农业资源生态保护等。</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7.做优做强热带特色高效农业，加快推进农业农村现代化  </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坚持农业农村优先发展，强化政策支持和要素保障，加快宜居宜业和美乡村建设。安排农林水支出23.7亿元，支持做优做强热带特色高效农业，拓宽农民增收致富渠道，支持全面实施乡村振兴战略，提升基层公共服务保障水平，加快区域协调均衡发展，夯实共同富裕基础，以加快农业农村现代化更好推进中国式现代化建设。其中，投入衔接推进乡村振兴补助资金1.47亿元，推动巩固拓展脱贫攻坚成果同乡村振兴的有效衔接；投入乡村振兴及百镇千村补助等资金1.41亿元，实施美丽乡村建设管理提升三年行动，推进乡村产业加快发展；投入农业渔业保险补贴1.2亿元，助力农业安全生产；投入0.53亿元，支持高标准农田建设，支持发展热带特色高效农业，加快产业兴农等。</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8.推进财政管理制度集成建设，确保财政政策加力提效</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2024年，继续推进财政改革发展工作，加快推进财政管理制度建设，健全现代预算制度。深化三亚国有资产制度管理改革，弥补行政事业性国有资产管理制度缺失，规范资产全生命周期管理；实施成本预算绩效管理改革，出台三亚市安置房、教育基础设施建设项目预算费用支出标准；规范重大事项资金闭环管理，坚持“小钱小气、大钱大方”，解决重大事项资金需求保障问题，加强项目全生命周期资金闭环管理；建立基层社会治理改革保障激励机制，提高“村改居”等基层社会治理财政保障能力；研究推行政府投资项目跟踪评审新模式，加快推进评审制度创新工作；推动国有企业固定资产投资项目多元化融资，优化国有企业融资结构。在制度建设方面补短板，加快推进现代预算管理制度集成建设，构建与高水平自由贸易港发展相适应的现代化财政制度。</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2024年，积极支持和配合人大依法开展预算审查等工作，充分吸收采纳人大代表建议意见，办理市人大建议、市政协委员提案12件，其中人大建议主办1件，政协提案主办1件，办结率和满意率均为100%。全市财政运行平稳有序，有力保障了大事要事，经受住了各种风险挑战，有效发挥了财政服务保障社会经济高质量发展的职能。在总结成绩的同时，预算执行和财政工作仍存在一些困难和问题，比如收支矛盾仍较突出、财政资源配置效率有待提升等，我们高度重视这些问题，将用改革的办法、创新的思维、积极的行动加以解决，也恳请各位代表、委员一如既往地给予指导和支持。</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二、2025年财政预算草案</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2025年是“十四五”规划的收官之年，也是海南自由贸易港封关运作、扩大开放之年，做好财政工作意义重大。我们将按照省委省政府和市委市政府工作要求，紧紧围绕建设“三区一中心”的战略定位，锚定“一本三基四梁八柱”战略框架，精准聚焦全年发展目标任务，为奋力打造具有世界影响力的中国特色自由贸易港标杆和引领我国新时代对外开放重要门户支柱提供有力支撑。</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楷体" w:cs="仿宋_GB2312"/>
          <w:sz w:val="32"/>
          <w:szCs w:val="32"/>
        </w:rPr>
      </w:pPr>
      <w:r>
        <w:rPr>
          <w:rFonts w:hint="eastAsia" w:ascii="仿宋_GB2312" w:hAnsi="仿宋_GB2312" w:eastAsia="楷体" w:cs="仿宋_GB2312"/>
          <w:sz w:val="32"/>
          <w:szCs w:val="32"/>
        </w:rPr>
        <w:t>（一）2025年财政工作指导思想和预算安排原则</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以习近平新时代中国特色社会主义思想为指导，全面贯彻落实党的二十大和二十届二中、三中全会精神、中央经济工作会议精神及习近平总书记在听取海南省委省政府工作汇报时的重要讲话精神，认真落实省第八次党代会、八届省委历次全会精神及市委八届八次全会、市委经济工作会议部署，锚定“一本三基四梁八柱”战略框架，坚持以政领财、以财辅政，预算编制工作以市委、市政府决策部署作为总指引，落实中央一揽子增量等宏观政策，实施更加积极的财政政策，加强财源建设和财政资源统筹力度，坚持党政机关习惯过“紧日子”，兜牢兜实“三保”底线，坚持“小钱小气、大钱大方”，持续优化财政支出结构，加大财政支出强度，集中财力优先保障自贸港封关运作等重点领域支出，加力支持培育新质生产力，加快构建具有三亚特色和优势的现代化产业体系，统筹做好重点民生支出保障，全力以赴扩投资促消费，发挥财政在社会经济高质量发展中的重要支柱作用。</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2025年预算已经省财政厅审核指导，现已根据省财政厅反馈“三保”预算编制等意见修改完善。2025年预算安排遵循以下原则：</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加强统筹提高财政保障能力。实事求是、积极稳妥预计收入预算，加大资金资源统筹力度，依法依规将各类资金全部纳入部门预算管理，争取上级资金及政策支持，提高财政综合保障能力。二是坚持党政机关习惯过“紧日子”。将中央关于过“紧日子”要求作为预算安排基本方针，强化零基预算理念，有保有压，进一步压减综合运行事务等非重点非刚性支出，优先兜牢“三保”底线，落实一揽子化债方案要求。三是集中财力保重点办大事。坚持“小钱小气，大钱大方”，预算安排以市委、市政府决策部署作为总指引，集中财力保障市委市政府中心工作，支持全面做好封关运作工作，保续建、控新增，确保年度重点项目顺利完工。四是加强财政资金政策绩效导向。坚持尽力而为与量力而行相统筹，突出预算绩效导向，根据事项重要性、紧迫性等因素，结合财力科学合理安排资金，提高财政资金及政策效益，服务三亚社会经济高质量发展。</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（二）2025年全市及本级财政预算总量和结构</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1.一般公共预算安排情况</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全市地方一般公共预算收入161.9亿元，增长5%；加上上级补助收入77.3亿元、债务转贷收入19.1亿元、动用预算稳定调节基金6.2亿元、上年结余收入32.5亿元、调入资金6.7亿元，收入总计303.7亿元。全市地方一般公共预算支出244.3亿元，下降3.3%；加上预备费2.6亿元、上解上级支出32.5亿元、债务还本支出21.3亿元、安排预算稳定调节基金3亿元，支出总计303.7亿元。收支相抵，年终无结余。</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市本级地方一般公共预算收入104.1亿元，增长3.7%；加上上级补助收入77.3亿元、债务转贷收入19.1亿元、动用预算稳定调节基金3.6亿元、上年结余收入27.9亿元、上解收入14亿元、调入资金6.7亿元等，收入总计252.6亿元。市本级地方一般公共预算支出179.4亿元，下降2.5%；加上预备费2亿元、补助区级支出15亿元、债务还本支出20.7亿元、上解上级支出32.5亿元、安排预算稳定调节基金3亿元，支出总计252.6亿元。收支相抵，年终无结余。</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2.政府性基金预算安排情况</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全市地方政府性基金预算收入130亿元（不含结转至2025年土地价款），增长8.9%；加上债务转贷收入、上年结余收入、上级补助收入等，收入总计295.6亿元。全市地方政府性基金预算支出225.8亿元，增长5%；加上债务还本支出59.8亿元、调出资金6.5亿元，支出总计292.1亿元。收支相抵，年终结余结转3.5亿元。</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市本级地方政府性基金预算收入130亿元（不含结转至2025年土地价款），增长8.9%；加上债务转贷收入、上年结余收入、上级补助收入等，收入总计283.2亿元。市本级地方政府性基金预算支出201.4亿元，增长27.3%；加上补助区级支出12.8亿元、债务还本支出59.1亿元、调出资金6.5亿元，支出总计279.7亿元。收支相抵，年终结余结转3.5亿元。</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3.国有资本经营预算安排情况</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全市国有资本经营预算收入6985万元，增长11.9%；加上上级补助收入60万元，上年结余收入1万元，收入总计7046万元。全市国有资本经营预算支出4849万元，增长95.9%；加上调出资金2197万元，支出总计7046万元。收支相抵，年终无结余结转。</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市本级国有资本经营预算收入6480万元，增长7.9%；加上上级补助收入60万元，上年结余收入1万元，收入总计6541万元。市本级国有资本经营预算支出4496万元，增长96.8%；加上调出资金2045万元，支出总计6541万元。收支相抵，年终无结余结转。</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4.社会保险基金预算安排情况</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全市社会保险基金预算收入16.2亿元，增长20.8%，主要包括社会保险基金保费收入10.5亿元、财政补贴收入及委托投资收益等收入5.7亿元。全市社会保险基金预算支出18.8亿元，增长18.8%，主要包括社会保险待遇支出11.2亿元、上解支出7.4亿元、转移支出等支出0.2亿元。本年收支无结余，年末滚存结余37.1亿元。</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5.对区转移支付补助情况</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2025年市对区级转移支付共计27.8亿元，其中：一般公共预算转移支付补助资金15亿元（一般性转移支付11.5亿元，专项转移支付3.5亿元），政府性基金预算转移支付补助资金12.8亿元。</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（三）2025年主要财政支出政策和重点项目安排</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1.推进旅游业高质量发展，打造国际旅游消费中心引领区</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围绕将三亚建成国际旅游消费中心引领区和世界级旅游度假目的地的目标，支持加快旅游基础设施升级，大力推动旅游服务全域配套、旅游治理全域覆盖、旅游产业全域联动、旅游成果全民共享，推动文化、体育、旅游、康养等产业融合，大力激发消费潜能，加快旅游业高质量转型发展。安排5.28亿元，实施公交成本规制、公益性票价补贴等，优化提升旅游交通服务网络；安排3.8亿元，积极拓展国际航空航线，大力创建三亚空港型国家物流枢纽，提升境外航线网络通达性；安排0.7亿元，支持海南岛国际电影节等重大国际文体赛事和高规格演艺活动的引进和开展，助力提升三亚国际知名度和影响力；安排0.8亿元，持续提升风景名胜区服务品质，不断完善旅游基础设施配套；安排0.6亿元，支持旅游促销，推动优质演艺项目对接，推动消费转型升级，促进三亚旅游业高质量发展。</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2.支持高新技术产业发展壮大，推进自贸港科创高地建设</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发挥财政资金引导作用，支持以科技创新引领新质生产力发展，推动创建国家级高新技术产业开发区，促进科技创新和产业创新深度融合，助力打造战略性高新技术产业集群，加快建设现代化产业体系。其中，安排崖州湾科技城发展建设体制补助资金22.3亿元，支持重点园区推进基础设施建设，提升崖州湾科技城发展能级，保障深海南繁科技等国家战略决策部署，聚焦种业科技、海洋科技、数字科技、生物科技等方向，支持加强实验室等重大科创平台建设，持续培育壮大科技创新主体，推动创新驱动高质量发展；安排高新技术重点产业发展专项资金0.95亿元，支持加快重点领域关键核心技术攻关、底层技术突破和科技成果转移转化，引导和鼓励市场主体加大研发投入，推动新质生产力加快发展。</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3.支持打造现代服务业增长极，培育三亚经济发展新业态</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做优做强现代服务业，支持培育新业态、新模式，营造良好营商环境，扶持中小微企业，支持实现更高水平开放，加快发展外向型经济，构建具有三亚特色和优势的现代产业体系。其中，安排注册资本金8亿元，保障高质量发展产业、商业保理等项目，支持国企聚焦主责主业，不断提升核心竞争力和服务保障能力；安排中央商务区体制补助资金8.1亿元，激发中央商务区发展动能，加快建设“两个总部基地”三亚示范区，支持加速总部经济、金融服务、现代商贸、邮轮游艇等优质产业要素集聚；安排1亿元，支持总部经济聚集区高质量发展，加速优质产业要素集聚，打造自贸港现代服务业高质量发展引领区。</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4.重点保障城市功能品质提升，打造现代化热带滨海城市</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精准保障重点项目及产业土地收储资金需求，统筹城乡基础设施和公共服务布局，支持城市功能提升改造，支持三亚经济圈一体化发展，坚定不移扩大有效需求，全力推动投资增效，助力打造现代化热带滨海城市。其中，安排23.5亿元，实施土地收储、解决历史遗留问题，加大土地等要素供给；安排政府投资项目资金20亿元，支持市政、交通、教育等基础设施重点项目建设，主要包括前期工作经费、结算资金、山水项目和超长期特别国债项目市级配套资金、凤凰机场基础设施配套工程、三亚市防灾减灾实战实训基础设施建设项目、三亚红塘湾临空商贸区项目整改工程等。</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5.支持农业农村优先发展，推进区域均衡高质量发展</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坚持学习和运用“千万工程”经验，继续围绕“农业强、农村美、农民富”的目标落实乡村振兴战略工作，统筹农业农村发展各类资金，安排农林水支出24.3亿元，优先支持热带特色高效农业发展、高标准农田建设、农民致富增收、“菜篮子”工程等，支持推进南繁种业振兴工程，推动乡村产业高质量发展，实施和美乡村建设行动，助推乡村产业融合发展，筑牢农村经济基础，增强农村发展活力，促进共同富裕。其中，安排乡村振兴及百镇千村补助等资金2.4亿元，支持高质量实施宜居宜业和美乡村建设，推进乡村产业加快发展；安排农业渔业保险补贴1.42亿元，有效对冲农业生产风险；安排衔接推进乡村振兴补助资金1.3亿元，巩固拓展脱贫攻坚成果有效衔接乡村振兴；安排1.7亿元支持农业产业发展，支持热带特色高效农业增量提质等工作；安排0.6亿元，支持高标准农田建设，提升热带特色高效农业发展水平等。</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6.推进三亚生态文明建设，夯实三亚可持续发展基础</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坚持生态优先、绿色发展，牢固树立和践行“绿水青山就是金山银山”理念，落实用好各项生态环境财政政策，支持持续提升环境治理水平，推动绿色低碳转型发展，提升城市生态宜居水平，夯实可持续高质量发展基础，助力创建“公园城市”、“湿地城市”、“森林城市”，支持打造人与自然和谐共生的美丽三亚。其中，安排重点生态保护和修复治理资金5.1亿元，支持南部典型热带区域山水林田湖草沙一体化保护和修复工程建设；安排4.4亿元，保障污水、污泥有效处置；安排1.4亿元，支持污水管网维护，促进水资源节约集约利用；安排1.6亿元，支持垃圾处理，推行生活垃圾无害化、减量化、资源化，推行绿色生产生活方式；安排0.9亿元，完善森林生态效益补偿机制，推进农业资源生态保护等。</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7.始终践行人民至上理念，加快推进“幸福三亚”建设</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始终践行人民至上理念，加大保障和改善民生力度，支持加强基础性、普惠性、兜底性民生建设，完善城乡公共服务体系和社会保障体系，织密扎牢社会保障网，办好民生实事，推动解决人民群众急难愁盼问题，增强人民群众获得感、幸福感、安全感。一是安排教育支出28.8亿元，提升教育软硬件设施配置水平，支持学位扩容，支持引进优质教育资源合作办学和集团化办学，支持加快建设教育强市。其中，市本级安排教育项目支出主要包括：教育发展专项资金1.34亿元、教育基础设施建设及维护1亿元、教育合作与交流0.4亿元、人才引进与师资队伍建设0.51亿元等。二是安排卫生健康支出26.5亿元，推进“健康三亚”建设，持续推进公立医院改革、紧密型城市医疗集团建设和高质量发展示范项目实施，持续优化医疗资源布局，促进优质医疗资源扩容。其中，市本级安排卫生健康项目支出主要包括：卫生健康发展专项资金3.6亿元、紧密型医疗集团成员单位经费2.9亿元、公立医院改革与高质量发展示范项目0.8亿元等。三是安排社会保障和就业支出22.6亿元，加强对重点群体就业创业支持，支持健全社会保障和公共服务体系。其中，市本级安排社会保障和就业项目支出主要包括：基本养老保险代发资金2.7亿元、城乡居民基本养老保险补助经费0.4亿元、人才开发专项资金0.5亿元等。四是市本级安排“菜篮子”工程建设相关支出2.3亿元，护好人民的“菜篮子”，促进蔬菜生产、运输和销售，确保蔬菜供应和价格稳定。</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三、统筹做好2025年财政改革发展工作</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（一）健全财政资源统筹机制，提高财政统筹保障能力</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财源建设和财政资源统筹力度，充分发挥中央给予海南的优惠政策，抓实自贸港财税等优惠政策转化，激发高质量发展活力动力，加强重点园区自身造血能力，涵养税基财源，做大财政收入蛋糕。深入挖掘非税收入潜力，坚持依法征收、应收尽收。加大财政各类资源统筹，发挥争取上级资金激励机制作用，向外争取更多资金及政策支持。践行“项目为王”理念，围绕上级转移支付项目及政策，找准“政策眼”，挖掘“含金点”，加强涉及三亚经济圈、琼南地区及自贸港建设等重点项目谋划储备，围绕国家“两重”领域和体现海南区位优势加强项目谋划包装，最大限度争取中央预算内基建、超长期国债、地方政府债券资金、中央及省级专项补助等资金及政策支持。在不形成隐债前提下，加强财政与金融的配合，加强国企固定资产投资项目多元化融资，有效撬动社会资本投资。跟踪研究财税体制改革政策，做好封关运作各项财政工作准备，向省研提税制改革政策诉求，继续争取重点园区等各类政策支持，做好三亚经济圈一体化财税支持政策措施落实工作，提升三亚财政保障能力。</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（二）</w:t>
      </w:r>
      <w:bookmarkStart w:id="0" w:name="_GoBack"/>
      <w:bookmarkEnd w:id="0"/>
      <w:r>
        <w:rPr>
          <w:rFonts w:hint="eastAsia" w:ascii="楷体" w:hAnsi="楷体" w:eastAsia="楷体" w:cs="楷体"/>
          <w:sz w:val="32"/>
          <w:szCs w:val="32"/>
        </w:rPr>
        <w:t>落实中央一揽子增量政策，推动经济社会高质量发展</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落实中央一揽子增量等宏观政策，实施更加积极的财政政策，加大财政支出强度，保民生、促投资、稳增长，加大封关运作等自贸港重点领域投入，发挥财政资金杠杆撬动作用，扩大有效投资，推动自贸港高质量发展。继续充分用好置换债政策，置换各类存量债务，减轻地方财政压力，腾出更多地方财力保障发展建设，确保财政政策持续加力；争取增加专项债券，扩大投向领域和用作项目资本金范围，以政府投资有效带动社会投资。严守招商引资红线底线，综合整治“内卷式”竞争，主动维护公平竞争的统一大市场环境，加快产业奖补政策整改，规范招商引资政策制定，继续优化三亚营商环境，加大链主企业等精准招商引资力度。不折不扣落实中央减税降费和自贸港财税优惠等各项政策，强化崖州湾科技城和中央商务区支撑引领作用，促进科技创新和产业创新深度融合，因地制宜发展新质生产力，激发高质量发展活力动力，推动旅游业、现代服务业、高新技术产业、热带特色高效农业等主导产业补链延链、优化升级，全力发展战略性新兴产业和未来产业，做大三亚经济总量。</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（三）坚持党政机关习惯过紧日子，实施更加积极财政政策</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面勤俭建设自贸港，勤俭节约办一切事业。坚持党政机关习惯过“紧日子”，建立节约型财政保障机制，继续压减非重点非刚性支出，把节支举措落实到会议活动、资产配置、项目管理等各方面，让艰苦创业、勤俭办事蔚然成风。优化财政支出结构，提高资金使用效益，落实“三保”政策，更加注重惠民生、促消费、增后劲，兜牢基层“三保”底线。实施更加积极的财政政策，坚持“小钱小气、大钱大方”，加大财政支出强度，集中财力保障重大决策、重要改革、重大工程，贯彻落实国家重大战略任务，优先保障自贸港封关运作准备、科技创新等重点领域支出，加快与自贸港相匹配的现代化基础设施建设，强化基本公共服务保障，在发展中保障改善民生，确保财政政策持续用力、更加给力。做好近远期规划与项目滚动衔接，对接国家产业政策、投资导向，适当压缩非产业性的投资，重点支持有回报的产业投资项目，因地制宜培育壮大新质生产力，加快打造现代化产业体系，促进三亚经济社会高质量发展。</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（四）健全现代预算制度，建立与自贸港相适应的财政体制</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落实二十届三中全会关于财税方面改革要求，深化财税体制改革，健全现代预算制度，加强公共服务绩效管理，深化零基预算改革，建立健全与中国式现代化、海南自由贸易港建设相适应的财政体制机制。强化财政预算全过程管理，加快支出标准体系建设，完善重大事项资金保障机制，规范重点项目资金申报安排程序，提升财政资源配置效率和使用效益；扎实推动成本预算绩效管理改革，推进项目支出标准体系建设，推进预算绩效全过程管理。深化国有资产制度集成创新，加快推动国有资产管理数字化改革，促进资产管理与预算管理深度融合，提高国有资产使用效率效益。统筹推进财税体制改革，增加地方自主财力，持续深化扩权强区改革，完善市与区级（园区）体制关系。配合上级推进自贸港税制改革及封关运作压力测试，加快推进海南自由贸易港核心政策落地，充分发挥预算管理及财政政策对社会经济高质量发展的导向作用。</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（五）更好统筹发展与安全的关系，防范化解各类财政风险</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牢固树立预算法治意识，坚守财政风险底线。更好统筹发展与安全的关系，防范化解地方政府债务风险，稳妥有序化解存量债务，坚决杜绝新增政府隐性债务，严禁新增隐债上新项目、铺新摊子，完善全口径地方债务管理监测监管体系，加强政府债务一体化全流程管理。严禁违规新增暂付款，逐步化解存量暂付款。扎实推进审计查出问题整改，强化审计结果应用。严禁违规实施财政和税费优惠政策，加强自贸港财税风险防控，防范化解财政运行中的风险隐患，强化财税政策落实和预算管理监督，全面加强财会监督，聚焦财经纪律重点问题，强化政府债务风险、财税政策落实、财经纪律执行等重点领域监督，加强财会监督与人大监督、纪检监察、审计监督等监督的贯通协调，加大典型案例通报力度，依法依规追责问责，严肃财经纪律，有效防范化解重点领域风险，牢牢守住不发生系统性风险底线。</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位代表，海南自贸港封关运作历史性发展机遇日渐临近，我们将坚持以习近平新时代中国特色社会主义思想为指导，在市委市政府的正确领导下，全面加强党对预算工作的领导，把党的领导贯穿于财经领域工作全过程和各方面，自觉接受市人大的指导监督，认真听取市政协的意见和建议，全面深化三亚财政体制机制改革，推动零基预算管理改革，健全现代预算制度，认真落实本次大会决议，守正创新，奋勇争先，统筹做好财政发展改革工作，提高财政政策和资金供给效能，为奋力谱写中国式现代化海南篇章三亚章节作出更大贡献。</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仿宋_GB2312">
    <w:panose1 w:val="02010609030101010101"/>
    <w:charset w:val="86"/>
    <w:family w:val="decorative"/>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ti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Ti">
    <w:altName w:val="Segoe Print"/>
    <w:panose1 w:val="00000000000000000000"/>
    <w:charset w:val="00"/>
    <w:family w:val="auto"/>
    <w:pitch w:val="default"/>
    <w:sig w:usb0="00000000" w:usb1="00000000" w:usb2="00000000" w:usb3="00000000" w:csb0="00000000" w:csb1="00000000"/>
  </w:font>
  <w:font w:name="黑体">
    <w:panose1 w:val="02010609060101010101"/>
    <w:charset w:val="86"/>
    <w:family w:val="auto"/>
    <w:pitch w:val="default"/>
    <w:sig w:usb0="800002BF" w:usb1="38CF7CFA" w:usb2="00000016" w:usb3="00000000" w:csb0="00040001" w:csb1="00000000"/>
  </w:font>
  <w:font w:name="Calibri">
    <w:panose1 w:val="020F0502020204030204"/>
    <w:charset w:val="00"/>
    <w:family w:val="decorative"/>
    <w:pitch w:val="default"/>
    <w:sig w:usb0="E10002FF" w:usb1="4000ACFF" w:usb2="00000009" w:usb3="00000000" w:csb0="2000019F" w:csb1="00000000"/>
  </w:font>
  <w:font w:name="方正仿宋简体">
    <w:altName w:val="微软雅黑"/>
    <w:panose1 w:val="03000509000000000000"/>
    <w:charset w:val="86"/>
    <w:family w:val="auto"/>
    <w:pitch w:val="default"/>
    <w:sig w:usb0="00000000" w:usb1="00000000" w:usb2="00000000" w:usb3="00000000" w:csb0="00040000" w:csb1="00000000"/>
  </w:font>
  <w:font w:name="方正中等线简体">
    <w:altName w:val="宋体"/>
    <w:panose1 w:val="03000509000000000000"/>
    <w:charset w:val="86"/>
    <w:family w:val="auto"/>
    <w:pitch w:val="default"/>
    <w:sig w:usb0="00000000" w:usb1="00000000" w:usb2="00000000" w:usb3="00000000" w:csb0="00040000" w:csb1="00000000"/>
  </w:font>
  <w:font w:name="创艺简粗黑">
    <w:altName w:val="黑体"/>
    <w:panose1 w:val="00000000000000000000"/>
    <w:charset w:val="00"/>
    <w:family w:val="auto"/>
    <w:pitch w:val="default"/>
    <w:sig w:usb0="00000000" w:usb1="00000000" w:usb2="00000000" w:usb3="00000000" w:csb0="00000000" w:csb1="00000000"/>
  </w:font>
  <w:font w:name="华文宋体">
    <w:altName w:val="宋体"/>
    <w:panose1 w:val="02010600040101010101"/>
    <w:charset w:val="86"/>
    <w:family w:val="auto"/>
    <w:pitch w:val="default"/>
    <w:sig w:usb0="00000000" w:usb1="00000000" w:usb2="00000000" w:usb3="00000000" w:csb0="0004009F" w:csb1="DFD70000"/>
  </w:font>
  <w:font w:name="华文隶书">
    <w:altName w:val="微软雅黑"/>
    <w:panose1 w:val="02010800040101010101"/>
    <w:charset w:val="86"/>
    <w:family w:val="auto"/>
    <w:pitch w:val="default"/>
    <w:sig w:usb0="00000000" w:usb1="00000000" w:usb2="00000000" w:usb3="00000000" w:csb0="00040000" w:csb1="00000000"/>
  </w:font>
  <w:font w:name="叶根友毛笔行书2.0版">
    <w:altName w:val="宋体"/>
    <w:panose1 w:val="02010601030101010101"/>
    <w:charset w:val="86"/>
    <w:family w:val="auto"/>
    <w:pitch w:val="default"/>
    <w:sig w:usb0="00000000" w:usb1="00000000" w:usb2="00000000" w:usb3="00000000" w:csb0="00040000" w:csb1="00000000"/>
  </w:font>
  <w:font w:name="微软繁黑体">
    <w:altName w:val="黑体"/>
    <w:panose1 w:val="00000000000000000000"/>
    <w:charset w:val="00"/>
    <w:family w:val="auto"/>
    <w:pitch w:val="default"/>
    <w:sig w:usb0="00000000" w:usb1="00000000" w:usb2="00000000" w:usb3="00000000" w:csb0="00000000" w:csb1="00000000"/>
  </w:font>
  <w:font w:name="微软雅黑 Semilight">
    <w:altName w:val="黑体"/>
    <w:panose1 w:val="020B0402040204020203"/>
    <w:charset w:val="86"/>
    <w:family w:val="auto"/>
    <w:pitch w:val="default"/>
    <w:sig w:usb0="00000000" w:usb1="00000000" w:usb2="00000016" w:usb3="00000000" w:csb0="2004019F" w:csb1="00000000"/>
  </w:font>
  <w:font w:name="文泉驿等宽正黑">
    <w:altName w:val="黑体"/>
    <w:panose1 w:val="02000603000000000000"/>
    <w:charset w:val="86"/>
    <w:family w:val="auto"/>
    <w:pitch w:val="default"/>
    <w:sig w:usb0="00000000" w:usb1="00000000" w:usb2="00000036" w:usb3="00000000" w:csb0="603E000D" w:csb1="D2D70000"/>
  </w:font>
  <w:font w:name="文鼎弹簧体">
    <w:altName w:val="宋体"/>
    <w:panose1 w:val="020B0602010101010101"/>
    <w:charset w:val="86"/>
    <w:family w:val="auto"/>
    <w:pitch w:val="default"/>
    <w:sig w:usb0="00000000" w:usb1="00000000" w:usb2="00000000" w:usb3="00000000" w:csb0="00040000" w:csb1="00000000"/>
  </w:font>
  <w:font w:name="方正中等线繁体">
    <w:altName w:val="宋体"/>
    <w:panose1 w:val="03000509000000000000"/>
    <w:charset w:val="86"/>
    <w:family w:val="auto"/>
    <w:pitch w:val="default"/>
    <w:sig w:usb0="00000000" w:usb1="00000000" w:usb2="00000000" w:usb3="00000000" w:csb0="00040000" w:csb1="00000000"/>
  </w:font>
  <w:font w:name="方正中雅宋简体">
    <w:altName w:val="宋体"/>
    <w:panose1 w:val="02000500000000000000"/>
    <w:charset w:val="86"/>
    <w:family w:val="auto"/>
    <w:pitch w:val="default"/>
    <w:sig w:usb0="00000000" w:usb1="00000000" w:usb2="00000012" w:usb3="00000000" w:csb0="00040001" w:csb1="00000000"/>
  </w:font>
  <w:font w:name="方正书宋简体">
    <w:altName w:val="宋体"/>
    <w:panose1 w:val="03000509000000000000"/>
    <w:charset w:val="86"/>
    <w:family w:val="auto"/>
    <w:pitch w:val="default"/>
    <w:sig w:usb0="00000000" w:usb1="00000000" w:usb2="00000000" w:usb3="00000000" w:csb0="00040000" w:csb1="00000000"/>
  </w:font>
  <w:font w:name="方正兰亭粗黑_GBK">
    <w:altName w:val="黑体"/>
    <w:panose1 w:val="02000000000000000000"/>
    <w:charset w:val="86"/>
    <w:family w:val="auto"/>
    <w:pitch w:val="default"/>
    <w:sig w:usb0="00000000" w:usb1="00000000" w:usb2="00000000" w:usb3="00000000" w:csb0="00040000" w:csb1="00000000"/>
  </w:font>
  <w:font w:name="方正兰亭细黑_GBK_M">
    <w:altName w:val="黑体"/>
    <w:panose1 w:val="02010600010101010101"/>
    <w:charset w:val="86"/>
    <w:family w:val="auto"/>
    <w:pitch w:val="default"/>
    <w:sig w:usb0="00000000" w:usb1="00000000" w:usb2="00000016" w:usb3="00000000" w:csb0="E03F01BF" w:csb1="9FF70000"/>
  </w:font>
  <w:font w:name="方正准圆_GBK">
    <w:altName w:val="宋体"/>
    <w:panose1 w:val="03000509000000000000"/>
    <w:charset w:val="86"/>
    <w:family w:val="auto"/>
    <w:pitch w:val="default"/>
    <w:sig w:usb0="00000000" w:usb1="00000000" w:usb2="00000000" w:usb3="00000000" w:csb0="00040000" w:csb1="00000000"/>
  </w:font>
  <w:font w:name="方正剪纸简体">
    <w:altName w:val="宋体"/>
    <w:panose1 w:val="03000509000000000000"/>
    <w:charset w:val="86"/>
    <w:family w:val="auto"/>
    <w:pitch w:val="default"/>
    <w:sig w:usb0="00000000" w:usb1="00000000" w:usb2="00000000" w:usb3="00000000" w:csb0="00040000" w:csb1="00000000"/>
  </w:font>
  <w:font w:name="方正华隶繁体">
    <w:altName w:val="宋体"/>
    <w:panose1 w:val="03000509000000000000"/>
    <w:charset w:val="86"/>
    <w:family w:val="auto"/>
    <w:pitch w:val="default"/>
    <w:sig w:usb0="00000000" w:usb1="00000000" w:usb2="00000000" w:usb3="00000000" w:csb0="00040000" w:csb1="00000000"/>
  </w:font>
  <w:font w:name="方正卡通简体">
    <w:altName w:val="宋体"/>
    <w:panose1 w:val="03000509000000000000"/>
    <w:charset w:val="86"/>
    <w:family w:val="auto"/>
    <w:pitch w:val="default"/>
    <w:sig w:usb0="00000000" w:usb1="00000000" w:usb2="00000000" w:usb3="00000000" w:csb0="00040000" w:csb1="00000000"/>
  </w:font>
  <w:font w:name="方正大黑简体">
    <w:altName w:val="黑体"/>
    <w:panose1 w:val="03000509000000000000"/>
    <w:charset w:val="86"/>
    <w:family w:val="auto"/>
    <w:pitch w:val="default"/>
    <w:sig w:usb0="00000000" w:usb1="00000000" w:usb2="00000000" w:usb3="00000000" w:csb0="00040000" w:csb1="00000000"/>
  </w:font>
  <w:font w:name="方正姚体繁体">
    <w:altName w:val="宋体"/>
    <w:panose1 w:val="03000509000000000000"/>
    <w:charset w:val="86"/>
    <w:family w:val="auto"/>
    <w:pitch w:val="default"/>
    <w:sig w:usb0="00000000" w:usb1="00000000" w:usb2="00000000" w:usb3="00000000" w:csb0="00040000" w:csb1="00000000"/>
  </w:font>
  <w:font w:name="方正少儿简体">
    <w:altName w:val="宋体"/>
    <w:panose1 w:val="03000509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上首维黑体">
    <w:altName w:val="黑体"/>
    <w:panose1 w:val="02010609000101010101"/>
    <w:charset w:val="86"/>
    <w:family w:val="auto"/>
    <w:pitch w:val="default"/>
    <w:sig w:usb0="00000000" w:usb1="00000000" w:usb2="00000012" w:usb3="00000000" w:csb0="00040001" w:csb1="00000000"/>
  </w:font>
  <w:font w:name="创艺简行楷">
    <w:altName w:val="楷体_GB2312"/>
    <w:panose1 w:val="00000000000000000000"/>
    <w:charset w:val="00"/>
    <w:family w:val="auto"/>
    <w:pitch w:val="default"/>
    <w:sig w:usb0="00000000" w:usb1="00000000" w:usb2="00000000" w:usb3="00000000" w:csb0="00000000" w:csb1="00000000"/>
  </w:font>
  <w:font w:name="华康龙门石碑W9">
    <w:altName w:val="宋体"/>
    <w:panose1 w:val="03000909000000000000"/>
    <w:charset w:val="86"/>
    <w:family w:val="auto"/>
    <w:pitch w:val="default"/>
    <w:sig w:usb0="00000000" w:usb1="00000000" w:usb2="00000012"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叶根友神工体">
    <w:altName w:val="宋体"/>
    <w:panose1 w:val="02010601030101010101"/>
    <w:charset w:val="86"/>
    <w:family w:val="auto"/>
    <w:pitch w:val="default"/>
    <w:sig w:usb0="00000000" w:usb1="00000000" w:usb2="00000000" w:usb3="00000000" w:csb0="00040000" w:csb1="00000000"/>
  </w:font>
  <w:font w:name="微软简隶书">
    <w:altName w:val="宋体"/>
    <w:panose1 w:val="00000000000000000000"/>
    <w:charset w:val="00"/>
    <w:family w:val="auto"/>
    <w:pitch w:val="default"/>
    <w:sig w:usb0="00000000" w:usb1="00000000" w:usb2="00000000" w:usb3="00000000" w:csb0="00000000" w:csb1="00000000"/>
  </w:font>
  <w:font w:name="文泉驿等宽微米黑">
    <w:altName w:val="黑体"/>
    <w:panose1 w:val="020B0606030804020204"/>
    <w:charset w:val="86"/>
    <w:family w:val="auto"/>
    <w:pitch w:val="default"/>
    <w:sig w:usb0="00000000" w:usb1="00000000" w:usb2="00800036" w:usb3="00000000" w:csb0="603E019F" w:csb1="DFD70000"/>
  </w:font>
  <w:font w:name="方正中楷繁体">
    <w:altName w:val="楷体_GB2312"/>
    <w:panose1 w:val="03000509000000000000"/>
    <w:charset w:val="86"/>
    <w:family w:val="auto"/>
    <w:pitch w:val="default"/>
    <w:sig w:usb0="00000000" w:usb1="00000000" w:usb2="00000000" w:usb3="00000000" w:csb0="00040000" w:csb1="00000000"/>
  </w:font>
  <w:font w:name="方正仿宋繁体">
    <w:altName w:val="仿宋"/>
    <w:panose1 w:val="03000509000000000000"/>
    <w:charset w:val="86"/>
    <w:family w:val="auto"/>
    <w:pitch w:val="default"/>
    <w:sig w:usb0="00000000" w:usb1="00000000" w:usb2="00000000" w:usb3="00000000" w:csb0="00040000" w:csb1="00000000"/>
  </w:font>
  <w:font w:name="方正兰亭黑简体">
    <w:altName w:val="黑体"/>
    <w:panose1 w:val="02000000000000000000"/>
    <w:charset w:val="86"/>
    <w:family w:val="auto"/>
    <w:pitch w:val="default"/>
    <w:sig w:usb0="00000000" w:usb1="00000000" w:usb2="00000000" w:usb3="00000000" w:csb0="00040000" w:csb1="00000000"/>
  </w:font>
  <w:font w:name="方正华隶_GBK">
    <w:altName w:val="宋体"/>
    <w:panose1 w:val="03000509000000000000"/>
    <w:charset w:val="86"/>
    <w:family w:val="auto"/>
    <w:pitch w:val="default"/>
    <w:sig w:usb0="00000000" w:usb1="00000000" w:usb2="00000000" w:usb3="00000000" w:csb0="00040000" w:csb1="00000000"/>
  </w:font>
  <w:font w:name="方正卡通繁体">
    <w:altName w:val="宋体"/>
    <w:panose1 w:val="03000509000000000000"/>
    <w:charset w:val="86"/>
    <w:family w:val="auto"/>
    <w:pitch w:val="default"/>
    <w:sig w:usb0="00000000" w:usb1="00000000" w:usb2="00000000" w:usb3="00000000" w:csb0="00040000" w:csb1="00000000"/>
  </w:font>
  <w:font w:name="方正启体简体">
    <w:altName w:val="宋体"/>
    <w:panose1 w:val="03000509000000000000"/>
    <w:charset w:val="86"/>
    <w:family w:val="auto"/>
    <w:pitch w:val="default"/>
    <w:sig w:usb0="00000000" w:usb1="00000000" w:usb2="00000000" w:usb3="00000000" w:csb0="00040000" w:csb1="00000000"/>
  </w:font>
  <w:font w:name="方正古隶繁体">
    <w:altName w:val="宋体"/>
    <w:panose1 w:val="03000509000000000000"/>
    <w:charset w:val="86"/>
    <w:family w:val="auto"/>
    <w:pitch w:val="default"/>
    <w:sig w:usb0="00000000" w:usb1="00000000" w:usb2="00000000" w:usb3="00000000" w:csb0="00040000" w:csb1="00000000"/>
  </w:font>
  <w:font w:name="方正大标宋繁体">
    <w:altName w:val="宋体"/>
    <w:panose1 w:val="03000509000000000000"/>
    <w:charset w:val="86"/>
    <w:family w:val="auto"/>
    <w:pitch w:val="default"/>
    <w:sig w:usb0="00000000" w:usb1="00000000" w:usb2="00000000" w:usb3="00000000" w:csb0="00040000" w:csb1="00000000"/>
  </w:font>
  <w:font w:name="方正启体繁体">
    <w:altName w:val="宋体"/>
    <w:panose1 w:val="03000509000000000000"/>
    <w:charset w:val="86"/>
    <w:family w:val="auto"/>
    <w:pitch w:val="default"/>
    <w:sig w:usb0="00000000" w:usb1="00000000" w:usb2="00000000" w:usb3="00000000" w:csb0="00040000" w:csb1="00000000"/>
  </w:font>
  <w:font w:name="方正古隶简体">
    <w:altName w:val="宋体"/>
    <w:panose1 w:val="03000509000000000000"/>
    <w:charset w:val="86"/>
    <w:family w:val="auto"/>
    <w:pitch w:val="default"/>
    <w:sig w:usb0="00000000" w:usb1="00000000" w:usb2="00000000" w:usb3="00000000" w:csb0="00040000" w:csb1="00000000"/>
  </w:font>
  <w:font w:name="方正品尚中黑">
    <w:altName w:val="黑体"/>
    <w:panose1 w:val="020F0700000000000000"/>
    <w:charset w:val="86"/>
    <w:family w:val="auto"/>
    <w:pitch w:val="default"/>
    <w:sig w:usb0="00000000" w:usb1="00000000" w:usb2="00000012" w:usb3="00000000" w:csb0="00040000" w:csb1="00000000"/>
  </w:font>
  <w:font w:name="方正少儿_GBK">
    <w:altName w:val="宋体"/>
    <w:panose1 w:val="03000509000000000000"/>
    <w:charset w:val="86"/>
    <w:family w:val="auto"/>
    <w:pitch w:val="default"/>
    <w:sig w:usb0="00000000" w:usb1="00000000" w:usb2="00000000" w:usb3="00000000" w:csb0="00040000" w:csb1="00000000"/>
  </w:font>
  <w:font w:name="方正康体_GBK">
    <w:altName w:val="宋体"/>
    <w:panose1 w:val="03000509000000000000"/>
    <w:charset w:val="86"/>
    <w:family w:val="auto"/>
    <w:pitch w:val="default"/>
    <w:sig w:usb0="00000000" w:usb1="00000000" w:usb2="00000000" w:usb3="00000000" w:csb0="00040000" w:csb1="00000000"/>
  </w:font>
  <w:font w:name="方正康体简体">
    <w:altName w:val="宋体"/>
    <w:panose1 w:val="03000509000000000000"/>
    <w:charset w:val="86"/>
    <w:family w:val="auto"/>
    <w:pitch w:val="default"/>
    <w:sig w:usb0="00000000" w:usb1="00000000" w:usb2="00000000" w:usb3="00000000" w:csb0="00040000" w:csb1="00000000"/>
  </w:font>
  <w:font w:name="方正新报宋简体">
    <w:altName w:val="微软雅黑"/>
    <w:panose1 w:val="03000509000000000000"/>
    <w:charset w:val="86"/>
    <w:family w:val="auto"/>
    <w:pitch w:val="default"/>
    <w:sig w:usb0="00000000" w:usb1="00000000" w:usb2="00000000" w:usb3="00000000" w:csb0="00040000" w:csb1="00000000"/>
  </w:font>
  <w:font w:name="方正新舒体繁体">
    <w:altName w:val="宋体"/>
    <w:panose1 w:val="03000509000000000000"/>
    <w:charset w:val="86"/>
    <w:family w:val="auto"/>
    <w:pitch w:val="default"/>
    <w:sig w:usb0="00000000" w:usb1="00000000" w:usb2="00000000" w:usb3="00000000" w:csb0="00040000" w:csb1="00000000"/>
  </w:font>
  <w:font w:name="方正楷体繁体">
    <w:altName w:val="楷体_GB2312"/>
    <w:panose1 w:val="03000509000000000000"/>
    <w:charset w:val="86"/>
    <w:family w:val="auto"/>
    <w:pitch w:val="default"/>
    <w:sig w:usb0="00000000" w:usb1="00000000" w:usb2="00000000" w:usb3="00000000" w:csb0="00040000" w:csb1="00000000"/>
  </w:font>
  <w:font w:name="方正楷体简体">
    <w:altName w:val="楷体_GB2312"/>
    <w:panose1 w:val="03000509000000000000"/>
    <w:charset w:val="86"/>
    <w:family w:val="auto"/>
    <w:pitch w:val="default"/>
    <w:sig w:usb0="00000000" w:usb1="00000000" w:usb2="00000000" w:usb3="00000000" w:csb0="00040000" w:csb1="00000000"/>
  </w:font>
  <w:font w:name="方正新报宋_GBK">
    <w:altName w:val="宋体"/>
    <w:panose1 w:val="03000509000000000000"/>
    <w:charset w:val="86"/>
    <w:family w:val="auto"/>
    <w:pitch w:val="default"/>
    <w:sig w:usb0="00000000" w:usb1="00000000" w:usb2="00000000" w:usb3="00000000" w:csb0="00040000" w:csb1="00000000"/>
  </w:font>
  <w:font w:name="方正新书宋繁体">
    <w:altName w:val="宋体"/>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86"/>
    <w:family w:val="auto"/>
    <w:pitch w:val="default"/>
    <w:sig w:usb0="80000287" w:usb1="280F3C52" w:usb2="00000016" w:usb3="00000000" w:csb0="0004001F" w:csb1="00000000"/>
  </w:font>
  <w:font w:name="黑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time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raditional Arabic">
    <w:panose1 w:val="02020603050405020304"/>
    <w:charset w:val="00"/>
    <w:family w:val="auto"/>
    <w:pitch w:val="default"/>
    <w:sig w:usb0="00006003" w:usb1="80000000" w:usb2="00000008" w:usb3="00000000" w:csb0="00000041" w:csb1="2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0F2764"/>
    <w:rsid w:val="000451B0"/>
    <w:rsid w:val="550F276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cs="仿宋_GB2312" w:eastAsiaTheme="minorEastAsia"/>
      <w:kern w:val="2"/>
      <w:sz w:val="32"/>
      <w:szCs w:val="32"/>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uiPriority w:val="0"/>
    <w:pPr>
      <w:ind w:firstLine="420" w:firstLineChars="100"/>
    </w:pPr>
  </w:style>
  <w:style w:type="paragraph" w:styleId="3">
    <w:name w:val="Body Text"/>
    <w:basedOn w:val="1"/>
    <w:uiPriority w:val="0"/>
    <w:pPr>
      <w:spacing w:after="120" w:afterLines="0" w:afterAutospacing="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2025-01-06T11:10:00Z</dcterms:created>
  <dc:creator>Administrator</dc:creator>
  <cp:lastModifiedBy>田雍</cp:lastModifiedBy>
  <dcterms:modified xsi:type="dcterms:W3CDTF">2025-01-09T09:52:59Z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8EC55E156FE2498591302E80E86D68DD_11</vt:lpwstr>
  </property>
  <property fmtid="{D5CDD505-2E9C-101B-9397-08002B2CF9AE}" pid="4" name="KSOTemplateDocerSaveRecord">
    <vt:lpwstr>eyJoZGlkIjoiNmE0MDhhMGMxZjU5M2Q3NzZiYmM0MGNjYzVhMjViNzgifQ==</vt:lpwstr>
  </property>
</Properties>
</file>