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三亚市人力资源开发局</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2024年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三亚市人力资源开发局（市就业局）为三亚市人力资源和社会保障局下属事业单位（副处级参公单位）。人员编制14个，现实有1</w:t>
      </w:r>
      <w:r>
        <w:rPr>
          <w:rFonts w:hint="eastAsia" w:ascii="Times New Roman" w:hAnsi="Times New Roman" w:cs="Times New Roman"/>
          <w:sz w:val="32"/>
          <w:szCs w:val="32"/>
          <w:highlight w:val="none"/>
          <w:lang w:val="en-US" w:eastAsia="zh-CN"/>
        </w:rPr>
        <w:t>3</w:t>
      </w:r>
      <w:r>
        <w:rPr>
          <w:rFonts w:hint="default" w:ascii="Times New Roman" w:hAnsi="Times New Roman" w:cs="Times New Roman"/>
          <w:sz w:val="32"/>
          <w:szCs w:val="32"/>
          <w:highlight w:val="none"/>
        </w:rPr>
        <w:t>人，其中单位领导一正两副。内设机构办公室、就业指导科、失业保险科、转移就业科。</w:t>
      </w:r>
    </w:p>
    <w:p>
      <w:pPr>
        <w:ind w:firstLine="640" w:firstLineChars="200"/>
        <w:rPr>
          <w:rFonts w:hint="default" w:ascii="Times New Roman" w:hAnsi="Times New Roman" w:cs="Times New Roman"/>
          <w:sz w:val="32"/>
          <w:szCs w:val="32"/>
          <w:highlight w:val="none"/>
          <w:lang w:eastAsia="zh-CN"/>
        </w:rPr>
      </w:pPr>
      <w:r>
        <w:rPr>
          <w:rFonts w:hint="default" w:ascii="Times New Roman" w:hAnsi="Times New Roman" w:cs="Times New Roman"/>
          <w:sz w:val="32"/>
          <w:szCs w:val="32"/>
          <w:highlight w:val="none"/>
        </w:rPr>
        <w:t>主要职责</w:t>
      </w:r>
      <w:r>
        <w:rPr>
          <w:rFonts w:hint="default" w:ascii="Times New Roman" w:hAnsi="Times New Roman" w:cs="Times New Roman"/>
          <w:sz w:val="32"/>
          <w:szCs w:val="32"/>
          <w:highlight w:val="none"/>
          <w:lang w:eastAsia="zh-CN"/>
        </w:rPr>
        <w:t>：</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1、</w:t>
      </w:r>
      <w:r>
        <w:rPr>
          <w:rFonts w:hint="default" w:ascii="Times New Roman" w:hAnsi="Times New Roman" w:cs="Times New Roman"/>
          <w:sz w:val="32"/>
          <w:szCs w:val="32"/>
          <w:highlight w:val="none"/>
        </w:rPr>
        <w:t>负责社会就业情况监测、收集、发布人才劳动力供求信息、提供人才交流、职业介绍及人事代理服务。</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2、</w:t>
      </w:r>
      <w:r>
        <w:rPr>
          <w:rFonts w:hint="default" w:ascii="Times New Roman" w:hAnsi="Times New Roman" w:cs="Times New Roman"/>
          <w:sz w:val="32"/>
          <w:szCs w:val="32"/>
          <w:highlight w:val="none"/>
        </w:rPr>
        <w:t>负责我市就业失业登记，核定和支付参保人员失业保险待遇，发放失业救济金、医疗费、丧葬费、抚恤金等；编制就业补助资金预算。协调全市社会保险经办机构失业保险业务工作。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3、</w:t>
      </w:r>
      <w:r>
        <w:rPr>
          <w:rFonts w:hint="default" w:ascii="Times New Roman" w:hAnsi="Times New Roman" w:cs="Times New Roman"/>
          <w:sz w:val="32"/>
          <w:szCs w:val="32"/>
          <w:highlight w:val="none"/>
        </w:rPr>
        <w:t>组织劳动力市场交流会，协调大中专毕业生就业工作，承担留学回国人员就业和创业服务工作，开展职业指导、职业介绍工作。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负责我市外来劳动力流动就业的管理，为我市外出就业人员提供服务。负责农村劳动力监控及我市农村劳动力就业服务工作。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5、</w:t>
      </w:r>
      <w:r>
        <w:rPr>
          <w:rFonts w:hint="default" w:ascii="Times New Roman" w:hAnsi="Times New Roman" w:cs="Times New Roman"/>
          <w:sz w:val="32"/>
          <w:szCs w:val="32"/>
          <w:highlight w:val="none"/>
        </w:rPr>
        <w:t>协助做好各区就业服务工作。</w:t>
      </w:r>
    </w:p>
    <w:p>
      <w:pPr>
        <w:ind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二、单位机构设置</w:t>
      </w:r>
    </w:p>
    <w:p>
      <w:pPr>
        <w:ind w:firstLine="640" w:firstLineChars="200"/>
        <w:rPr>
          <w:rFonts w:hint="eastAsia" w:ascii="Times New Roman" w:hAnsi="Times New Roman" w:cs="Times New Roman"/>
          <w:sz w:val="32"/>
          <w:szCs w:val="32"/>
          <w:highlight w:val="yellow"/>
          <w:lang w:eastAsia="zh-CN"/>
        </w:rPr>
      </w:pPr>
      <w:r>
        <w:rPr>
          <w:rFonts w:hint="default" w:ascii="Times New Roman" w:hAnsi="Times New Roman" w:cs="Times New Roman"/>
          <w:sz w:val="32"/>
          <w:szCs w:val="32"/>
          <w:highlight w:val="none"/>
        </w:rPr>
        <w:t>三亚市人力资源开发局（市就业局）为三亚市人力资源和社会保障局下属事业单位（副处级参公单位）。人员编制14个，现实有1</w:t>
      </w:r>
      <w:r>
        <w:rPr>
          <w:rFonts w:hint="eastAsia" w:ascii="Times New Roman" w:hAnsi="Times New Roman" w:cs="Times New Roman"/>
          <w:sz w:val="32"/>
          <w:szCs w:val="32"/>
          <w:highlight w:val="none"/>
          <w:lang w:val="en-US" w:eastAsia="zh-CN"/>
        </w:rPr>
        <w:t>3</w:t>
      </w:r>
      <w:r>
        <w:rPr>
          <w:rFonts w:hint="default" w:ascii="Times New Roman" w:hAnsi="Times New Roman" w:cs="Times New Roman"/>
          <w:sz w:val="32"/>
          <w:szCs w:val="32"/>
          <w:highlight w:val="none"/>
        </w:rPr>
        <w:t>人，其中单位领导一正两副。内设机构办公室、就业指导科、失业保险科、转移就业科。</w:t>
      </w:r>
    </w:p>
    <w:p>
      <w:pPr>
        <w:ind w:firstLine="640" w:firstLineChars="200"/>
        <w:rPr>
          <w:rFonts w:hint="eastAsia" w:ascii="Times New Roman" w:hAnsi="Times New Roman" w:cs="Times New Roman"/>
          <w:sz w:val="32"/>
          <w:szCs w:val="32"/>
          <w:highlight w:val="yellow"/>
          <w:lang w:eastAsia="zh-CN"/>
        </w:rPr>
      </w:pP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2024年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2024年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2024年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三亚市人力资源开发局</w:t>
      </w:r>
      <w:r>
        <w:rPr>
          <w:rFonts w:hint="eastAsia" w:ascii="仿宋_GB2312" w:hAnsi="黑体" w:eastAsia="仿宋_GB2312" w:cs="仿宋_GB2312"/>
          <w:sz w:val="32"/>
          <w:szCs w:val="32"/>
          <w:lang w:val="en-US" w:eastAsia="zh-CN"/>
        </w:rPr>
        <w:t>2024年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11644.59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327.57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万元，包括 社会保障和就业支出</w:t>
      </w:r>
      <w:r>
        <w:rPr>
          <w:rFonts w:hint="eastAsia" w:ascii="仿宋_GB2312" w:hAnsi="黑体" w:eastAsia="仿宋_GB2312"/>
          <w:sz w:val="32"/>
          <w:szCs w:val="32"/>
          <w:lang w:val="en-US" w:eastAsia="zh-CN"/>
        </w:rPr>
        <w:t>11858.28</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80.99</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32.9</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三亚市人力资源开发局</w:t>
      </w:r>
      <w:r>
        <w:rPr>
          <w:rFonts w:hint="eastAsia" w:ascii="黑体" w:hAnsi="黑体" w:eastAsia="黑体"/>
          <w:sz w:val="32"/>
          <w:szCs w:val="32"/>
          <w:lang w:val="en-US" w:eastAsia="zh-CN"/>
        </w:rPr>
        <w:t>2024年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三亚市人力资源开发局</w:t>
      </w:r>
      <w:r>
        <w:rPr>
          <w:rFonts w:hint="eastAsia" w:ascii="仿宋_GB2312" w:hAnsi="黑体" w:eastAsia="仿宋_GB2312" w:cs="仿宋_GB2312"/>
          <w:sz w:val="32"/>
          <w:szCs w:val="32"/>
          <w:lang w:val="en-US" w:eastAsia="zh-CN"/>
        </w:rPr>
        <w:t>2024年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3284.88</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社会保障和就业支出</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11858.28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99.05</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80.99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0.68</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32.9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0.27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1.社会保障和就业支出（类）人力资源和社会保障管理事务（款）行政运行（项）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316.56</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656.89</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340.33</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社会保障和就业支出（类）人力资源和社会保障管理事务（款）一般行政管理事务（项）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319.93</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270</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49.93</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社会保障和就业支出（类）人力资源和社会保障管理事务（款）就业管理事务（项）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5219.3</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2800</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2419.3</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三亚市引进人才住房租赁和购房补贴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31.94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28.5</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3.44</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社保基数增加</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91.97</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89.25</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1.72</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社保基数增加</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就业补助</w:t>
      </w:r>
      <w:r>
        <w:rPr>
          <w:rFonts w:hint="eastAsia" w:ascii="仿宋_GB2312" w:hAnsi="黑体" w:eastAsia="仿宋_GB2312" w:cs="仿宋_GB2312"/>
          <w:sz w:val="32"/>
          <w:szCs w:val="32"/>
        </w:rPr>
        <w:t>（款）就业创业服务补贴（项）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60.66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60.66</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社会保险补贴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5439.46</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453.87</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4985.59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就业见习补贴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344.73</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454.28减少</w:t>
      </w:r>
      <w:r>
        <w:rPr>
          <w:rFonts w:hint="eastAsia" w:ascii="仿宋_GB2312" w:hAnsi="黑体" w:eastAsia="仿宋_GB2312" w:cs="仿宋_GB2312"/>
          <w:sz w:val="32"/>
          <w:szCs w:val="32"/>
          <w:lang w:val="en-US" w:eastAsia="zh-CN"/>
        </w:rPr>
        <w:t>109.55</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其他就业补助支出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34.72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3823.08减少</w:t>
      </w:r>
      <w:r>
        <w:rPr>
          <w:rFonts w:hint="eastAsia" w:ascii="仿宋_GB2312" w:hAnsi="黑体" w:eastAsia="仿宋_GB2312" w:cs="仿宋_GB2312"/>
          <w:sz w:val="32"/>
          <w:szCs w:val="32"/>
          <w:lang w:val="en-US" w:eastAsia="zh-CN"/>
        </w:rPr>
        <w:t>3788.36</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预算收入统计口径变更</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rPr>
        <w:t>卫生健康支出（类）行政事业单位医疗（款）机关行政单位医疗（项）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13.57</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11.74</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1.83</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社保基数增加</w:t>
      </w:r>
      <w:r>
        <w:rPr>
          <w:rFonts w:hint="eastAsia" w:ascii="仿宋_GB2312" w:hAnsi="黑体" w:eastAsia="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67.42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65.37</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社保基数增加</w:t>
      </w:r>
      <w:r>
        <w:rPr>
          <w:rFonts w:hint="eastAsia" w:ascii="仿宋_GB2312" w:hAnsi="黑体" w:eastAsia="仿宋_GB2312"/>
          <w:sz w:val="32"/>
          <w:szCs w:val="32"/>
          <w:lang w:eastAsia="zh-CN"/>
        </w:rPr>
        <w:t>。</w:t>
      </w:r>
    </w:p>
    <w:p>
      <w:pPr>
        <w:numPr>
          <w:ilvl w:val="0"/>
          <w:numId w:val="0"/>
        </w:num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32.9</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30.44</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2.46</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公积金基数增加</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三亚市人力资源开发局</w:t>
      </w:r>
      <w:r>
        <w:rPr>
          <w:rFonts w:hint="eastAsia" w:ascii="黑体" w:hAnsi="黑体" w:eastAsia="黑体"/>
          <w:sz w:val="32"/>
          <w:szCs w:val="32"/>
          <w:lang w:val="en-US" w:eastAsia="zh-CN"/>
        </w:rPr>
        <w:t>2024年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三亚市人力资源开发局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553.36</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zCs w:val="32"/>
          <w:highlight w:val="none"/>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526.02</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highlight w:val="none"/>
        </w:rPr>
        <w:t>基本工资、津贴补贴、奖金、机关事业单位基本养老保险缴费</w:t>
      </w:r>
      <w:r>
        <w:rPr>
          <w:rFonts w:hint="eastAsia" w:ascii="Times New Roman" w:hAnsi="Times New Roman" w:eastAsia="仿宋_GB2312" w:cs="Times New Roman"/>
          <w:sz w:val="32"/>
          <w:szCs w:val="32"/>
          <w:highlight w:val="none"/>
          <w:lang w:eastAsia="zh-CN"/>
        </w:rPr>
        <w:t>、职工基本医疗保险缴费、公务员医疗补助缴费、其他社会保障缴费、住房公积金、医疗费、其他工资福利支出、邮电费、其他交通费用、奖励金</w:t>
      </w:r>
      <w:r>
        <w:rPr>
          <w:rFonts w:hint="default" w:ascii="Times New Roman" w:hAnsi="Times New Roman" w:eastAsia="仿宋_GB2312" w:cs="Times New Roman"/>
          <w:sz w:val="32"/>
          <w:szCs w:val="32"/>
          <w:highlight w:val="none"/>
        </w:rPr>
        <w:t>;</w:t>
      </w:r>
    </w:p>
    <w:p>
      <w:pPr>
        <w:ind w:firstLine="640" w:firstLineChars="200"/>
        <w:rPr>
          <w:rFonts w:ascii="Times New Roman" w:hAnsi="Times New Roman" w:eastAsia="仿宋_GB2312" w:cs="Times New Roman"/>
          <w:sz w:val="32"/>
          <w:szCs w:val="32"/>
          <w:highlight w:val="none"/>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27.34</w:t>
      </w:r>
      <w:r>
        <w:rPr>
          <w:rFonts w:hint="eastAsia" w:ascii="仿宋_GB2312" w:hAnsi="黑体" w:eastAsia="仿宋_GB2312"/>
          <w:sz w:val="32"/>
          <w:szCs w:val="32"/>
        </w:rPr>
        <w:t>万元，</w:t>
      </w:r>
      <w:r>
        <w:rPr>
          <w:rFonts w:hint="default" w:ascii="Times New Roman" w:hAnsi="Times New Roman" w:eastAsia="仿宋_GB2312" w:cs="Times New Roman"/>
          <w:sz w:val="32"/>
          <w:szCs w:val="32"/>
          <w:highlight w:val="none"/>
        </w:rPr>
        <w:t>其他社会保障缴费</w:t>
      </w:r>
      <w:r>
        <w:rPr>
          <w:rFonts w:hint="eastAsia" w:ascii="Times New Roman" w:hAnsi="Times New Roman" w:eastAsia="仿宋_GB2312" w:cs="Times New Roman"/>
          <w:sz w:val="32"/>
          <w:szCs w:val="32"/>
          <w:highlight w:val="none"/>
          <w:lang w:eastAsia="zh-CN"/>
        </w:rPr>
        <w:t>、办公费、培训费、工会经费、福利费、公务用车运行维护费、其他商品和服务支出、其他对个人和家庭的补助</w:t>
      </w:r>
      <w:r>
        <w:rPr>
          <w:rFonts w:hint="default" w:ascii="Times New Roman" w:hAnsi="Times New Roman" w:eastAsia="仿宋_GB2312" w:cs="Times New Roman"/>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三亚市人力资源开发局</w:t>
      </w:r>
      <w:r>
        <w:rPr>
          <w:rFonts w:hint="eastAsia" w:ascii="黑体" w:hAnsi="黑体" w:eastAsia="黑体" w:cs="Times New Roman"/>
          <w:sz w:val="32"/>
          <w:shd w:val="clear" w:color="auto" w:fill="FFFFFF"/>
          <w:lang w:val="en-US" w:eastAsia="zh-CN"/>
        </w:rPr>
        <w:t>2024年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三亚市人力资源开发局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6"/>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三亚市人力资源开发局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 xml:space="preserve"> </w:t>
      </w:r>
    </w:p>
    <w:p>
      <w:pPr>
        <w:ind w:firstLine="640" w:firstLineChars="20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万元</w:t>
      </w:r>
      <w:r>
        <w:rPr>
          <w:rFonts w:ascii="Times New Roman" w:hAnsi="Times New Roman" w:eastAsia="仿宋_GB2312" w:cs="Times New Roman"/>
          <w:sz w:val="32"/>
          <w:shd w:val="clear" w:color="auto" w:fill="FFFFFF"/>
        </w:rPr>
        <w:t>，与</w:t>
      </w:r>
      <w:r>
        <w:rPr>
          <w:rFonts w:hint="default"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default"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default" w:ascii="Times New Roman" w:hAnsi="Times New Roman" w:eastAsia="仿宋_GB2312" w:cs="Times New Roman"/>
          <w:sz w:val="32"/>
          <w:szCs w:val="22"/>
          <w:shd w:val="clear" w:color="auto" w:fill="FFFFFF"/>
          <w:lang w:val="en-US" w:eastAsia="zh-CN"/>
        </w:rPr>
        <w:t>2024</w:t>
      </w:r>
      <w:r>
        <w:rPr>
          <w:rFonts w:ascii="Times New Roman" w:hAnsi="Times New Roman" w:eastAsia="仿宋_GB2312" w:cs="Times New Roman"/>
          <w:sz w:val="32"/>
          <w:shd w:val="clear" w:color="auto" w:fill="FFFFFF"/>
        </w:rPr>
        <w:t>年出国计划，拟安排出国（境）</w:t>
      </w:r>
      <w:r>
        <w:rPr>
          <w:rFonts w:hint="default"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2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2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万元（其中，</w:t>
      </w:r>
      <w:r>
        <w:rPr>
          <w:rFonts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万元</w:t>
      </w:r>
      <w:r>
        <w:rPr>
          <w:rFonts w:hint="default"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default"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万元）</w:t>
      </w:r>
      <w:r>
        <w:rPr>
          <w:rFonts w:ascii="Times New Roman" w:hAnsi="Times New Roman" w:eastAsia="仿宋_GB2312" w:cs="Times New Roman"/>
          <w:sz w:val="32"/>
          <w:shd w:val="clear" w:color="auto" w:fill="FFFFFF"/>
        </w:rPr>
        <w:t>，与</w:t>
      </w:r>
      <w:r>
        <w:rPr>
          <w:rFonts w:hint="default"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辆，计划购置</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辆</w:t>
      </w:r>
      <w:r>
        <w:rPr>
          <w:rFonts w:hint="default" w:ascii="Times New Roman" w:hAnsi="Times New Roman" w:eastAsia="仿宋_GB2312" w:cs="Times New Roman"/>
          <w:sz w:val="32"/>
          <w:shd w:val="clear" w:color="auto" w:fill="FFFFFF"/>
        </w:rPr>
        <w:t>；</w:t>
      </w:r>
      <w:r>
        <w:rPr>
          <w:rFonts w:ascii="Times New Roman" w:hAnsi="Times New Roman" w:eastAsia="仿宋_GB2312" w:cs="Times New Roman"/>
          <w:sz w:val="32"/>
          <w:szCs w:val="22"/>
          <w:shd w:val="clear" w:color="auto" w:fill="FFFFFF"/>
        </w:rPr>
        <w:t>公务接待费</w:t>
      </w:r>
      <w:r>
        <w:rPr>
          <w:rFonts w:hint="default" w:ascii="Times New Roman" w:hAnsi="Times New Roman" w:eastAsia="仿宋_GB2312" w:cs="Times New Roman"/>
          <w:sz w:val="32"/>
          <w:szCs w:val="22"/>
          <w:shd w:val="clear" w:color="auto" w:fill="FFFFFF"/>
          <w:lang w:val="en-US" w:eastAsia="zh-CN"/>
        </w:rPr>
        <w:t>0</w:t>
      </w:r>
      <w:r>
        <w:rPr>
          <w:rFonts w:ascii="Times New Roman" w:hAnsi="Times New Roman" w:eastAsia="仿宋_GB2312" w:cs="Times New Roman"/>
          <w:sz w:val="32"/>
          <w:shd w:val="clear" w:color="auto" w:fill="FFFFFF"/>
        </w:rPr>
        <w:t>万元，与</w:t>
      </w:r>
      <w:r>
        <w:rPr>
          <w:rFonts w:hint="default"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批</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人</w:t>
      </w:r>
      <w:r>
        <w:rPr>
          <w:rFonts w:hint="default"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三亚市人力资源开发局</w:t>
      </w:r>
      <w:r>
        <w:rPr>
          <w:rFonts w:hint="eastAsia" w:ascii="黑体" w:hAnsi="黑体" w:eastAsia="黑体" w:cs="Times New Roman"/>
          <w:sz w:val="32"/>
          <w:shd w:val="clear" w:color="auto" w:fill="FFFFFF"/>
          <w:lang w:val="en-US" w:eastAsia="zh-CN"/>
        </w:rPr>
        <w:t>2024年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所有收入和支出均纳入部门预算管理。收入包括：一般公共预算收入；支出包括：</w:t>
      </w:r>
      <w:r>
        <w:rPr>
          <w:rFonts w:hint="default" w:ascii="Times New Roman" w:hAnsi="Times New Roman" w:eastAsia="仿宋_GB2312" w:cs="Times New Roman"/>
          <w:sz w:val="32"/>
          <w:szCs w:val="32"/>
          <w:highlight w:val="none"/>
          <w:lang w:eastAsia="zh-CN"/>
        </w:rPr>
        <w:t>社会保障和就业支出、卫生健康支出、住房保障支出</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11972.16</w:t>
      </w:r>
      <w:r>
        <w:rPr>
          <w:rFonts w:hint="default" w:ascii="Times New Roman" w:hAnsi="Times New Roman" w:eastAsia="仿宋_GB2312" w:cs="Times New Roman"/>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六</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三亚市人力资源开发局</w:t>
      </w:r>
      <w:r>
        <w:rPr>
          <w:rFonts w:hint="eastAsia" w:ascii="黑体" w:hAnsi="黑体" w:eastAsia="黑体" w:cs="Times New Roman"/>
          <w:sz w:val="32"/>
          <w:shd w:val="clear" w:color="auto" w:fill="FFFFFF"/>
          <w:lang w:val="en-US" w:eastAsia="zh-CN"/>
        </w:rPr>
        <w:t>2024年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三亚市人力资源开发局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327.57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11644.59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97.26</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8687.28</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3284.88</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就业补助资金</w:t>
      </w:r>
      <w:r>
        <w:rPr>
          <w:rFonts w:hint="eastAsia" w:ascii="Times New Roman" w:hAnsi="Times New Roman" w:eastAsia="仿宋_GB2312" w:cs="Times New Roman"/>
          <w:sz w:val="32"/>
          <w:szCs w:val="32"/>
          <w:highlight w:val="none"/>
          <w:lang w:eastAsia="zh-CN"/>
        </w:rPr>
        <w:t>及人才开发专项资金预算增加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七</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三亚市人力资源开发局</w:t>
      </w:r>
      <w:r>
        <w:rPr>
          <w:rFonts w:hint="eastAsia" w:ascii="黑体" w:hAnsi="黑体" w:eastAsia="黑体" w:cs="Times New Roman"/>
          <w:sz w:val="32"/>
          <w:shd w:val="clear" w:color="auto" w:fill="FFFFFF"/>
          <w:lang w:val="en-US" w:eastAsia="zh-CN"/>
        </w:rPr>
        <w:t>2024年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三亚市人力资源开发局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11972.16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553.36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11418.8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95.38</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8687.28</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3284.88</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就业补助资金</w:t>
      </w:r>
      <w:r>
        <w:rPr>
          <w:rFonts w:hint="eastAsia" w:ascii="Times New Roman" w:hAnsi="Times New Roman" w:eastAsia="仿宋_GB2312" w:cs="Times New Roman"/>
          <w:sz w:val="32"/>
          <w:szCs w:val="32"/>
          <w:highlight w:val="none"/>
          <w:lang w:eastAsia="zh-CN"/>
        </w:rPr>
        <w:t>及人才开发专项资金预算增加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2024年</w:t>
      </w:r>
      <w:r>
        <w:rPr>
          <w:rFonts w:hint="eastAsia" w:ascii="仿宋_GB2312" w:hAnsi="黑体" w:eastAsia="仿宋_GB2312"/>
          <w:sz w:val="32"/>
          <w:szCs w:val="32"/>
          <w:lang w:eastAsia="zh-CN"/>
        </w:rPr>
        <w:t>三亚市人力资源开发局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294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2024年</w:t>
      </w:r>
      <w:r>
        <w:rPr>
          <w:rFonts w:hint="eastAsia" w:ascii="仿宋_GB2312" w:hAnsi="黑体" w:eastAsia="仿宋_GB2312"/>
          <w:sz w:val="32"/>
          <w:szCs w:val="32"/>
          <w:lang w:eastAsia="zh-CN"/>
        </w:rPr>
        <w:t>三亚市人力资源开发局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38.96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38.96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年12月31日，</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本级及下属各预算单位共有车辆</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其中，机要通信应急用车</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2024年</w:t>
      </w:r>
      <w:r>
        <w:rPr>
          <w:rFonts w:hint="eastAsia" w:ascii="仿宋_GB2312" w:hAnsi="黑体" w:eastAsia="仿宋_GB2312"/>
          <w:sz w:val="32"/>
          <w:szCs w:val="32"/>
          <w:lang w:eastAsia="zh-CN"/>
        </w:rPr>
        <w:t>三亚市人力资源开发局</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11644.59</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1.人才开发专项资金，预算安排5000万元，主要用于发放引进人才住房租赁和购房补贴，绩效目标是按时发放率≥90%，补贴人次≥4000人次，引进人才政策知晓率≥80，引进人才满意度≥90。</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就业和三支一扶补助资金，预算安排5252万元，主要用于支付就业见习补贴、社保补贴、其他就业补助、创业补贴等就业补助资金规定支出项目，绩效目标是资金发放准时率≥90%，享受补贴人次≥10000人次，资金发放准确率=100%，就业困难人员政策知晓率≥90，满意度调查≥90。</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综合运行事务，预算安排294万元，主要为保证本单位工作正常开展及正常办理相关业务支出，绩效目标是开展职业培训≥7500人，农村劳动力转移就业≥6200人，就业困难人员就业人数≥1500人，城镇失业人员再就业人数≥4300人，城镇新增就业岗位≥45000个，群众满意度≥98%。</w:t>
      </w:r>
    </w:p>
    <w:p>
      <w:pPr>
        <w:numPr>
          <w:ilvl w:val="-1"/>
          <w:numId w:val="0"/>
        </w:numPr>
        <w:ind w:firstLine="640" w:firstLineChars="200"/>
        <w:rPr>
          <w:rFonts w:hint="default" w:ascii="仿宋_GB2312" w:hAnsi="黑体" w:eastAsia="仿宋_GB2312"/>
          <w:sz w:val="32"/>
          <w:szCs w:val="32"/>
          <w:lang w:val="en-US" w:eastAsia="zh-CN"/>
        </w:rPr>
      </w:pPr>
    </w:p>
    <w:p>
      <w:pPr>
        <w:numPr>
          <w:ilvl w:val="-1"/>
          <w:numId w:val="0"/>
        </w:numPr>
        <w:ind w:firstLine="640" w:firstLineChars="200"/>
        <w:rPr>
          <w:rFonts w:hint="default" w:ascii="仿宋_GB2312" w:hAnsi="黑体" w:eastAsia="仿宋_GB2312"/>
          <w:sz w:val="32"/>
          <w:szCs w:val="32"/>
          <w:lang w:val="en-US" w:eastAsia="zh-CN"/>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78E0A8"/>
    <w:multiLevelType w:val="singleLevel"/>
    <w:tmpl w:val="8978E0A8"/>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9D5DA33"/>
    <w:rsid w:val="1FBF8E30"/>
    <w:rsid w:val="2BDF0DC0"/>
    <w:rsid w:val="2FBE28E6"/>
    <w:rsid w:val="2FF7110D"/>
    <w:rsid w:val="2FFFCED3"/>
    <w:rsid w:val="32470E46"/>
    <w:rsid w:val="3AAD29AE"/>
    <w:rsid w:val="3F7FB4B5"/>
    <w:rsid w:val="3FAD4D11"/>
    <w:rsid w:val="3FD711E1"/>
    <w:rsid w:val="420109D2"/>
    <w:rsid w:val="4824065F"/>
    <w:rsid w:val="4FB80849"/>
    <w:rsid w:val="5DB7E539"/>
    <w:rsid w:val="66DACB0B"/>
    <w:rsid w:val="68726190"/>
    <w:rsid w:val="697BF56A"/>
    <w:rsid w:val="6B6CE30F"/>
    <w:rsid w:val="6C7F1319"/>
    <w:rsid w:val="6DDF74AC"/>
    <w:rsid w:val="6FAF0D8D"/>
    <w:rsid w:val="6FCFCADC"/>
    <w:rsid w:val="6FFA4FE6"/>
    <w:rsid w:val="75FB0B04"/>
    <w:rsid w:val="79F7B683"/>
    <w:rsid w:val="7C6771B5"/>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2024-03-06T03:07:34Z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woTemplateTypoMode" linkTarget="0">
    <vt:lpwstr>web</vt:lpwstr>
  </property>
  <property fmtid="{D5CDD505-2E9C-101B-9397-08002B2CF9AE}" pid="4" name="woTemplate" linkTarget="0">
    <vt:i4>1</vt:i4>
  </property>
</Properties>
</file>