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2024年三亚市供水排水水质监测和信息管理中心单位预算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28"/>
          <w:szCs w:val="28"/>
        </w:rPr>
      </w:pPr>
    </w:p>
    <w:p>
      <w:pPr>
        <w:rPr>
          <w:sz w:val="28"/>
          <w:szCs w:val="28"/>
        </w:rPr>
      </w:pPr>
    </w:p>
    <w:p>
      <w:pPr>
        <w:rPr>
          <w:sz w:val="28"/>
          <w:szCs w:val="28"/>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13"/>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单位机构设置</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bookmarkStart w:id="0" w:name="_GoBack"/>
      <w:bookmarkEnd w:id="0"/>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2024年三亚市供水排水水质监测和信息管理中心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numPr>
          <w:ilvl w:val="0"/>
          <w:numId w:val="1"/>
        </w:numPr>
        <w:jc w:val="left"/>
        <w:rPr>
          <w:rFonts w:ascii="黑体" w:hAnsi="黑体" w:eastAsia="黑体"/>
          <w:sz w:val="32"/>
          <w:szCs w:val="32"/>
        </w:rPr>
      </w:pPr>
      <w:r>
        <w:rPr>
          <w:rFonts w:hint="eastAsia" w:ascii="黑体" w:hAnsi="黑体" w:eastAsia="黑体"/>
          <w:sz w:val="32"/>
          <w:szCs w:val="32"/>
        </w:rPr>
        <w:t xml:space="preserve">  名词解释</w:t>
      </w:r>
    </w:p>
    <w:p>
      <w:pPr>
        <w:numPr>
          <w:ilvl w:val="0"/>
          <w:numId w:val="0"/>
        </w:numPr>
        <w:ind w:leftChars="0"/>
        <w:jc w:val="left"/>
        <w:rPr>
          <w:rFonts w:hint="eastAsia" w:ascii="黑体" w:hAnsi="黑体" w:eastAsia="黑体"/>
          <w:sz w:val="32"/>
          <w:szCs w:val="32"/>
        </w:rPr>
      </w:pPr>
    </w:p>
    <w:p>
      <w:pPr>
        <w:numPr>
          <w:ilvl w:val="0"/>
          <w:numId w:val="0"/>
        </w:numPr>
        <w:ind w:leftChars="0"/>
        <w:jc w:val="left"/>
        <w:rPr>
          <w:rFonts w:hint="eastAsia"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概况</w:t>
      </w: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负责制定与组织实施全市水资源、水环境、供水、排水等单位的年、季、月监测计划并发布水文、水质通报；</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负责全市原水系统（河道、水库、取水泵站等）的水质监测；负责监测城市排水设施的水量和水质，为城市排水管理提供有关监测数据和资料；</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负责对供水和污水处理企业运行体系的水质定期进行监督性监测，为供水和污水处理企业运营考核提供依据；</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负责全市主要河流、重点水域、排洪渠等水环境的水质监测；</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负责调查全市水资源、水环境安全突发事件，检测涉水的污染事故、投诉事件的水质，参与供排水事故调查；</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承担水质监测有关的科研、技术咨询和技术服务等工作；</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建设与完善水质监测数据库与信息系统；</w:t>
      </w:r>
    </w:p>
    <w:p>
      <w:pPr>
        <w:numPr>
          <w:ilvl w:val="0"/>
          <w:numId w:val="6"/>
        </w:numPr>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承办上级部门和领导交办的其他工作任务。 </w:t>
      </w:r>
    </w:p>
    <w:p>
      <w:pPr>
        <w:pStyle w:val="13"/>
        <w:numPr>
          <w:ilvl w:val="0"/>
          <w:numId w:val="0"/>
        </w:numPr>
        <w:ind w:leftChars="0"/>
        <w:jc w:val="left"/>
        <w:rPr>
          <w:rFonts w:ascii="黑体" w:hAnsi="黑体" w:eastAsia="黑体"/>
          <w:sz w:val="32"/>
          <w:szCs w:val="32"/>
        </w:rPr>
      </w:pPr>
      <w:r>
        <w:rPr>
          <w:rFonts w:hint="eastAsia" w:ascii="黑体" w:hAnsi="黑体" w:eastAsia="黑体"/>
          <w:sz w:val="32"/>
          <w:szCs w:val="32"/>
          <w:lang w:val="en-US" w:eastAsia="zh-CN"/>
        </w:rPr>
        <w:t>二、单位机构设置</w:t>
      </w:r>
    </w:p>
    <w:p>
      <w:pPr>
        <w:ind w:firstLine="800" w:firstLineChars="25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三亚市供水排水水质监测和信息管理中心</w:t>
      </w:r>
      <w:r>
        <w:rPr>
          <w:rFonts w:hint="eastAsia" w:ascii="仿宋_GB2312" w:hAnsi="黑体" w:eastAsia="仿宋_GB2312" w:cs="仿宋_GB2312"/>
          <w:sz w:val="32"/>
          <w:szCs w:val="32"/>
          <w:highlight w:val="none"/>
          <w:lang w:val="en-US" w:eastAsia="zh-CN"/>
        </w:rPr>
        <w:t>单位隶属于三亚市水务局，正科级。</w:t>
      </w:r>
      <w:r>
        <w:rPr>
          <w:rFonts w:hint="eastAsia" w:ascii="仿宋_GB2312" w:hAnsi="ˎ̥" w:eastAsia="仿宋_GB2312"/>
          <w:color w:val="000000"/>
          <w:sz w:val="32"/>
          <w:szCs w:val="32"/>
        </w:rPr>
        <w:t>单位核定财政全额预算管理事业编制人数</w:t>
      </w:r>
      <w:r>
        <w:rPr>
          <w:rFonts w:hint="eastAsia" w:ascii="仿宋_GB2312" w:hAnsi="ˎ̥" w:eastAsia="仿宋_GB2312"/>
          <w:color w:val="000000"/>
          <w:sz w:val="32"/>
          <w:szCs w:val="32"/>
          <w:lang w:val="en-US" w:eastAsia="zh-CN"/>
        </w:rPr>
        <w:t>9</w:t>
      </w:r>
      <w:r>
        <w:rPr>
          <w:rFonts w:hint="eastAsia" w:ascii="仿宋_GB2312" w:hAnsi="ˎ̥" w:eastAsia="仿宋_GB2312"/>
          <w:color w:val="000000"/>
          <w:sz w:val="32"/>
          <w:szCs w:val="32"/>
        </w:rPr>
        <w:t>名，其中，领导岗位</w:t>
      </w:r>
      <w:r>
        <w:rPr>
          <w:rFonts w:hint="eastAsia" w:ascii="仿宋_GB2312" w:hAnsi="ˎ̥" w:eastAsia="仿宋_GB2312"/>
          <w:color w:val="000000"/>
          <w:sz w:val="32"/>
          <w:szCs w:val="32"/>
          <w:lang w:val="en-US" w:eastAsia="zh-CN"/>
        </w:rPr>
        <w:t>3</w:t>
      </w:r>
      <w:r>
        <w:rPr>
          <w:rFonts w:hint="eastAsia" w:ascii="仿宋_GB2312" w:hAnsi="ˎ̥" w:eastAsia="仿宋_GB2312"/>
          <w:color w:val="000000"/>
          <w:sz w:val="32"/>
          <w:szCs w:val="32"/>
        </w:rPr>
        <w:t>人（正职</w:t>
      </w:r>
      <w:r>
        <w:rPr>
          <w:rFonts w:hint="eastAsia" w:ascii="仿宋_GB2312" w:hAnsi="ˎ̥" w:eastAsia="仿宋_GB2312"/>
          <w:color w:val="000000"/>
          <w:sz w:val="32"/>
          <w:szCs w:val="32"/>
          <w:lang w:val="en-US" w:eastAsia="zh-CN"/>
        </w:rPr>
        <w:t>1</w:t>
      </w:r>
      <w:r>
        <w:rPr>
          <w:rFonts w:hint="eastAsia" w:ascii="仿宋_GB2312" w:hAnsi="ˎ̥" w:eastAsia="仿宋_GB2312"/>
          <w:color w:val="000000"/>
          <w:sz w:val="32"/>
          <w:szCs w:val="32"/>
        </w:rPr>
        <w:t>人，副职</w:t>
      </w:r>
      <w:r>
        <w:rPr>
          <w:rFonts w:hint="eastAsia" w:ascii="仿宋_GB2312" w:hAnsi="ˎ̥" w:eastAsia="仿宋_GB2312"/>
          <w:color w:val="000000"/>
          <w:sz w:val="32"/>
          <w:szCs w:val="32"/>
          <w:lang w:val="en-US" w:eastAsia="zh-CN"/>
        </w:rPr>
        <w:t>2</w:t>
      </w:r>
      <w:r>
        <w:rPr>
          <w:rFonts w:hint="eastAsia" w:ascii="仿宋_GB2312" w:hAnsi="ˎ̥" w:eastAsia="仿宋_GB2312"/>
          <w:color w:val="000000"/>
          <w:sz w:val="32"/>
          <w:szCs w:val="32"/>
        </w:rPr>
        <w:t>人），其他管理岗位</w:t>
      </w:r>
      <w:r>
        <w:rPr>
          <w:rFonts w:hint="eastAsia" w:ascii="仿宋_GB2312" w:hAnsi="ˎ̥" w:eastAsia="仿宋_GB2312"/>
          <w:color w:val="000000"/>
          <w:sz w:val="32"/>
          <w:szCs w:val="32"/>
          <w:lang w:val="en-US" w:eastAsia="zh-CN"/>
        </w:rPr>
        <w:t>6</w:t>
      </w:r>
      <w:r>
        <w:rPr>
          <w:rFonts w:hint="eastAsia" w:ascii="仿宋_GB2312" w:hAnsi="ˎ̥" w:eastAsia="仿宋_GB2312"/>
          <w:color w:val="000000"/>
          <w:sz w:val="32"/>
          <w:szCs w:val="32"/>
        </w:rPr>
        <w:t>人，目前在编在岗</w:t>
      </w:r>
      <w:r>
        <w:rPr>
          <w:rFonts w:hint="eastAsia" w:ascii="仿宋_GB2312" w:hAnsi="ˎ̥" w:eastAsia="仿宋_GB2312"/>
          <w:color w:val="000000"/>
          <w:sz w:val="32"/>
          <w:szCs w:val="32"/>
          <w:lang w:val="en-US" w:eastAsia="zh-CN"/>
        </w:rPr>
        <w:t>7</w:t>
      </w:r>
      <w:r>
        <w:rPr>
          <w:rFonts w:hint="eastAsia" w:ascii="仿宋_GB2312" w:hAnsi="ˎ̥" w:eastAsia="仿宋_GB2312"/>
          <w:color w:val="000000"/>
          <w:sz w:val="32"/>
          <w:szCs w:val="32"/>
        </w:rPr>
        <w:t>人。</w:t>
      </w:r>
      <w:r>
        <w:rPr>
          <w:rFonts w:hint="eastAsia" w:ascii="仿宋_GB2312" w:hAnsi="黑体" w:eastAsia="仿宋_GB2312" w:cs="仿宋_GB2312"/>
          <w:sz w:val="32"/>
          <w:szCs w:val="32"/>
          <w:highlight w:val="none"/>
          <w:lang w:eastAsia="zh-CN"/>
        </w:rPr>
        <w:t>组织机构包括:</w:t>
      </w:r>
      <w:r>
        <w:rPr>
          <w:rFonts w:hint="eastAsia" w:ascii="仿宋_GB2312" w:hAnsi="黑体" w:eastAsia="仿宋_GB2312" w:cs="仿宋_GB2312"/>
          <w:sz w:val="32"/>
          <w:szCs w:val="32"/>
          <w:highlight w:val="none"/>
          <w:lang w:val="en-US" w:eastAsia="zh-CN"/>
        </w:rPr>
        <w:t>无</w:t>
      </w:r>
      <w:r>
        <w:rPr>
          <w:rFonts w:hint="eastAsia" w:ascii="仿宋_GB2312" w:hAnsi="黑体" w:eastAsia="仿宋_GB2312" w:cs="仿宋_GB2312"/>
          <w:sz w:val="32"/>
          <w:szCs w:val="32"/>
          <w:highlight w:val="none"/>
          <w:lang w:eastAsia="zh-CN"/>
        </w:rPr>
        <w:t>。内设职能部门具体为:</w:t>
      </w:r>
      <w:r>
        <w:rPr>
          <w:rFonts w:hint="eastAsia" w:ascii="仿宋_GB2312" w:hAnsi="黑体" w:eastAsia="仿宋_GB2312" w:cs="仿宋_GB2312"/>
          <w:sz w:val="32"/>
          <w:szCs w:val="32"/>
          <w:highlight w:val="none"/>
          <w:lang w:val="en-US" w:eastAsia="zh-CN"/>
        </w:rPr>
        <w:t>无</w:t>
      </w:r>
      <w:r>
        <w:rPr>
          <w:rFonts w:hint="eastAsia" w:ascii="仿宋_GB2312" w:hAnsi="黑体" w:eastAsia="仿宋_GB2312" w:cs="仿宋_GB2312"/>
          <w:sz w:val="32"/>
          <w:szCs w:val="32"/>
          <w:highlight w:val="none"/>
          <w:lang w:eastAsia="zh-CN"/>
        </w:rPr>
        <w:t>。</w:t>
      </w:r>
    </w:p>
    <w:p>
      <w:pPr>
        <w:numPr>
          <w:ilvl w:val="0"/>
          <w:numId w:val="7"/>
        </w:num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三亚市</w:t>
      </w:r>
      <w:r>
        <w:rPr>
          <w:rFonts w:hint="eastAsia" w:ascii="Times New Roman" w:hAnsi="Times New Roman" w:eastAsia="黑体" w:cs="Times New Roman"/>
          <w:sz w:val="32"/>
          <w:szCs w:val="32"/>
        </w:rPr>
        <w:t>供水排水水质监测和信息管理中心</w:t>
      </w:r>
      <w:r>
        <w:rPr>
          <w:rFonts w:hint="eastAsia" w:ascii="Times New Roman" w:hAnsi="Times New Roman" w:eastAsia="黑体" w:cs="Times New Roman"/>
          <w:sz w:val="32"/>
          <w:szCs w:val="32"/>
          <w:lang w:val="en-US" w:eastAsia="zh-CN"/>
        </w:rPr>
        <w:t>单位</w:t>
      </w:r>
      <w:r>
        <w:rPr>
          <w:rFonts w:ascii="Times New Roman" w:hAnsi="Times New Roman" w:eastAsia="黑体" w:cs="Times New Roman"/>
          <w:sz w:val="32"/>
          <w:szCs w:val="32"/>
        </w:rPr>
        <w:t>2024年预算表</w:t>
      </w:r>
    </w:p>
    <w:p>
      <w:pPr>
        <w:ind w:firstLine="480" w:firstLineChars="150"/>
        <w:jc w:val="left"/>
        <w:rPr>
          <w:rFonts w:ascii="黑体" w:hAnsi="黑体" w:eastAsia="黑体"/>
          <w:sz w:val="32"/>
          <w:szCs w:val="32"/>
        </w:rPr>
      </w:pPr>
      <w:r>
        <w:rPr>
          <w:rFonts w:hint="eastAsia" w:ascii="黑体" w:hAnsi="黑体" w:eastAsia="黑体"/>
          <w:sz w:val="32"/>
          <w:szCs w:val="32"/>
        </w:rPr>
        <w:t>第三部分 2024年三亚市供水排水水质监测和信息管理中心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2024年财政拨款收支预算情况的总体说明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2024</w:t>
      </w:r>
      <w:r>
        <w:rPr>
          <w:rFonts w:hint="eastAsia" w:ascii="仿宋_GB2312" w:hAnsi="黑体" w:eastAsia="仿宋_GB2312"/>
          <w:sz w:val="32"/>
          <w:szCs w:val="32"/>
        </w:rPr>
        <w:t>年财政拨款收支总预算</w:t>
      </w:r>
      <w:r>
        <w:rPr>
          <w:rFonts w:ascii="仿宋_GB2312" w:hAnsi="黑体" w:eastAsia="仿宋_GB2312" w:cs="仿宋_GB2312"/>
          <w:sz w:val="32"/>
          <w:szCs w:val="32"/>
        </w:rPr>
        <w:t>417.14</w:t>
      </w:r>
      <w:r>
        <w:rPr>
          <w:rFonts w:hint="eastAsia" w:ascii="仿宋_GB2312" w:hAnsi="黑体" w:eastAsia="仿宋_GB2312"/>
          <w:sz w:val="32"/>
          <w:szCs w:val="32"/>
        </w:rPr>
        <w:t>万元。其中，收入总计</w:t>
      </w:r>
      <w:r>
        <w:rPr>
          <w:rFonts w:ascii="仿宋_GB2312" w:hAnsi="黑体" w:eastAsia="仿宋_GB2312" w:cs="仿宋_GB2312"/>
          <w:sz w:val="32"/>
          <w:szCs w:val="32"/>
        </w:rPr>
        <w:t>417.14</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417.14</w:t>
      </w:r>
      <w:r>
        <w:rPr>
          <w:rFonts w:hint="eastAsia" w:ascii="仿宋_GB2312" w:hAnsi="黑体" w:eastAsia="仿宋_GB2312"/>
          <w:sz w:val="32"/>
          <w:szCs w:val="32"/>
        </w:rPr>
        <w:t>万元；支出总计</w:t>
      </w:r>
      <w:r>
        <w:rPr>
          <w:rFonts w:ascii="仿宋_GB2312" w:hAnsi="黑体" w:eastAsia="仿宋_GB2312" w:cs="仿宋_GB2312"/>
          <w:sz w:val="32"/>
          <w:szCs w:val="32"/>
        </w:rPr>
        <w:t>417.14</w:t>
      </w:r>
      <w:r>
        <w:rPr>
          <w:rFonts w:hint="eastAsia" w:ascii="仿宋_GB2312" w:hAnsi="黑体" w:eastAsia="仿宋_GB2312"/>
          <w:sz w:val="32"/>
          <w:szCs w:val="32"/>
        </w:rPr>
        <w:t>万元，包括社会保障和就业支出</w:t>
      </w:r>
      <w:r>
        <w:rPr>
          <w:rFonts w:ascii="仿宋_GB2312" w:hAnsi="黑体" w:eastAsia="仿宋_GB2312"/>
          <w:sz w:val="32"/>
          <w:szCs w:val="32"/>
        </w:rPr>
        <w:t>35.73</w:t>
      </w:r>
      <w:r>
        <w:rPr>
          <w:rFonts w:hint="eastAsia" w:ascii="仿宋_GB2312" w:hAnsi="黑体" w:eastAsia="仿宋_GB2312"/>
          <w:sz w:val="32"/>
          <w:szCs w:val="32"/>
        </w:rPr>
        <w:t>万元，卫生健康支出</w:t>
      </w:r>
      <w:r>
        <w:rPr>
          <w:rFonts w:ascii="仿宋_GB2312" w:hAnsi="黑体" w:eastAsia="仿宋_GB2312"/>
          <w:sz w:val="32"/>
          <w:szCs w:val="32"/>
        </w:rPr>
        <w:t>13.94</w:t>
      </w:r>
      <w:r>
        <w:rPr>
          <w:rFonts w:hint="eastAsia" w:ascii="仿宋_GB2312" w:hAnsi="黑体" w:eastAsia="仿宋_GB2312"/>
          <w:sz w:val="32"/>
          <w:szCs w:val="32"/>
        </w:rPr>
        <w:t>万元，农林水支出</w:t>
      </w:r>
      <w:r>
        <w:rPr>
          <w:rFonts w:ascii="仿宋_GB2312" w:hAnsi="黑体" w:eastAsia="仿宋_GB2312"/>
          <w:sz w:val="32"/>
          <w:szCs w:val="32"/>
        </w:rPr>
        <w:t>357.49</w:t>
      </w:r>
      <w:r>
        <w:rPr>
          <w:rFonts w:hint="eastAsia" w:ascii="仿宋_GB2312" w:hAnsi="黑体" w:eastAsia="仿宋_GB2312"/>
          <w:sz w:val="32"/>
          <w:szCs w:val="32"/>
        </w:rPr>
        <w:t>万元，住房保障支出</w:t>
      </w:r>
      <w:r>
        <w:rPr>
          <w:rFonts w:ascii="仿宋_GB2312" w:hAnsi="黑体" w:eastAsia="仿宋_GB2312"/>
          <w:sz w:val="32"/>
          <w:szCs w:val="32"/>
        </w:rPr>
        <w:t>9.99</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2024年一般公共预算当年拨款情况说明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2024</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4</w:t>
      </w:r>
      <w:r>
        <w:rPr>
          <w:rFonts w:hint="eastAsia" w:ascii="仿宋_GB2312" w:hAnsi="黑体" w:eastAsia="仿宋_GB2312" w:cs="仿宋_GB2312"/>
          <w:sz w:val="32"/>
          <w:szCs w:val="32"/>
        </w:rPr>
        <w:t>17.14</w:t>
      </w:r>
      <w:r>
        <w:rPr>
          <w:rFonts w:hint="eastAsia" w:ascii="仿宋_GB2312" w:hAnsi="黑体" w:eastAsia="仿宋_GB2312"/>
          <w:sz w:val="32"/>
          <w:szCs w:val="32"/>
        </w:rPr>
        <w:t>万元，比上年预算数增加10.15万元，主要是人员经费增加。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w:t>
      </w:r>
      <w:r>
        <w:rPr>
          <w:rFonts w:ascii="仿宋_GB2312" w:hAnsi="黑体" w:eastAsia="仿宋_GB2312"/>
          <w:sz w:val="32"/>
          <w:szCs w:val="32"/>
        </w:rPr>
        <w:t>35.73</w:t>
      </w:r>
      <w:r>
        <w:rPr>
          <w:rFonts w:hint="eastAsia" w:ascii="仿宋_GB2312" w:hAnsi="黑体" w:eastAsia="仿宋_GB2312"/>
          <w:sz w:val="32"/>
          <w:szCs w:val="32"/>
        </w:rPr>
        <w:t>万元，占</w:t>
      </w:r>
      <w:r>
        <w:rPr>
          <w:rFonts w:hint="eastAsia" w:ascii="仿宋_GB2312" w:hAnsi="黑体" w:eastAsia="仿宋_GB2312" w:cs="仿宋_GB2312"/>
          <w:sz w:val="32"/>
          <w:szCs w:val="32"/>
        </w:rPr>
        <w:t>8.57</w:t>
      </w:r>
      <w:r>
        <w:rPr>
          <w:rFonts w:hint="eastAsia" w:ascii="仿宋_GB2312" w:hAnsi="黑体" w:eastAsia="仿宋_GB2312"/>
          <w:sz w:val="32"/>
          <w:szCs w:val="32"/>
        </w:rPr>
        <w:t>%；卫生健康支出</w:t>
      </w:r>
      <w:r>
        <w:rPr>
          <w:rFonts w:ascii="仿宋_GB2312" w:hAnsi="黑体" w:eastAsia="仿宋_GB2312"/>
          <w:sz w:val="32"/>
          <w:szCs w:val="32"/>
        </w:rPr>
        <w:t>13.94</w:t>
      </w:r>
      <w:r>
        <w:rPr>
          <w:rFonts w:hint="eastAsia" w:ascii="仿宋_GB2312" w:hAnsi="黑体" w:eastAsia="仿宋_GB2312"/>
          <w:sz w:val="32"/>
          <w:szCs w:val="32"/>
        </w:rPr>
        <w:t>万元，占</w:t>
      </w:r>
      <w:r>
        <w:rPr>
          <w:rFonts w:hint="eastAsia" w:ascii="仿宋_GB2312" w:hAnsi="黑体" w:eastAsia="仿宋_GB2312" w:cs="仿宋_GB2312"/>
          <w:sz w:val="32"/>
          <w:szCs w:val="32"/>
        </w:rPr>
        <w:t>3.34</w:t>
      </w:r>
      <w:r>
        <w:rPr>
          <w:rFonts w:hint="eastAsia" w:ascii="仿宋_GB2312" w:hAnsi="黑体" w:eastAsia="仿宋_GB2312"/>
          <w:sz w:val="32"/>
          <w:szCs w:val="32"/>
        </w:rPr>
        <w:t>%；农林水支出</w:t>
      </w:r>
      <w:r>
        <w:rPr>
          <w:rFonts w:ascii="仿宋_GB2312" w:hAnsi="黑体" w:eastAsia="仿宋_GB2312"/>
          <w:sz w:val="32"/>
          <w:szCs w:val="32"/>
        </w:rPr>
        <w:t>357.49</w:t>
      </w:r>
      <w:r>
        <w:rPr>
          <w:rFonts w:hint="eastAsia" w:ascii="仿宋_GB2312" w:hAnsi="黑体" w:eastAsia="仿宋_GB2312"/>
          <w:sz w:val="32"/>
          <w:szCs w:val="32"/>
        </w:rPr>
        <w:t>万元，占</w:t>
      </w:r>
      <w:r>
        <w:rPr>
          <w:rFonts w:hint="eastAsia" w:ascii="仿宋_GB2312" w:hAnsi="黑体" w:eastAsia="仿宋_GB2312" w:cs="仿宋_GB2312"/>
          <w:sz w:val="32"/>
          <w:szCs w:val="32"/>
        </w:rPr>
        <w:t>85.7</w:t>
      </w:r>
      <w:r>
        <w:rPr>
          <w:rFonts w:hint="eastAsia" w:ascii="仿宋_GB2312" w:hAnsi="黑体" w:eastAsia="仿宋_GB2312"/>
          <w:sz w:val="32"/>
          <w:szCs w:val="32"/>
        </w:rPr>
        <w:t>%；住房保障支出</w:t>
      </w:r>
      <w:r>
        <w:rPr>
          <w:rFonts w:ascii="仿宋_GB2312" w:hAnsi="黑体" w:eastAsia="仿宋_GB2312"/>
          <w:sz w:val="32"/>
          <w:szCs w:val="32"/>
        </w:rPr>
        <w:t>9.99</w:t>
      </w:r>
      <w:r>
        <w:rPr>
          <w:rFonts w:hint="eastAsia" w:ascii="仿宋_GB2312" w:hAnsi="黑体" w:eastAsia="仿宋_GB2312"/>
          <w:sz w:val="32"/>
          <w:szCs w:val="32"/>
        </w:rPr>
        <w:t>万元，占</w:t>
      </w:r>
      <w:r>
        <w:rPr>
          <w:rFonts w:hint="eastAsia" w:ascii="仿宋_GB2312" w:hAnsi="黑体" w:eastAsia="仿宋_GB2312" w:cs="仿宋_GB2312"/>
          <w:sz w:val="32"/>
          <w:szCs w:val="32"/>
        </w:rPr>
        <w:t>2.39</w:t>
      </w:r>
      <w:r>
        <w:rPr>
          <w:rFonts w:hint="eastAsia" w:ascii="仿宋_GB2312" w:hAnsi="黑体" w:eastAsia="仿宋_GB2312"/>
          <w:sz w:val="32"/>
          <w:szCs w:val="32"/>
        </w:rPr>
        <w:t>%</w:t>
      </w:r>
      <w:r>
        <w:rPr>
          <w:rFonts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1.社会保障和就业支出（类）行政事业单位养老支出（款）机关事业单位基本养老保险缴费支出（项）2024年预算数为</w:t>
      </w:r>
      <w:r>
        <w:rPr>
          <w:rFonts w:ascii="仿宋_GB2312" w:hAnsi="黑体" w:eastAsia="仿宋_GB2312" w:cs="仿宋_GB2312"/>
          <w:sz w:val="32"/>
          <w:szCs w:val="32"/>
        </w:rPr>
        <w:t>12.74</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增加2.12</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2.社会保障和就业支出（类）行政事业单位养老支出（款）机关事业单位职业年金缴费支出（项）2024年预算数为</w:t>
      </w:r>
      <w:r>
        <w:rPr>
          <w:rFonts w:ascii="仿宋_GB2312" w:hAnsi="黑体" w:eastAsia="仿宋_GB2312" w:cs="仿宋_GB2312"/>
          <w:sz w:val="32"/>
          <w:szCs w:val="32"/>
        </w:rPr>
        <w:t>22.98</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增加3.92</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r>
        <w:rPr>
          <w:rFonts w:ascii="Times New Roman" w:hAnsi="Times New Roman" w:eastAsia="仿宋_GB2312" w:cs="Times New Roman"/>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3.卫生健康支出（类）行政事业单位医疗（款）事业单位医疗（项）2024年预算数为</w:t>
      </w:r>
      <w:r>
        <w:rPr>
          <w:rFonts w:ascii="仿宋_GB2312" w:hAnsi="黑体" w:eastAsia="仿宋_GB2312" w:cs="仿宋_GB2312"/>
          <w:sz w:val="32"/>
          <w:szCs w:val="32"/>
        </w:rPr>
        <w:t>5.62</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增加1.16</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r>
        <w:rPr>
          <w:rFonts w:ascii="Times New Roman" w:hAnsi="Times New Roman" w:eastAsia="仿宋_GB2312" w:cs="Times New Roman"/>
          <w:sz w:val="32"/>
          <w:szCs w:val="32"/>
        </w:rPr>
        <w:t>。</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4.卫生健康支出</w:t>
      </w:r>
      <w:r>
        <w:rPr>
          <w:rFonts w:hint="eastAsia" w:ascii="仿宋_GB2312" w:hAnsi="黑体" w:eastAsia="仿宋_GB2312" w:cs="仿宋_GB2312"/>
          <w:sz w:val="32"/>
          <w:szCs w:val="32"/>
        </w:rPr>
        <w:t>（类）</w:t>
      </w:r>
      <w:r>
        <w:rPr>
          <w:rFonts w:hint="eastAsia" w:ascii="仿宋_GB2312" w:hAnsi="黑体" w:eastAsia="仿宋_GB2312"/>
          <w:sz w:val="32"/>
          <w:szCs w:val="32"/>
        </w:rPr>
        <w:t>行政事业单位医疗</w:t>
      </w:r>
      <w:r>
        <w:rPr>
          <w:rFonts w:hint="eastAsia" w:ascii="仿宋_GB2312" w:hAnsi="黑体" w:eastAsia="仿宋_GB2312" w:cs="仿宋_GB2312"/>
          <w:sz w:val="32"/>
          <w:szCs w:val="32"/>
        </w:rPr>
        <w:t>（款）</w:t>
      </w:r>
      <w:r>
        <w:rPr>
          <w:rFonts w:hint="eastAsia" w:ascii="仿宋_GB2312" w:hAnsi="黑体" w:eastAsia="仿宋_GB2312"/>
          <w:sz w:val="32"/>
          <w:szCs w:val="32"/>
        </w:rPr>
        <w:t>公务员医疗补助</w:t>
      </w:r>
      <w:r>
        <w:rPr>
          <w:rFonts w:hint="eastAsia" w:ascii="仿宋_GB2312" w:hAnsi="黑体" w:eastAsia="仿宋_GB2312" w:cs="仿宋_GB2312"/>
          <w:sz w:val="32"/>
          <w:szCs w:val="32"/>
        </w:rPr>
        <w:t>（项）</w:t>
      </w:r>
      <w:r>
        <w:rPr>
          <w:rFonts w:hint="eastAsia" w:ascii="仿宋_GB2312" w:hAnsi="黑体" w:eastAsia="仿宋_GB2312"/>
          <w:sz w:val="32"/>
          <w:szCs w:val="32"/>
        </w:rPr>
        <w:t>2024年预算数</w:t>
      </w:r>
      <w:r>
        <w:rPr>
          <w:rFonts w:ascii="仿宋_GB2312" w:hAnsi="黑体" w:eastAsia="仿宋_GB2312"/>
          <w:sz w:val="32"/>
          <w:szCs w:val="32"/>
        </w:rPr>
        <w:t>8.32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减少7.26</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p>
    <w:p>
      <w:pPr>
        <w:numPr>
          <w:ilvl w:val="255"/>
          <w:numId w:val="0"/>
        </w:numPr>
        <w:ind w:firstLine="640" w:firstLineChars="200"/>
        <w:rPr>
          <w:rFonts w:ascii="仿宋_GB2312" w:hAnsi="黑体" w:eastAsia="仿宋_GB2312"/>
          <w:sz w:val="32"/>
          <w:szCs w:val="32"/>
        </w:rPr>
      </w:pPr>
      <w:r>
        <w:rPr>
          <w:rFonts w:hint="eastAsia" w:ascii="仿宋_GB2312" w:hAnsi="黑体" w:eastAsia="仿宋_GB2312"/>
          <w:sz w:val="32"/>
          <w:szCs w:val="32"/>
        </w:rPr>
        <w:t>5.农林水支出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水利行业业务管理</w:t>
      </w:r>
      <w:r>
        <w:rPr>
          <w:rFonts w:hint="eastAsia" w:ascii="仿宋_GB2312" w:hAnsi="黑体" w:eastAsia="仿宋_GB2312" w:cs="仿宋_GB2312"/>
          <w:sz w:val="32"/>
          <w:szCs w:val="32"/>
        </w:rPr>
        <w:t>（项）</w:t>
      </w:r>
      <w:r>
        <w:rPr>
          <w:rFonts w:hint="eastAsia" w:ascii="仿宋_GB2312" w:hAnsi="黑体" w:eastAsia="仿宋_GB2312"/>
          <w:sz w:val="32"/>
          <w:szCs w:val="32"/>
        </w:rPr>
        <w:t>2024年预算数</w:t>
      </w:r>
      <w:r>
        <w:rPr>
          <w:rFonts w:ascii="仿宋_GB2312" w:hAnsi="黑体" w:eastAsia="仿宋_GB2312"/>
          <w:sz w:val="32"/>
          <w:szCs w:val="32"/>
        </w:rPr>
        <w:t>20.00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Times New Roman" w:hAnsi="Times New Roman" w:eastAsia="仿宋_GB2312" w:cs="Times New Roman"/>
          <w:sz w:val="32"/>
          <w:szCs w:val="32"/>
        </w:rPr>
        <w:t>。</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6.农林水支出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水质监测</w:t>
      </w:r>
      <w:r>
        <w:rPr>
          <w:rFonts w:hint="eastAsia" w:ascii="仿宋_GB2312" w:hAnsi="黑体" w:eastAsia="仿宋_GB2312" w:cs="仿宋_GB2312"/>
          <w:sz w:val="32"/>
          <w:szCs w:val="32"/>
        </w:rPr>
        <w:t>（项）</w:t>
      </w:r>
      <w:r>
        <w:rPr>
          <w:rFonts w:hint="eastAsia" w:ascii="仿宋_GB2312" w:hAnsi="黑体" w:eastAsia="仿宋_GB2312"/>
          <w:sz w:val="32"/>
          <w:szCs w:val="32"/>
        </w:rPr>
        <w:t>2024年预算数</w:t>
      </w:r>
      <w:r>
        <w:rPr>
          <w:rFonts w:ascii="仿宋_GB2312" w:hAnsi="黑体" w:eastAsia="仿宋_GB2312"/>
          <w:sz w:val="32"/>
          <w:szCs w:val="32"/>
        </w:rPr>
        <w:t>247.49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增加9.32</w:t>
      </w:r>
      <w:r>
        <w:rPr>
          <w:rFonts w:hint="eastAsia" w:ascii="仿宋_GB2312" w:hAnsi="黑体" w:eastAsia="仿宋_GB2312"/>
          <w:sz w:val="32"/>
          <w:szCs w:val="32"/>
        </w:rPr>
        <w:t>万元，主要是增加水质检测费用。</w:t>
      </w:r>
    </w:p>
    <w:p>
      <w:pPr>
        <w:numPr>
          <w:ilvl w:val="255"/>
          <w:numId w:val="0"/>
        </w:num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7</w:t>
      </w:r>
      <w:r>
        <w:rPr>
          <w:rFonts w:ascii="仿宋_GB2312" w:hAnsi="黑体" w:eastAsia="仿宋_GB2312"/>
          <w:sz w:val="32"/>
          <w:szCs w:val="32"/>
        </w:rPr>
        <w:t>.</w:t>
      </w:r>
      <w:r>
        <w:rPr>
          <w:rFonts w:hint="eastAsia" w:ascii="仿宋_GB2312" w:hAnsi="黑体" w:eastAsia="仿宋_GB2312"/>
          <w:sz w:val="32"/>
          <w:szCs w:val="32"/>
        </w:rPr>
        <w:t>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信息管理</w:t>
      </w:r>
      <w:r>
        <w:rPr>
          <w:rFonts w:hint="eastAsia" w:ascii="仿宋_GB2312" w:hAnsi="黑体" w:eastAsia="仿宋_GB2312" w:cs="仿宋_GB2312"/>
          <w:sz w:val="32"/>
          <w:szCs w:val="32"/>
        </w:rPr>
        <w:t>（项）</w:t>
      </w:r>
      <w:r>
        <w:rPr>
          <w:rFonts w:hint="eastAsia" w:ascii="仿宋_GB2312" w:hAnsi="黑体" w:eastAsia="仿宋_GB2312"/>
          <w:sz w:val="32"/>
          <w:szCs w:val="32"/>
        </w:rPr>
        <w:t>2024年预算数90万元，与上年预算数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8.住房保障支出（类）住房改革支出（款）住房公积金（项）2024年预算数9.99万元，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增加0.89</w:t>
      </w:r>
      <w:r>
        <w:rPr>
          <w:rFonts w:hint="eastAsia" w:ascii="仿宋_GB2312" w:hAnsi="黑体" w:eastAsia="仿宋_GB2312"/>
          <w:sz w:val="32"/>
          <w:szCs w:val="32"/>
        </w:rPr>
        <w:t>万元，主要是基数变动</w:t>
      </w:r>
      <w:r>
        <w:rPr>
          <w:rFonts w:hint="eastAsia" w:ascii="Times New Roman" w:hAnsi="Times New Roman" w:eastAsia="仿宋_GB2312" w:cs="Times New Roman"/>
          <w:sz w:val="32"/>
          <w:szCs w:val="32"/>
        </w:rPr>
        <w:t>所导致</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2024年一般公共预算基本支出情况说明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2024</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157.14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148.67</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和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8.47</w:t>
      </w:r>
      <w:r>
        <w:rPr>
          <w:rFonts w:hint="eastAsia" w:ascii="仿宋_GB2312" w:hAnsi="黑体" w:eastAsia="仿宋_GB2312"/>
          <w:sz w:val="32"/>
          <w:szCs w:val="32"/>
        </w:rPr>
        <w:t>万元，主要包括：其他社会保障缴费、办公费、会议费、培训费、工会经费、福利费、其他商品和服务支出。</w:t>
      </w:r>
    </w:p>
    <w:p>
      <w:pPr>
        <w:numPr>
          <w:ilvl w:val="0"/>
          <w:numId w:val="8"/>
        </w:numPr>
        <w:ind w:firstLine="640" w:firstLineChars="200"/>
        <w:rPr>
          <w:rFonts w:ascii="黑体" w:hAnsi="黑体" w:eastAsia="黑体" w:cs="Times New Roman"/>
          <w:sz w:val="32"/>
          <w:shd w:val="clear" w:color="auto" w:fill="FFFFFF"/>
        </w:rPr>
      </w:pPr>
      <w:r>
        <w:rPr>
          <w:rFonts w:hint="eastAsia" w:ascii="黑体" w:hAnsi="黑体" w:eastAsia="黑体"/>
          <w:sz w:val="32"/>
          <w:szCs w:val="32"/>
        </w:rPr>
        <w:t>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2024年“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（一）三亚市供水排水水质监测和信息管理中心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2024年一般公共预算“三公”经费预算数为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出国（境）团组</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（二）三亚市供水排水水质监测和信息管理中心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2024年政府性基金预算“三公”经费预算数为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2024</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无</w:t>
      </w:r>
      <w:r>
        <w:rPr>
          <w:rFonts w:ascii="Times New Roman" w:hAnsi="Times New Roman" w:eastAsia="仿宋_GB2312" w:cs="Times New Roman"/>
          <w:sz w:val="32"/>
          <w:shd w:val="clear" w:color="auto" w:fill="FFFFFF"/>
        </w:rPr>
        <w:t>出国（境）团组；公务用车购置及运行费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0；公务车保有量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三亚市供水排水水质监测和信息管理中心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2024年政府性基金预算当年拨款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仿宋_GB2312" w:hAnsi="黑体" w:eastAsia="仿宋_GB2312" w:cs="仿宋_GB2312"/>
          <w:sz w:val="32"/>
          <w:szCs w:val="32"/>
        </w:rPr>
        <w:t>社会保障和就业支出（类）行政事业单位养老支出（款）机关事业单位基本养老保险缴费支出</w:t>
      </w:r>
      <w:r>
        <w:rPr>
          <w:rFonts w:ascii="Times New Roman" w:hAnsi="Times New Roman" w:eastAsia="仿宋_GB2312" w:cs="Times New Roman"/>
          <w:sz w:val="32"/>
          <w:szCs w:val="32"/>
        </w:rPr>
        <w:t>（项）202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上年预算</w:t>
      </w:r>
      <w:r>
        <w:rPr>
          <w:rFonts w:hint="eastAsia" w:ascii="Times New Roman" w:hAnsi="Times New Roman" w:eastAsia="仿宋_GB2312" w:cs="Times New Roman"/>
          <w:sz w:val="32"/>
          <w:szCs w:val="32"/>
        </w:rPr>
        <w:t>持平0万元</w:t>
      </w:r>
      <w:r>
        <w:rPr>
          <w:rFonts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 xml:space="preserve">. </w:t>
      </w:r>
      <w:r>
        <w:rPr>
          <w:rFonts w:hint="eastAsia" w:ascii="仿宋_GB2312" w:hAnsi="黑体" w:eastAsia="仿宋_GB2312" w:cs="仿宋_GB2312"/>
          <w:sz w:val="32"/>
          <w:szCs w:val="32"/>
        </w:rPr>
        <w:t>社会保障和就业支出（类）行政事业单位养老支出（款）机关事业单位职业年金缴费支出（项）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rPr>
        <w:t>持平0</w:t>
      </w:r>
      <w:r>
        <w:rPr>
          <w:rFonts w:ascii="Times New Roman" w:hAnsi="Times New Roman" w:eastAsia="仿宋_GB2312" w:cs="Times New Roman"/>
          <w:sz w:val="32"/>
          <w:szCs w:val="32"/>
        </w:rPr>
        <w:t>万元。</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 xml:space="preserve">. </w:t>
      </w:r>
      <w:r>
        <w:rPr>
          <w:rFonts w:hint="eastAsia" w:ascii="仿宋_GB2312" w:hAnsi="黑体" w:eastAsia="仿宋_GB2312" w:cs="仿宋_GB2312"/>
          <w:sz w:val="32"/>
          <w:szCs w:val="32"/>
        </w:rPr>
        <w:t>卫生健康支出（类）行政事业单位医疗（款）事业单位医疗（项）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rPr>
        <w:t>持平0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 xml:space="preserve">. </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w:t>
      </w:r>
      <w:r>
        <w:rPr>
          <w:rFonts w:hint="eastAsia" w:ascii="仿宋_GB2312" w:hAnsi="黑体" w:eastAsia="仿宋_GB2312"/>
          <w:sz w:val="32"/>
          <w:szCs w:val="32"/>
        </w:rPr>
        <w:t>行政事业单位医疗</w:t>
      </w:r>
      <w:r>
        <w:rPr>
          <w:rFonts w:hint="eastAsia" w:ascii="仿宋_GB2312" w:hAnsi="黑体" w:eastAsia="仿宋_GB2312" w:cs="仿宋_GB2312"/>
          <w:sz w:val="32"/>
          <w:szCs w:val="32"/>
        </w:rPr>
        <w:t>（款）</w:t>
      </w:r>
      <w:r>
        <w:rPr>
          <w:rFonts w:hint="eastAsia" w:ascii="仿宋_GB2312" w:hAnsi="黑体" w:eastAsia="仿宋_GB2312"/>
          <w:sz w:val="32"/>
          <w:szCs w:val="32"/>
        </w:rPr>
        <w:t>公务员医疗补助</w:t>
      </w:r>
      <w:r>
        <w:rPr>
          <w:rFonts w:hint="eastAsia" w:ascii="仿宋_GB2312" w:hAnsi="黑体" w:eastAsia="仿宋_GB2312" w:cs="仿宋_GB2312"/>
          <w:sz w:val="32"/>
          <w:szCs w:val="32"/>
        </w:rPr>
        <w:t>（项）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rPr>
        <w:t>持平0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 xml:space="preserve">. </w:t>
      </w:r>
      <w:r>
        <w:rPr>
          <w:rFonts w:hint="eastAsia" w:ascii="仿宋_GB2312" w:hAnsi="黑体" w:eastAsia="仿宋_GB2312"/>
          <w:sz w:val="32"/>
          <w:szCs w:val="32"/>
        </w:rPr>
        <w:t>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水利行业业务管理</w:t>
      </w:r>
      <w:r>
        <w:rPr>
          <w:rFonts w:hint="eastAsia" w:ascii="仿宋_GB2312" w:hAnsi="黑体" w:eastAsia="仿宋_GB2312" w:cs="仿宋_GB2312"/>
          <w:sz w:val="32"/>
          <w:szCs w:val="32"/>
        </w:rPr>
        <w:t>（项）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rPr>
        <w:t>持平0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 xml:space="preserve">. </w:t>
      </w:r>
      <w:r>
        <w:rPr>
          <w:rFonts w:hint="eastAsia" w:ascii="仿宋_GB2312" w:hAnsi="黑体" w:eastAsia="仿宋_GB2312"/>
          <w:sz w:val="32"/>
          <w:szCs w:val="32"/>
        </w:rPr>
        <w:t>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水质监测</w:t>
      </w:r>
      <w:r>
        <w:rPr>
          <w:rFonts w:hint="eastAsia" w:ascii="仿宋_GB2312" w:hAnsi="黑体" w:eastAsia="仿宋_GB2312" w:cs="仿宋_GB2312"/>
          <w:sz w:val="32"/>
          <w:szCs w:val="32"/>
        </w:rPr>
        <w:t>（项）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rPr>
        <w:t>持平0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 xml:space="preserve">. </w:t>
      </w:r>
      <w:r>
        <w:rPr>
          <w:rFonts w:hint="eastAsia" w:ascii="仿宋_GB2312" w:hAnsi="黑体" w:eastAsia="仿宋_GB2312"/>
          <w:sz w:val="32"/>
          <w:szCs w:val="32"/>
        </w:rPr>
        <w:t>农林水支出</w:t>
      </w:r>
      <w:r>
        <w:rPr>
          <w:rFonts w:hint="eastAsia" w:ascii="仿宋_GB2312" w:hAnsi="黑体" w:eastAsia="仿宋_GB2312" w:cs="仿宋_GB2312"/>
          <w:sz w:val="32"/>
          <w:szCs w:val="32"/>
        </w:rPr>
        <w:t>（类）</w:t>
      </w:r>
      <w:r>
        <w:rPr>
          <w:rFonts w:hint="eastAsia" w:ascii="仿宋_GB2312" w:hAnsi="黑体" w:eastAsia="仿宋_GB2312"/>
          <w:sz w:val="32"/>
          <w:szCs w:val="32"/>
        </w:rPr>
        <w:t>水利</w:t>
      </w:r>
      <w:r>
        <w:rPr>
          <w:rFonts w:hint="eastAsia" w:ascii="仿宋_GB2312" w:hAnsi="黑体" w:eastAsia="仿宋_GB2312" w:cs="仿宋_GB2312"/>
          <w:sz w:val="32"/>
          <w:szCs w:val="32"/>
        </w:rPr>
        <w:t>（款）</w:t>
      </w:r>
      <w:r>
        <w:rPr>
          <w:rFonts w:hint="eastAsia" w:ascii="仿宋_GB2312" w:hAnsi="黑体" w:eastAsia="仿宋_GB2312"/>
          <w:sz w:val="32"/>
          <w:szCs w:val="32"/>
        </w:rPr>
        <w:t>信息管理</w:t>
      </w:r>
      <w:r>
        <w:rPr>
          <w:rFonts w:hint="eastAsia" w:ascii="仿宋_GB2312" w:hAnsi="黑体" w:eastAsia="仿宋_GB2312" w:cs="仿宋_GB2312"/>
          <w:sz w:val="32"/>
          <w:szCs w:val="32"/>
        </w:rPr>
        <w:t>（项）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rPr>
        <w:t>持平0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 xml:space="preserve">. </w:t>
      </w:r>
      <w:r>
        <w:rPr>
          <w:rFonts w:hint="eastAsia" w:ascii="仿宋_GB2312" w:hAnsi="黑体" w:eastAsia="仿宋_GB2312" w:cs="仿宋_GB2312"/>
          <w:sz w:val="32"/>
          <w:szCs w:val="32"/>
        </w:rPr>
        <w:t>住房保障支出（类）住房改革支出（款）住房公积金（项）</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上年预算数</w:t>
      </w:r>
      <w:r>
        <w:rPr>
          <w:rFonts w:hint="eastAsia" w:ascii="Times New Roman" w:hAnsi="Times New Roman" w:eastAsia="仿宋_GB2312" w:cs="Times New Roman"/>
          <w:sz w:val="32"/>
          <w:szCs w:val="32"/>
        </w:rPr>
        <w:t>持平0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pPr>
        <w:ind w:firstLine="640" w:firstLineChars="200"/>
        <w:rPr>
          <w:rFonts w:ascii="黑体" w:hAnsi="黑体" w:eastAsia="黑体" w:cs="Times New Roman"/>
          <w:color w:val="FF0000"/>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2024年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按照综合预算原则，三亚市供水排水水质监测和信息管理中心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sz w:val="32"/>
          <w:szCs w:val="32"/>
        </w:rPr>
        <w:t>；支出包括：社会保障和就业支出，卫生健康支出，农林水支出，住房保障支出。</w:t>
      </w:r>
      <w:r>
        <w:rPr>
          <w:rFonts w:hint="eastAsia" w:ascii="仿宋_GB2312" w:hAnsi="黑体" w:eastAsia="仿宋_GB2312" w:cs="仿宋_GB2312"/>
          <w:sz w:val="32"/>
          <w:szCs w:val="32"/>
        </w:rPr>
        <w:t>三亚市供水排水水质监测和信息管理中心2024</w:t>
      </w:r>
      <w:r>
        <w:rPr>
          <w:rFonts w:hint="eastAsia" w:ascii="仿宋_GB2312" w:hAnsi="黑体" w:eastAsia="仿宋_GB2312"/>
          <w:sz w:val="32"/>
          <w:szCs w:val="32"/>
        </w:rPr>
        <w:t>年收支总预算</w:t>
      </w:r>
      <w:r>
        <w:rPr>
          <w:rFonts w:ascii="仿宋_GB2312" w:hAnsi="黑体" w:eastAsia="仿宋_GB2312" w:cs="仿宋_GB2312"/>
          <w:sz w:val="32"/>
          <w:szCs w:val="32"/>
        </w:rPr>
        <w:t>417.14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2024年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2024</w:t>
      </w:r>
      <w:r>
        <w:rPr>
          <w:rFonts w:hint="eastAsia" w:ascii="仿宋_GB2312" w:hAnsi="黑体" w:eastAsia="仿宋_GB2312"/>
          <w:sz w:val="32"/>
          <w:szCs w:val="32"/>
        </w:rPr>
        <w:t>年收入预算</w:t>
      </w:r>
      <w:r>
        <w:rPr>
          <w:rFonts w:ascii="仿宋_GB2312" w:hAnsi="黑体" w:eastAsia="仿宋_GB2312" w:cs="仿宋_GB2312"/>
          <w:sz w:val="32"/>
          <w:szCs w:val="32"/>
        </w:rPr>
        <w:t>417.14</w:t>
      </w:r>
      <w:r>
        <w:rPr>
          <w:rFonts w:hint="eastAsia" w:ascii="仿宋_GB2312" w:hAnsi="黑体" w:eastAsia="仿宋_GB2312"/>
          <w:sz w:val="32"/>
          <w:szCs w:val="32"/>
        </w:rPr>
        <w:t>万元，其中：</w:t>
      </w:r>
      <w:r>
        <w:rPr>
          <w:rFonts w:hint="eastAsia" w:ascii="仿宋_GB2312" w:hAnsi="黑体" w:eastAsia="仿宋_GB2312" w:cs="仿宋_GB2312"/>
          <w:sz w:val="32"/>
          <w:szCs w:val="32"/>
        </w:rPr>
        <w:t>一般公共预算拨款收入</w:t>
      </w:r>
      <w:r>
        <w:rPr>
          <w:rFonts w:ascii="仿宋_GB2312" w:hAnsi="黑体" w:eastAsia="仿宋_GB2312"/>
          <w:sz w:val="32"/>
          <w:szCs w:val="32"/>
        </w:rPr>
        <w:t>417.14</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%。比上年预算数增加10.15万元，主要是增加人员经费。</w:t>
      </w:r>
    </w:p>
    <w:p>
      <w:pPr>
        <w:ind w:firstLine="640" w:firstLineChars="200"/>
        <w:rPr>
          <w:rFonts w:ascii="仿宋_GB2312" w:hAnsi="黑体" w:eastAsia="仿宋_GB2312" w:cs="仿宋_GB2312"/>
          <w:sz w:val="32"/>
          <w:szCs w:val="32"/>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三亚市供水排水水质监测和信息管理中心</w:t>
      </w:r>
      <w:r>
        <w:rPr>
          <w:rFonts w:hint="eastAsia" w:ascii="黑体" w:hAnsi="黑体" w:eastAsia="黑体"/>
          <w:sz w:val="32"/>
          <w:szCs w:val="32"/>
          <w:lang w:val="en-US" w:eastAsia="zh-CN"/>
        </w:rPr>
        <w:t>单位</w:t>
      </w:r>
      <w:r>
        <w:rPr>
          <w:rFonts w:hint="eastAsia" w:ascii="黑体" w:hAnsi="黑体" w:eastAsia="黑体"/>
          <w:sz w:val="32"/>
          <w:szCs w:val="32"/>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cs="仿宋_GB2312"/>
          <w:sz w:val="32"/>
          <w:szCs w:val="32"/>
          <w:lang w:val="en-US" w:eastAsia="zh-CN"/>
        </w:rPr>
        <w:t>单位</w:t>
      </w:r>
      <w:r>
        <w:rPr>
          <w:rFonts w:hint="eastAsia" w:ascii="仿宋_GB2312" w:hAnsi="黑体" w:eastAsia="仿宋_GB2312"/>
          <w:sz w:val="32"/>
          <w:szCs w:val="32"/>
        </w:rPr>
        <w:t>2024年支出预算</w:t>
      </w:r>
      <w:r>
        <w:rPr>
          <w:rFonts w:ascii="仿宋_GB2312" w:hAnsi="黑体" w:eastAsia="仿宋_GB2312" w:cs="仿宋_GB2312"/>
          <w:sz w:val="32"/>
          <w:szCs w:val="32"/>
        </w:rPr>
        <w:t>417.14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157.14</w:t>
      </w:r>
      <w:r>
        <w:rPr>
          <w:rFonts w:hint="eastAsia" w:ascii="仿宋_GB2312" w:hAnsi="黑体" w:eastAsia="仿宋_GB2312"/>
          <w:sz w:val="32"/>
          <w:szCs w:val="32"/>
        </w:rPr>
        <w:t>万元，占</w:t>
      </w:r>
      <w:r>
        <w:rPr>
          <w:rFonts w:hint="eastAsia" w:ascii="仿宋_GB2312" w:hAnsi="黑体" w:eastAsia="仿宋_GB2312" w:cs="仿宋_GB2312"/>
          <w:sz w:val="32"/>
          <w:szCs w:val="32"/>
        </w:rPr>
        <w:t>37.67</w:t>
      </w:r>
      <w:r>
        <w:rPr>
          <w:rFonts w:hint="eastAsia" w:ascii="仿宋_GB2312" w:hAnsi="黑体" w:eastAsia="仿宋_GB2312"/>
          <w:sz w:val="32"/>
          <w:szCs w:val="32"/>
        </w:rPr>
        <w:t>%；项目支出</w:t>
      </w:r>
      <w:r>
        <w:rPr>
          <w:rFonts w:ascii="仿宋_GB2312" w:hAnsi="黑体" w:eastAsia="仿宋_GB2312" w:cs="仿宋_GB2312"/>
          <w:sz w:val="32"/>
          <w:szCs w:val="32"/>
        </w:rPr>
        <w:t>260.00</w:t>
      </w:r>
      <w:r>
        <w:rPr>
          <w:rFonts w:hint="eastAsia" w:ascii="仿宋_GB2312" w:hAnsi="黑体" w:eastAsia="仿宋_GB2312"/>
          <w:sz w:val="32"/>
          <w:szCs w:val="32"/>
        </w:rPr>
        <w:t>万元，占</w:t>
      </w:r>
      <w:r>
        <w:rPr>
          <w:rFonts w:hint="eastAsia" w:ascii="仿宋_GB2312" w:hAnsi="黑体" w:eastAsia="仿宋_GB2312" w:cs="仿宋_GB2312"/>
          <w:sz w:val="32"/>
          <w:szCs w:val="32"/>
        </w:rPr>
        <w:t>62.33</w:t>
      </w:r>
      <w:r>
        <w:rPr>
          <w:rFonts w:hint="eastAsia" w:ascii="仿宋_GB2312" w:hAnsi="黑体" w:eastAsia="仿宋_GB2312"/>
          <w:sz w:val="32"/>
          <w:szCs w:val="32"/>
        </w:rPr>
        <w:t>。比上年预算数增加10.15万元，主要是增加人员经费。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cs="仿宋_GB2312"/>
          <w:sz w:val="32"/>
          <w:szCs w:val="32"/>
          <w:lang w:eastAsia="zh-CN"/>
        </w:rPr>
        <w:t>不属于行政单位、参照公务员法管理的事业单位，无机关运行经费。</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2024年</w:t>
      </w: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截至2023</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三亚市供水排水水质监测和信息管理中心单位共有车辆0辆，其中，</w:t>
      </w:r>
      <w:r>
        <w:rPr>
          <w:rFonts w:ascii="Times New Roman" w:hAnsi="Times New Roman" w:eastAsia="仿宋_GB2312" w:cs="Times New Roman"/>
          <w:sz w:val="32"/>
          <w:szCs w:val="32"/>
        </w:rPr>
        <w:t>一般公务用车</w:t>
      </w:r>
      <w:r>
        <w:rPr>
          <w:rFonts w:hint="eastAsia" w:ascii="仿宋_GB2312" w:hAnsi="黑体" w:eastAsia="仿宋_GB2312" w:cs="仿宋_GB2312"/>
          <w:sz w:val="32"/>
          <w:szCs w:val="32"/>
        </w:rPr>
        <w:t>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2024</w:t>
      </w:r>
      <w:r>
        <w:rPr>
          <w:rFonts w:hint="eastAsia" w:ascii="仿宋_GB2312" w:hAnsi="黑体" w:eastAsia="仿宋_GB2312"/>
          <w:sz w:val="32"/>
          <w:szCs w:val="32"/>
        </w:rPr>
        <w:t>年</w:t>
      </w:r>
      <w:r>
        <w:rPr>
          <w:rFonts w:hint="eastAsia" w:ascii="仿宋_GB2312" w:hAnsi="黑体" w:eastAsia="仿宋_GB2312" w:cs="仿宋_GB2312"/>
          <w:sz w:val="32"/>
          <w:szCs w:val="32"/>
        </w:rPr>
        <w:t>三亚市供水排水水质监测和信息管理中心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13个项目实行绩效目标管理，涉及一般公共预算417.14</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其中，重点项目预算绩效情况：</w:t>
      </w:r>
    </w:p>
    <w:p>
      <w:pPr>
        <w:numPr>
          <w:ilvl w:val="0"/>
          <w:numId w:val="9"/>
        </w:numPr>
        <w:ind w:left="-10" w:leftChars="0" w:firstLine="640" w:firstLineChars="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水质检测项目，预算安排150.00万元，主要用于水质检测，绩效目标是为城市供排水管理提供有关监测数据和资料,对供水和污水处理企业运营考核提供依据。</w:t>
      </w:r>
    </w:p>
    <w:p>
      <w:pPr>
        <w:numPr>
          <w:ilvl w:val="0"/>
          <w:numId w:val="9"/>
        </w:numPr>
        <w:ind w:left="-10" w:leftChars="0" w:firstLine="640" w:firstLineChars="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信息系统运行维护项目，预算安排90.00万元，主要用于信息系统日常运维经费，绩效目标是保障信息化系统正常运行，保障供水调度监测中心稳定运行，确保全市供水调度安全及水务局办公网络正常运行。</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ˎ̥">
    <w:altName w:val="Arial Unicode MS"/>
    <w:panose1 w:val="00000000000000000000"/>
    <w:charset w:val="00"/>
    <w:family w:val="auto"/>
    <w:pitch w:val="default"/>
    <w:sig w:usb0="00000000" w:usb1="00000000" w:usb2="00000000" w:usb3="00000000" w:csb0="00040001"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E76129"/>
    <w:multiLevelType w:val="singleLevel"/>
    <w:tmpl w:val="81E76129"/>
    <w:lvl w:ilvl="0" w:tentative="0">
      <w:start w:val="1"/>
      <w:numFmt w:val="chineseCounting"/>
      <w:suff w:val="nothing"/>
      <w:lvlText w:val="（%1）"/>
      <w:lvlJc w:val="left"/>
      <w:rPr>
        <w:rFonts w:hint="eastAsia"/>
      </w:rPr>
    </w:lvl>
  </w:abstractNum>
  <w:abstractNum w:abstractNumId="1">
    <w:nsid w:val="A256A5D1"/>
    <w:multiLevelType w:val="singleLevel"/>
    <w:tmpl w:val="A256A5D1"/>
    <w:lvl w:ilvl="0" w:tentative="0">
      <w:start w:val="4"/>
      <w:numFmt w:val="chineseCounting"/>
      <w:suff w:val="nothing"/>
      <w:lvlText w:val="%1、"/>
      <w:lvlJc w:val="left"/>
      <w:rPr>
        <w:rFonts w:hint="eastAsia"/>
      </w:rPr>
    </w:lvl>
  </w:abstractNum>
  <w:abstractNum w:abstractNumId="2">
    <w:nsid w:val="FE37A238"/>
    <w:multiLevelType w:val="singleLevel"/>
    <w:tmpl w:val="FE37A238"/>
    <w:lvl w:ilvl="0" w:tentative="0">
      <w:start w:val="2"/>
      <w:numFmt w:val="chineseCounting"/>
      <w:suff w:val="space"/>
      <w:lvlText w:val="第%1部分"/>
      <w:lvlJc w:val="left"/>
      <w:rPr>
        <w:rFonts w:hint="eastAsia"/>
      </w:rPr>
    </w:lvl>
  </w:abstractNum>
  <w:abstractNum w:abstractNumId="3">
    <w:nsid w:val="01D9D442"/>
    <w:multiLevelType w:val="singleLevel"/>
    <w:tmpl w:val="01D9D442"/>
    <w:lvl w:ilvl="0" w:tentative="0">
      <w:start w:val="1"/>
      <w:numFmt w:val="decimal"/>
      <w:suff w:val="nothing"/>
      <w:lvlText w:val="%1、"/>
      <w:lvlJc w:val="left"/>
      <w:pPr>
        <w:ind w:left="-10"/>
      </w:pPr>
    </w:lvl>
  </w:abstractNum>
  <w:abstractNum w:abstractNumId="4">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6"/>
  </w:num>
  <w:num w:numId="3">
    <w:abstractNumId w:val="7"/>
  </w:num>
  <w:num w:numId="4">
    <w:abstractNumId w:val="8"/>
  </w:num>
  <w:num w:numId="5">
    <w:abstractNumId w:val="5"/>
  </w:num>
  <w:num w:numId="6">
    <w:abstractNumId w:val="0"/>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1E15"/>
    <w:rsid w:val="00025655"/>
    <w:rsid w:val="000305E9"/>
    <w:rsid w:val="0007230B"/>
    <w:rsid w:val="000766C0"/>
    <w:rsid w:val="00083F0A"/>
    <w:rsid w:val="000C065D"/>
    <w:rsid w:val="000D439F"/>
    <w:rsid w:val="00113B49"/>
    <w:rsid w:val="001A00A4"/>
    <w:rsid w:val="001C508C"/>
    <w:rsid w:val="001D4025"/>
    <w:rsid w:val="0024666C"/>
    <w:rsid w:val="00261E15"/>
    <w:rsid w:val="00282140"/>
    <w:rsid w:val="002A0465"/>
    <w:rsid w:val="002D3233"/>
    <w:rsid w:val="002E7155"/>
    <w:rsid w:val="00301595"/>
    <w:rsid w:val="00324FDA"/>
    <w:rsid w:val="00330256"/>
    <w:rsid w:val="00371EA2"/>
    <w:rsid w:val="003834EF"/>
    <w:rsid w:val="00386B59"/>
    <w:rsid w:val="003D143D"/>
    <w:rsid w:val="004032DC"/>
    <w:rsid w:val="0044650A"/>
    <w:rsid w:val="004B3CDE"/>
    <w:rsid w:val="004D7A12"/>
    <w:rsid w:val="004E3266"/>
    <w:rsid w:val="004E3C42"/>
    <w:rsid w:val="004F3259"/>
    <w:rsid w:val="0050411D"/>
    <w:rsid w:val="00505B11"/>
    <w:rsid w:val="00562E0F"/>
    <w:rsid w:val="00597207"/>
    <w:rsid w:val="005D50A5"/>
    <w:rsid w:val="005F7DB9"/>
    <w:rsid w:val="00603DEA"/>
    <w:rsid w:val="00617300"/>
    <w:rsid w:val="00651D55"/>
    <w:rsid w:val="006A0BA7"/>
    <w:rsid w:val="007111E6"/>
    <w:rsid w:val="0073499E"/>
    <w:rsid w:val="007565F1"/>
    <w:rsid w:val="00781CE4"/>
    <w:rsid w:val="007964E7"/>
    <w:rsid w:val="007A6619"/>
    <w:rsid w:val="007D2C14"/>
    <w:rsid w:val="007E6328"/>
    <w:rsid w:val="007F5DF3"/>
    <w:rsid w:val="00816A33"/>
    <w:rsid w:val="0082525D"/>
    <w:rsid w:val="0083272E"/>
    <w:rsid w:val="00837A9B"/>
    <w:rsid w:val="00871383"/>
    <w:rsid w:val="00874933"/>
    <w:rsid w:val="00886B6E"/>
    <w:rsid w:val="008B2E57"/>
    <w:rsid w:val="008C3F00"/>
    <w:rsid w:val="008D1E60"/>
    <w:rsid w:val="00927A7C"/>
    <w:rsid w:val="00935E0D"/>
    <w:rsid w:val="00954061"/>
    <w:rsid w:val="00954A24"/>
    <w:rsid w:val="009A0918"/>
    <w:rsid w:val="009B484C"/>
    <w:rsid w:val="009E2BAD"/>
    <w:rsid w:val="00A17754"/>
    <w:rsid w:val="00A40C47"/>
    <w:rsid w:val="00AD7800"/>
    <w:rsid w:val="00AE3C8E"/>
    <w:rsid w:val="00B272D1"/>
    <w:rsid w:val="00B45BC3"/>
    <w:rsid w:val="00B46285"/>
    <w:rsid w:val="00B545E0"/>
    <w:rsid w:val="00B610B5"/>
    <w:rsid w:val="00B61B3D"/>
    <w:rsid w:val="00B65D2F"/>
    <w:rsid w:val="00BA7DD4"/>
    <w:rsid w:val="00BB0E53"/>
    <w:rsid w:val="00BF190C"/>
    <w:rsid w:val="00BF2D19"/>
    <w:rsid w:val="00C066C4"/>
    <w:rsid w:val="00C76A33"/>
    <w:rsid w:val="00C877DE"/>
    <w:rsid w:val="00C90B2F"/>
    <w:rsid w:val="00CB3E50"/>
    <w:rsid w:val="00CF30BC"/>
    <w:rsid w:val="00CF6599"/>
    <w:rsid w:val="00D04F4E"/>
    <w:rsid w:val="00D059DF"/>
    <w:rsid w:val="00D1494C"/>
    <w:rsid w:val="00D16879"/>
    <w:rsid w:val="00D27CCE"/>
    <w:rsid w:val="00D74AE8"/>
    <w:rsid w:val="00DC5510"/>
    <w:rsid w:val="00DE6806"/>
    <w:rsid w:val="00E21F09"/>
    <w:rsid w:val="00E52B15"/>
    <w:rsid w:val="00E90E20"/>
    <w:rsid w:val="00EB79FF"/>
    <w:rsid w:val="00F27672"/>
    <w:rsid w:val="00F4522D"/>
    <w:rsid w:val="00F85251"/>
    <w:rsid w:val="00FA2A50"/>
    <w:rsid w:val="00FC2521"/>
    <w:rsid w:val="00FD1421"/>
    <w:rsid w:val="013528B7"/>
    <w:rsid w:val="03672209"/>
    <w:rsid w:val="06F02404"/>
    <w:rsid w:val="09DB69B6"/>
    <w:rsid w:val="1A9D3887"/>
    <w:rsid w:val="1EDE3256"/>
    <w:rsid w:val="25C0645D"/>
    <w:rsid w:val="2EA037BD"/>
    <w:rsid w:val="32763835"/>
    <w:rsid w:val="36A05913"/>
    <w:rsid w:val="3B140BD7"/>
    <w:rsid w:val="3FC8347E"/>
    <w:rsid w:val="45C82B09"/>
    <w:rsid w:val="55D572B9"/>
    <w:rsid w:val="5D6C5C33"/>
    <w:rsid w:val="5FC3C19E"/>
    <w:rsid w:val="644F6895"/>
    <w:rsid w:val="67961415"/>
    <w:rsid w:val="7570270F"/>
    <w:rsid w:val="7A65068D"/>
    <w:rsid w:val="7AA9157F"/>
    <w:rsid w:val="7DEBCAFF"/>
    <w:rsid w:val="7DFF4C69"/>
    <w:rsid w:val="7E5FAEC8"/>
    <w:rsid w:val="7F94A638"/>
    <w:rsid w:val="DB7FC5D8"/>
    <w:rsid w:val="DDF4D0AE"/>
    <w:rsid w:val="DEEFAAB2"/>
    <w:rsid w:val="EF7F4105"/>
    <w:rsid w:val="FDF6861B"/>
    <w:rsid w:val="FDFF0987"/>
    <w:rsid w:val="FFFBB68A"/>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0"/>
    <w:pPr>
      <w:jc w:val="left"/>
    </w:pPr>
  </w:style>
  <w:style w:type="paragraph" w:styleId="3">
    <w:name w:val="Balloon Text"/>
    <w:basedOn w:val="1"/>
    <w:link w:val="12"/>
    <w:semiHidden/>
    <w:unhideWhenUsed/>
    <w:qFormat/>
    <w:uiPriority w:val="0"/>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列出段落1"/>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character" w:customStyle="1" w:styleId="12">
    <w:name w:val="批注框文本 Char"/>
    <w:basedOn w:val="7"/>
    <w:link w:val="3"/>
    <w:semiHidden/>
    <w:qFormat/>
    <w:uiPriority w:val="0"/>
    <w:rPr>
      <w:rFonts w:ascii="Calibri" w:hAnsi="Calibri" w:cs="黑体"/>
      <w:kern w:val="2"/>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638</Words>
  <Characters>3642</Characters>
  <Lines>30</Lines>
  <Paragraphs>8</Paragraphs>
  <TotalTime>3</TotalTime>
  <ScaleCrop>false</ScaleCrop>
  <LinksUpToDate>false</LinksUpToDate>
  <CharactersWithSpaces>4272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詹道龙</cp:lastModifiedBy>
  <dcterms:modified xsi:type="dcterms:W3CDTF">2024-02-21T00:29:54Z</dcterms:modified>
  <dc:title>××年××部门（单位）预算</dc:title>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