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default" w:ascii="Times New Roman" w:hAnsi="Times New Roman" w:eastAsia="方正小标宋_GBK" w:cs="Times New Roman"/>
          <w:sz w:val="52"/>
          <w:szCs w:val="52"/>
          <w:lang w:val="en-US" w:eastAsia="zh-CN"/>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val="en-US" w:eastAsia="zh-CN"/>
        </w:rPr>
        <w:t>中国致公党</w:t>
      </w:r>
      <w:r>
        <w:rPr>
          <w:rFonts w:hint="default" w:ascii="Times New Roman" w:hAnsi="Times New Roman" w:eastAsia="方正小标宋_GBK" w:cs="Times New Roman"/>
          <w:sz w:val="52"/>
          <w:szCs w:val="52"/>
          <w:lang w:val="en-US" w:eastAsia="zh-CN"/>
        </w:rPr>
        <w:t>三亚市委员会</w:t>
      </w: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rPr>
        <w:t>部门预算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七、部门收支总表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八、部门收入总表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九、部门支出总表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三亚市委员会部门</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中国致公党</w:t>
      </w:r>
      <w:r>
        <w:rPr>
          <w:rFonts w:hint="default" w:ascii="Times New Roman" w:hAnsi="Times New Roman" w:eastAsia="楷体_GB2312" w:cs="Times New Roman"/>
          <w:sz w:val="32"/>
          <w:szCs w:val="32"/>
        </w:rPr>
        <w:t>三亚市委员会主要职责</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 w:cs="Times New Roman"/>
          <w:sz w:val="32"/>
          <w:szCs w:val="32"/>
        </w:rPr>
        <w:t>中国致公党，是中国共产党领导的</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"https://baike.baidu.com/item/%E7%88%B1%E5%9B%BD%E7%BB%9F%E4%B8%80%E6%88%98%E7%BA%BF" \t "https://baike.baidu.com/item/%E4%B8%AD%E5%9B%BD%E6%B0%91%E4%B8%BB%E5%90%8C%E7%9B%9F/_blank" </w:instrText>
      </w:r>
      <w:r>
        <w:rPr>
          <w:rFonts w:hint="default" w:ascii="Times New Roman" w:hAnsi="Times New Roman" w:cs="Times New Roman"/>
        </w:rPr>
        <w:fldChar w:fldCharType="separate"/>
      </w:r>
      <w:r>
        <w:rPr>
          <w:rFonts w:hint="default" w:ascii="Times New Roman" w:hAnsi="Times New Roman" w:eastAsia="仿宋" w:cs="Times New Roman"/>
          <w:sz w:val="32"/>
          <w:szCs w:val="32"/>
        </w:rPr>
        <w:t>爱国统一战线</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的组成部分，中华人民共和国现有的民主党派之一。中国共产党通力合作的参政党，中国致公党是以归侨、侨眷中的中上层人士和其他有海外关系的代表人士为主组成的具有政治联盟特点的，致力于发展中国特色社会主义的政党。致公党三亚市委会是市本级民主党派机关，履行参政议政、民主监督、政治协商、社会服务等参政党职能。</w:t>
      </w:r>
      <w:r>
        <w:rPr>
          <w:rFonts w:hint="default" w:ascii="Times New Roman" w:hAnsi="Times New Roman" w:eastAsia="仿宋_GB2312" w:cs="Times New Roman"/>
          <w:sz w:val="32"/>
          <w:szCs w:val="32"/>
        </w:rPr>
        <w:t>致公党三亚市委员会是中国致公党海南省委员会的地方组织。主要职责是：</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致公党自身优势，组织开展多种形式的社会服务活动，为建设美丽三亚做出应有的贡献。</w:t>
      </w:r>
    </w:p>
    <w:p>
      <w:pPr>
        <w:pStyle w:val="5"/>
        <w:ind w:firstLine="31680"/>
        <w:jc w:val="left"/>
        <w:outlineLvl w:val="2"/>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（二）机构设置情况</w:t>
      </w:r>
    </w:p>
    <w:p>
      <w:pPr>
        <w:pStyle w:val="5"/>
        <w:ind w:firstLine="3168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三亚市委员会内设办公室，承办三亚市委员会机关日常事务。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年部门预算只有本级，没有二级预算单位。</w:t>
      </w:r>
      <w:r>
        <w:rPr>
          <w:rFonts w:hint="eastAsia" w:ascii="Times New Roman" w:hAnsi="Times New Roman" w:eastAsia="仿宋_GB2312" w:cs="Times New Roman"/>
          <w:sz w:val="32"/>
          <w:szCs w:val="32"/>
          <w:lang w:val="en-US" w:eastAsia="zh-CN"/>
        </w:rPr>
        <w:t>部门内设</w:t>
      </w: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三亚市委员会办公室</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机关行政编制3名，在编人员2名。</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三亚市委员会部门2024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118.82</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18.86</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9.44</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三亚市委员会部门2024年一般公共预算当年拨款情况说明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118.82</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77.89</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18.86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12.37</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9.44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6.19</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5.42</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3.55</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54.62</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57.37</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本年度将一般行政管理事务支出功能分类从行政运行支出功能分类中调整出来。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59.20</w:t>
      </w:r>
      <w:r>
        <w:rPr>
          <w:rFonts w:hint="default" w:ascii="Times New Roman" w:hAnsi="Times New Roman" w:eastAsia="仿宋_GB2312" w:cs="Times New Roman"/>
          <w:color w:val="000000" w:themeColor="text1"/>
          <w:sz w:val="32"/>
          <w:szCs w:val="32"/>
          <w14:textFill>
            <w14:solidFill>
              <w14:schemeClr w14:val="tx1"/>
            </w14:solidFill>
          </w14:textFill>
        </w:rPr>
        <w:t>万元，比上年预算数增加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59.20</w:t>
      </w:r>
      <w:r>
        <w:rPr>
          <w:rFonts w:hint="default" w:ascii="Times New Roman" w:hAnsi="Times New Roman" w:eastAsia="仿宋_GB2312" w:cs="Times New Roman"/>
          <w:color w:val="000000" w:themeColor="text1"/>
          <w:sz w:val="32"/>
          <w:szCs w:val="32"/>
          <w14:textFill>
            <w14:solidFill>
              <w14:schemeClr w14:val="tx1"/>
            </w14:solidFill>
          </w14:textFill>
        </w:rPr>
        <w:t>万元，主要是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本年度将一般行政管理事务支出功能分类从行政运行支出功能分类中调整出来。</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一般公共服务支出（类）民主党派及工商联事务（款）</w:t>
      </w:r>
      <w:r>
        <w:rPr>
          <w:rFonts w:hint="default" w:ascii="Times New Roman" w:hAnsi="Times New Roman" w:eastAsia="仿宋_GB2312" w:cs="Times New Roman"/>
          <w:sz w:val="32"/>
          <w:szCs w:val="32"/>
          <w:lang w:eastAsia="zh-CN"/>
        </w:rPr>
        <w:t>参政议政</w:t>
      </w:r>
      <w:r>
        <w:rPr>
          <w:rFonts w:hint="default" w:ascii="Times New Roman" w:hAnsi="Times New Roman" w:eastAsia="仿宋_GB2312" w:cs="Times New Roman"/>
          <w:sz w:val="32"/>
          <w:szCs w:val="32"/>
        </w:rPr>
        <w:t>（项）</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与上年</w:t>
      </w:r>
      <w:r>
        <w:rPr>
          <w:rFonts w:hint="default"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eastAsia="zh-CN"/>
        </w:rPr>
        <w:t>持平</w:t>
      </w:r>
      <w:r>
        <w:rPr>
          <w:rFonts w:hint="eastAsia" w:ascii="Times New Roman" w:hAnsi="Times New Roman" w:eastAsia="仿宋_GB2312" w:cs="Times New Roman"/>
          <w:sz w:val="32"/>
          <w:szCs w:val="32"/>
          <w:lang w:val="en-US" w:eastAsia="zh-CN"/>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4.58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0.88</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2023年有人员退休</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14.29万元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1.56</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1.92</w:t>
      </w:r>
      <w:r>
        <w:rPr>
          <w:rFonts w:hint="default" w:ascii="Times New Roman" w:hAnsi="Times New Roman" w:eastAsia="仿宋_GB2312" w:cs="Times New Roman"/>
          <w:sz w:val="32"/>
          <w:szCs w:val="32"/>
        </w:rPr>
        <w:t>万元，比上年度</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0.47</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2023年有人员退休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7.52</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工资调整及正常晋升以致公补缴费基数上调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5.42</w:t>
      </w:r>
      <w:r>
        <w:rPr>
          <w:rFonts w:hint="default" w:ascii="Times New Roman" w:hAnsi="Times New Roman" w:eastAsia="仿宋_GB2312" w:cs="Times New Roman"/>
          <w:sz w:val="32"/>
          <w:szCs w:val="32"/>
        </w:rPr>
        <w:t>万元，比上年度</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0.79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2023年有人员退休。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88.34</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80.81</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7.53</w:t>
      </w:r>
      <w:r>
        <w:rPr>
          <w:rFonts w:hint="default" w:ascii="Times New Roman" w:hAnsi="Times New Roman" w:eastAsia="仿宋_GB2312" w:cs="Times New Roman"/>
          <w:sz w:val="32"/>
          <w:szCs w:val="32"/>
        </w:rPr>
        <w:t>万元，主要包括：</w:t>
      </w:r>
      <w:r>
        <w:rPr>
          <w:rFonts w:hint="default" w:ascii="Times New Roman" w:hAnsi="Times New Roman" w:eastAsia="仿宋_GB2312" w:cs="Times New Roman"/>
          <w:sz w:val="32"/>
          <w:szCs w:val="32"/>
          <w:lang w:val="en-US" w:eastAsia="zh-CN"/>
        </w:rPr>
        <w:t>其他社会保障缴费、商品和服务支出、</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中国致公党</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2.81</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万元，与上年预算</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zCs w:val="32"/>
        </w:rPr>
        <w:t>持平</w:t>
      </w:r>
      <w:r>
        <w:rPr>
          <w:rFonts w:hint="eastAsia" w:ascii="Times New Roman" w:hAnsi="Times New Roman" w:eastAsia="仿宋_GB2312" w:cs="Times New Roman"/>
          <w:sz w:val="32"/>
          <w:szCs w:val="32"/>
          <w:lang w:eastAsia="zh-CN"/>
        </w:rPr>
        <w:t>，主要是压缩三公经费的支出</w:t>
      </w:r>
      <w:r>
        <w:rPr>
          <w:rFonts w:hint="default" w:ascii="Times New Roman" w:hAnsi="Times New Roman" w:eastAsia="仿宋_GB2312" w:cs="Times New Roman"/>
          <w:sz w:val="32"/>
          <w:szCs w:val="32"/>
        </w:rPr>
        <w:t>。计划接待</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76</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中国致公党</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eastAsia" w:ascii="Times New Roman" w:hAnsi="Times New Roman" w:eastAsia="仿宋_GB2312" w:cs="Times New Roman"/>
          <w:sz w:val="32"/>
          <w:shd w:val="clear" w:color="auto" w:fill="FFFFFF"/>
        </w:rPr>
      </w:pPr>
      <w:bookmarkStart w:id="0" w:name="_GoBack"/>
      <w:bookmarkEnd w:id="0"/>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中国致公党</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中国致公党</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152.54</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88.34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57.91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64.20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42.09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1.59</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中国致公党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7.53</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部门政府采购预算总额</w:t>
      </w:r>
      <w:r>
        <w:rPr>
          <w:rFonts w:hint="eastAsia"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4.00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中国致公党</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中国致公党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152.54</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其中，重点项目预算绩效情况：</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1.综合运行事务项目，预算安排59.2万元，主要用于开展活动，组织培训，召开各类会议等，绩效目标是举办2次培训，开展1次社会服务活动，保障2名职工工作。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2.参政议政项目，预算安排5万元，开展调查研究，座谈，撰写调研报告、论文、提案、社情民意等，绩效目标是开展1次调研，产生2个调研成果。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NWM2NzkwZDYxZjhjZmIwZmEwNWU2YTNlYTBmM2EifQ=="/>
  </w:docVars>
  <w:rsids>
    <w:rsidRoot w:val="553A26E0"/>
    <w:rsid w:val="009D04D4"/>
    <w:rsid w:val="04C83EAE"/>
    <w:rsid w:val="058E5F25"/>
    <w:rsid w:val="086A4011"/>
    <w:rsid w:val="0B8C21F5"/>
    <w:rsid w:val="0C7E718C"/>
    <w:rsid w:val="0DF83603"/>
    <w:rsid w:val="0EF1674C"/>
    <w:rsid w:val="11431937"/>
    <w:rsid w:val="13E12C8B"/>
    <w:rsid w:val="165F6749"/>
    <w:rsid w:val="17176704"/>
    <w:rsid w:val="1AFF2D69"/>
    <w:rsid w:val="1C784AE9"/>
    <w:rsid w:val="1F607073"/>
    <w:rsid w:val="20487DED"/>
    <w:rsid w:val="206B1F7D"/>
    <w:rsid w:val="216D75F4"/>
    <w:rsid w:val="237812D9"/>
    <w:rsid w:val="23A21768"/>
    <w:rsid w:val="25972C58"/>
    <w:rsid w:val="26F833CA"/>
    <w:rsid w:val="2A5926AF"/>
    <w:rsid w:val="2B8072A0"/>
    <w:rsid w:val="2D70297A"/>
    <w:rsid w:val="2E855BB5"/>
    <w:rsid w:val="2EB96821"/>
    <w:rsid w:val="2F503D87"/>
    <w:rsid w:val="32560AB3"/>
    <w:rsid w:val="33A329BE"/>
    <w:rsid w:val="341900A1"/>
    <w:rsid w:val="35E61050"/>
    <w:rsid w:val="388E0AD8"/>
    <w:rsid w:val="39566783"/>
    <w:rsid w:val="39742DD3"/>
    <w:rsid w:val="3B6E55A9"/>
    <w:rsid w:val="3B8B76C1"/>
    <w:rsid w:val="3BC97282"/>
    <w:rsid w:val="3F025492"/>
    <w:rsid w:val="41DB3B14"/>
    <w:rsid w:val="425359FA"/>
    <w:rsid w:val="42FD06E1"/>
    <w:rsid w:val="44EA7164"/>
    <w:rsid w:val="495A305E"/>
    <w:rsid w:val="4F816E67"/>
    <w:rsid w:val="50D64BCE"/>
    <w:rsid w:val="52F50B63"/>
    <w:rsid w:val="553A26E0"/>
    <w:rsid w:val="554515C5"/>
    <w:rsid w:val="587F1715"/>
    <w:rsid w:val="58F5454D"/>
    <w:rsid w:val="5E384BC3"/>
    <w:rsid w:val="5E39321E"/>
    <w:rsid w:val="5FD74F62"/>
    <w:rsid w:val="64790728"/>
    <w:rsid w:val="648324E1"/>
    <w:rsid w:val="6511735D"/>
    <w:rsid w:val="65243E3D"/>
    <w:rsid w:val="65C21C5B"/>
    <w:rsid w:val="67071D63"/>
    <w:rsid w:val="676001C2"/>
    <w:rsid w:val="779D14FE"/>
    <w:rsid w:val="78487BCC"/>
    <w:rsid w:val="795F23C5"/>
    <w:rsid w:val="7DC62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2024-02-27T08:28:13Z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