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w:t>
      </w:r>
      <w:r>
        <w:rPr>
          <w:rFonts w:hint="eastAsia"/>
          <w:sz w:val="52"/>
          <w:szCs w:val="52"/>
        </w:rPr>
        <w:t>年</w:t>
      </w:r>
      <w:r>
        <w:rPr>
          <w:rFonts w:hint="eastAsia"/>
          <w:sz w:val="52"/>
          <w:szCs w:val="52"/>
          <w:lang w:val="en-US" w:eastAsia="zh-CN"/>
        </w:rPr>
        <w:t>三亚市药品不良反应监测中心</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三亚市药品不良反应监测中心</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val="en-US" w:eastAsia="zh-CN"/>
        </w:rPr>
        <w:t>单位机构设置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三亚市药品不良反应监测中心</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三亚市药品不良反应监测中心</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三亚市药品不良反应监测中心单位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1"/>
          <w:numId w:val="0"/>
        </w:numPr>
        <w:ind w:left="0" w:firstLine="0" w:firstLineChars="0"/>
        <w:jc w:val="lef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 xml:space="preserve">    </w:t>
      </w:r>
      <w:r>
        <w:rPr>
          <w:rFonts w:hint="eastAsia" w:ascii="仿宋_GB2312" w:hAnsi="仿宋" w:eastAsia="仿宋_GB2312" w:cs="仿宋_GB2312"/>
          <w:sz w:val="32"/>
          <w:szCs w:val="32"/>
        </w:rPr>
        <w:t>三亚市</w:t>
      </w:r>
      <w:r>
        <w:rPr>
          <w:rFonts w:hint="eastAsia" w:ascii="仿宋_GB2312" w:hAnsi="仿宋" w:eastAsia="仿宋_GB2312" w:cs="仿宋_GB2312"/>
          <w:sz w:val="32"/>
          <w:szCs w:val="32"/>
          <w:lang w:eastAsia="zh-CN"/>
        </w:rPr>
        <w:t>药品不良反应</w:t>
      </w:r>
      <w:r>
        <w:rPr>
          <w:rFonts w:hint="eastAsia" w:ascii="仿宋_GB2312" w:hAnsi="仿宋" w:eastAsia="仿宋_GB2312" w:cs="仿宋_GB2312"/>
          <w:sz w:val="32"/>
          <w:szCs w:val="32"/>
        </w:rPr>
        <w:t>监测中心主要</w:t>
      </w:r>
      <w:r>
        <w:rPr>
          <w:rFonts w:hint="eastAsia" w:ascii="仿宋_GB2312" w:eastAsia="仿宋_GB2312" w:cs="仿宋_GB2312"/>
          <w:sz w:val="32"/>
          <w:szCs w:val="32"/>
        </w:rPr>
        <w:t>负责全市药品,医疗器械和化妆品上市后风险管理</w:t>
      </w:r>
      <w:r>
        <w:rPr>
          <w:rFonts w:hint="eastAsia" w:ascii="仿宋_GB2312" w:eastAsia="仿宋_GB2312" w:cs="仿宋_GB2312"/>
          <w:sz w:val="32"/>
          <w:szCs w:val="32"/>
          <w:lang w:eastAsia="zh-CN"/>
        </w:rPr>
        <w:t>。</w:t>
      </w:r>
      <w:r>
        <w:rPr>
          <w:rFonts w:hint="eastAsia" w:ascii="仿宋_GB2312" w:eastAsia="仿宋_GB2312" w:cs="仿宋_GB2312"/>
          <w:sz w:val="32"/>
          <w:szCs w:val="32"/>
        </w:rPr>
        <w:t>建立药品不良反应、医疗器械不良事件和化妆品不良反应监测体系,并开展监测,评价和处置工作</w:t>
      </w:r>
      <w:r>
        <w:rPr>
          <w:rFonts w:hint="eastAsia" w:ascii="仿宋_GB2312" w:eastAsia="仿宋_GB2312" w:cs="仿宋_GB2312"/>
          <w:sz w:val="32"/>
          <w:szCs w:val="32"/>
          <w:lang w:eastAsia="zh-CN"/>
        </w:rPr>
        <w:t>。</w:t>
      </w:r>
      <w:r>
        <w:rPr>
          <w:rFonts w:hint="eastAsia" w:ascii="仿宋_GB2312" w:eastAsia="仿宋_GB2312" w:cs="仿宋_GB2312"/>
          <w:sz w:val="32"/>
          <w:szCs w:val="32"/>
        </w:rPr>
        <w:t>负责药品,医疗器械和化妆品安全事件应急体</w:t>
      </w:r>
      <w:r>
        <w:rPr>
          <w:rFonts w:hint="eastAsia" w:ascii="仿宋_GB2312" w:eastAsia="仿宋_GB2312" w:cs="仿宋_GB2312"/>
          <w:sz w:val="32"/>
          <w:szCs w:val="32"/>
          <w:lang w:eastAsia="zh-CN"/>
        </w:rPr>
        <w:t>系</w:t>
      </w:r>
      <w:r>
        <w:rPr>
          <w:rFonts w:hint="eastAsia" w:ascii="仿宋_GB2312" w:eastAsia="仿宋_GB2312" w:cs="仿宋_GB2312"/>
          <w:sz w:val="32"/>
          <w:szCs w:val="32"/>
        </w:rPr>
        <w:t>建设,组织和指导药品</w:t>
      </w:r>
      <w:r>
        <w:rPr>
          <w:rFonts w:hint="eastAsia" w:ascii="仿宋_GB2312" w:eastAsia="仿宋_GB2312" w:cs="仿宋_GB2312"/>
          <w:sz w:val="32"/>
          <w:szCs w:val="32"/>
          <w:lang w:eastAsia="zh-CN"/>
        </w:rPr>
        <w:t>、</w:t>
      </w:r>
      <w:r>
        <w:rPr>
          <w:rFonts w:hint="eastAsia" w:ascii="仿宋_GB2312" w:eastAsia="仿宋_GB2312" w:cs="仿宋_GB2312"/>
          <w:sz w:val="32"/>
          <w:szCs w:val="32"/>
        </w:rPr>
        <w:t>医疗器械和化妆品安全事件应急处置和调查处理工作。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sz w:val="32"/>
          <w:szCs w:val="32"/>
          <w:lang w:val="en-US" w:eastAsia="zh-CN"/>
        </w:rPr>
        <w:t>单位机构设置</w:t>
      </w:r>
    </w:p>
    <w:p>
      <w:pPr>
        <w:ind w:firstLine="800" w:firstLineChars="250"/>
        <w:jc w:val="left"/>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highlight w:val="none"/>
          <w:lang w:val="en-US" w:eastAsia="zh-CN"/>
        </w:rPr>
        <w:t>三亚市药品不良反应监测中心隶属于三亚市市场监督管理局，正科级。</w:t>
      </w:r>
      <w:r>
        <w:rPr>
          <w:rFonts w:hint="eastAsia" w:ascii="仿宋_GB2312" w:hAnsi="ˎ̥" w:eastAsia="仿宋_GB2312"/>
          <w:color w:val="000000"/>
          <w:sz w:val="32"/>
          <w:szCs w:val="32"/>
        </w:rPr>
        <w:t>单位核定财政全额预算管理事业编制人数</w:t>
      </w:r>
      <w:r>
        <w:rPr>
          <w:rFonts w:hint="eastAsia" w:ascii="仿宋_GB2312" w:hAnsi="ˎ̥" w:eastAsia="仿宋_GB2312"/>
          <w:color w:val="000000"/>
          <w:sz w:val="32"/>
          <w:szCs w:val="32"/>
          <w:lang w:val="en-US" w:eastAsia="zh-CN"/>
        </w:rPr>
        <w:t>5</w:t>
      </w:r>
      <w:r>
        <w:rPr>
          <w:rFonts w:hint="eastAsia" w:ascii="仿宋_GB2312" w:hAnsi="ˎ̥" w:eastAsia="仿宋_GB2312"/>
          <w:color w:val="000000"/>
          <w:sz w:val="32"/>
          <w:szCs w:val="32"/>
        </w:rPr>
        <w:t>名，其中，领导岗位</w:t>
      </w:r>
      <w:r>
        <w:rPr>
          <w:rFonts w:hint="eastAsia" w:ascii="仿宋_GB2312" w:hAnsi="ˎ̥" w:eastAsia="仿宋_GB2312"/>
          <w:color w:val="000000"/>
          <w:sz w:val="32"/>
          <w:szCs w:val="32"/>
          <w:lang w:val="en-US" w:eastAsia="zh-CN"/>
        </w:rPr>
        <w:t>1</w:t>
      </w:r>
      <w:r>
        <w:rPr>
          <w:rFonts w:hint="eastAsia" w:ascii="仿宋_GB2312" w:hAnsi="ˎ̥" w:eastAsia="仿宋_GB2312"/>
          <w:color w:val="000000"/>
          <w:sz w:val="32"/>
          <w:szCs w:val="32"/>
        </w:rPr>
        <w:t>人（正职</w:t>
      </w:r>
      <w:r>
        <w:rPr>
          <w:rFonts w:hint="eastAsia" w:ascii="仿宋_GB2312" w:hAnsi="ˎ̥" w:eastAsia="仿宋_GB2312"/>
          <w:color w:val="000000"/>
          <w:sz w:val="32"/>
          <w:szCs w:val="32"/>
          <w:lang w:val="en-US" w:eastAsia="zh-CN"/>
        </w:rPr>
        <w:t>1</w:t>
      </w:r>
      <w:r>
        <w:rPr>
          <w:rFonts w:hint="eastAsia" w:ascii="仿宋_GB2312" w:hAnsi="ˎ̥" w:eastAsia="仿宋_GB2312"/>
          <w:color w:val="000000"/>
          <w:sz w:val="32"/>
          <w:szCs w:val="32"/>
        </w:rPr>
        <w:t>人，副职</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人），其他管理岗位</w:t>
      </w:r>
      <w:r>
        <w:rPr>
          <w:rFonts w:hint="eastAsia" w:ascii="仿宋_GB2312" w:hAnsi="ˎ̥" w:eastAsia="仿宋_GB2312"/>
          <w:color w:val="000000"/>
          <w:sz w:val="32"/>
          <w:szCs w:val="32"/>
          <w:lang w:val="en-US" w:eastAsia="zh-CN"/>
        </w:rPr>
        <w:t>0</w:t>
      </w:r>
      <w:r>
        <w:rPr>
          <w:rFonts w:hint="eastAsia" w:ascii="仿宋_GB2312" w:hAnsi="ˎ̥" w:eastAsia="仿宋_GB2312"/>
          <w:color w:val="000000"/>
          <w:sz w:val="32"/>
          <w:szCs w:val="32"/>
        </w:rPr>
        <w:t>人，目前在编在岗</w:t>
      </w:r>
      <w:r>
        <w:rPr>
          <w:rFonts w:hint="eastAsia" w:ascii="仿宋_GB2312" w:hAnsi="ˎ̥" w:eastAsia="仿宋_GB2312"/>
          <w:color w:val="000000"/>
          <w:sz w:val="32"/>
          <w:szCs w:val="32"/>
          <w:lang w:val="en-US" w:eastAsia="zh-CN"/>
        </w:rPr>
        <w:t>5</w:t>
      </w:r>
      <w:r>
        <w:rPr>
          <w:rFonts w:hint="eastAsia" w:ascii="仿宋_GB2312" w:hAnsi="ˎ̥" w:eastAsia="仿宋_GB2312"/>
          <w:color w:val="000000"/>
          <w:sz w:val="32"/>
          <w:szCs w:val="32"/>
        </w:rPr>
        <w:t>人。</w:t>
      </w:r>
      <w:r>
        <w:rPr>
          <w:rFonts w:hint="eastAsia" w:ascii="仿宋_GB2312" w:hAnsi="黑体" w:eastAsia="仿宋_GB2312" w:cs="仿宋_GB2312"/>
          <w:sz w:val="32"/>
          <w:szCs w:val="32"/>
          <w:highlight w:val="none"/>
          <w:lang w:eastAsia="zh-CN"/>
        </w:rPr>
        <w:t>组织机构包括:内设职能部门。内设职能部门具体为:</w:t>
      </w:r>
      <w:r>
        <w:rPr>
          <w:rFonts w:hint="eastAsia" w:ascii="仿宋_GB2312" w:hAnsi="黑体" w:eastAsia="仿宋_GB2312" w:cs="仿宋_GB2312"/>
          <w:sz w:val="32"/>
          <w:szCs w:val="32"/>
          <w:highlight w:val="none"/>
          <w:lang w:val="en-US" w:eastAsia="zh-CN"/>
        </w:rPr>
        <w:t>无</w:t>
      </w:r>
      <w:r>
        <w:rPr>
          <w:rFonts w:hint="eastAsia" w:ascii="仿宋_GB2312" w:hAnsi="黑体" w:eastAsia="仿宋_GB2312" w:cs="仿宋_GB2312"/>
          <w:sz w:val="32"/>
          <w:szCs w:val="32"/>
          <w:highlight w:val="none"/>
          <w:lang w:eastAsia="zh-CN"/>
        </w:rPr>
        <w:t>。</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三亚市药品不良反应监测中心</w:t>
      </w:r>
      <w:r>
        <w:rPr>
          <w:rFonts w:hint="eastAsia" w:ascii="黑体" w:hAnsi="黑体" w:eastAsia="黑体"/>
          <w:sz w:val="32"/>
          <w:szCs w:val="32"/>
          <w:lang w:val="en-US" w:eastAsia="zh-CN"/>
        </w:rPr>
        <w:t>2024</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三亚市药品不良反应监测中心</w:t>
      </w:r>
      <w:r>
        <w:rPr>
          <w:rFonts w:hint="eastAsia" w:ascii="黑体" w:hAnsi="黑体" w:eastAsia="黑体"/>
          <w:sz w:val="32"/>
          <w:szCs w:val="32"/>
          <w:lang w:val="en-US" w:eastAsia="zh-CN"/>
        </w:rPr>
        <w:t>2024</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三亚市药品不良反应监测中心</w:t>
      </w:r>
      <w:r>
        <w:rPr>
          <w:rFonts w:hint="eastAsia" w:ascii="黑体" w:hAnsi="黑体" w:eastAsia="黑体"/>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三亚市药品不良反应监测中心</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136.53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136.53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136.53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136.53</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85.06</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34.47万元、卫生健康支出9.70万元、住房保障支出7.30万元，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三亚市药品不良反应监测中心</w:t>
      </w:r>
      <w:r>
        <w:rPr>
          <w:rFonts w:hint="eastAsia" w:ascii="黑体" w:hAnsi="黑体" w:eastAsia="黑体"/>
          <w:sz w:val="32"/>
          <w:szCs w:val="32"/>
          <w:lang w:val="en-US" w:eastAsia="zh-CN"/>
        </w:rPr>
        <w:t>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三亚市药品不良反应监测中心</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136.53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20.48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基本支出人员经费增加。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85.06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62.30</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w:t>
      </w:r>
      <w:r>
        <w:rPr>
          <w:rFonts w:hint="eastAsia" w:ascii="仿宋_GB2312" w:hAnsi="黑体" w:eastAsia="仿宋_GB2312"/>
          <w:sz w:val="32"/>
          <w:szCs w:val="32"/>
        </w:rPr>
        <w:t>（类）</w:t>
      </w:r>
      <w:r>
        <w:rPr>
          <w:rFonts w:hint="eastAsia" w:ascii="仿宋_GB2312" w:hAnsi="黑体" w:eastAsia="仿宋_GB2312"/>
          <w:sz w:val="32"/>
          <w:szCs w:val="32"/>
          <w:lang w:eastAsia="zh-CN"/>
        </w:rPr>
        <w:t>出</w:t>
      </w:r>
      <w:r>
        <w:rPr>
          <w:rFonts w:hint="eastAsia" w:ascii="仿宋_GB2312" w:hAnsi="黑体" w:eastAsia="仿宋_GB2312"/>
          <w:sz w:val="32"/>
          <w:szCs w:val="32"/>
          <w:lang w:val="en-US" w:eastAsia="zh-CN"/>
        </w:rPr>
        <w:t>34.47万元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25.25</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卫生健康支出</w:t>
      </w:r>
      <w:r>
        <w:rPr>
          <w:rFonts w:hint="eastAsia" w:ascii="仿宋_GB2312" w:hAnsi="黑体" w:eastAsia="仿宋_GB2312"/>
          <w:sz w:val="32"/>
          <w:szCs w:val="32"/>
        </w:rPr>
        <w:t>（类）</w:t>
      </w:r>
      <w:r>
        <w:rPr>
          <w:rFonts w:hint="eastAsia" w:ascii="仿宋_GB2312" w:hAnsi="黑体" w:eastAsia="仿宋_GB2312"/>
          <w:sz w:val="32"/>
          <w:szCs w:val="32"/>
          <w:lang w:val="en-US" w:eastAsia="zh-CN"/>
        </w:rPr>
        <w:t>9.70万元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7.10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住房保障支出</w:t>
      </w:r>
      <w:r>
        <w:rPr>
          <w:rFonts w:hint="eastAsia" w:ascii="仿宋_GB2312" w:hAnsi="黑体" w:eastAsia="仿宋_GB2312"/>
          <w:sz w:val="32"/>
          <w:szCs w:val="32"/>
        </w:rPr>
        <w:t>（类）</w:t>
      </w:r>
      <w:r>
        <w:rPr>
          <w:rFonts w:hint="eastAsia" w:ascii="仿宋_GB2312" w:hAnsi="黑体" w:eastAsia="仿宋_GB2312"/>
          <w:sz w:val="32"/>
          <w:szCs w:val="32"/>
          <w:lang w:val="en-US" w:eastAsia="zh-CN"/>
        </w:rPr>
        <w:t>7.30万元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5.35</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市场监督管理事务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药品事务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13.99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中央财政补助资金减少。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市场监督管理事务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71.06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6.89</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，主要是基本支出人员经费增加。</w:t>
      </w:r>
    </w:p>
    <w:p>
      <w:pPr>
        <w:numPr>
          <w:ilvl w:val="-1"/>
          <w:numId w:val="0"/>
        </w:numPr>
        <w:ind w:firstLine="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 xml:space="preserve">    3</w:t>
      </w:r>
      <w:r>
        <w:rPr>
          <w:rFonts w:hint="eastAsia" w:ascii="仿宋_GB2312" w:hAnsi="黑体" w:eastAsia="仿宋_GB2312"/>
          <w:sz w:val="32"/>
          <w:szCs w:val="32"/>
        </w:rPr>
        <w:t>.</w:t>
      </w:r>
      <w:r>
        <w:rPr>
          <w:rFonts w:hint="eastAsia" w:ascii="仿宋_GB2312" w:hAnsi="仿宋_GB2312" w:eastAsia="仿宋_GB2312" w:cs="仿宋_GB2312"/>
          <w:sz w:val="32"/>
          <w:szCs w:val="32"/>
          <w:lang w:val="en-US" w:eastAsia="zh-CN"/>
        </w:rPr>
        <w:t>社会保障和就业（类）行政事业单位养老（款）机关事业单位基本养老保险缴费（项）2024年预算数为9.65万元，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1.87</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，主要是基本支出养老保险增加。</w:t>
      </w:r>
    </w:p>
    <w:p>
      <w:pPr>
        <w:numPr>
          <w:ilvl w:val="-1"/>
          <w:numId w:val="0"/>
        </w:numPr>
        <w:ind w:firstLine="0"/>
        <w:rPr>
          <w:rFonts w:hint="eastAsia" w:ascii="仿宋_GB2312" w:hAnsi="仿宋_GB2312" w:eastAsia="仿宋_GB2312" w:cs="仿宋_GB2312"/>
          <w:sz w:val="32"/>
          <w:szCs w:val="32"/>
          <w:lang w:val="en-US" w:eastAsia="zh-CN"/>
        </w:rPr>
      </w:pPr>
      <w:r>
        <w:rPr>
          <w:rFonts w:hint="eastAsia" w:ascii="仿宋_GB2312" w:hAnsi="黑体" w:eastAsia="仿宋_GB2312"/>
          <w:sz w:val="32"/>
          <w:szCs w:val="32"/>
          <w:lang w:val="en-US" w:eastAsia="zh-CN"/>
        </w:rPr>
        <w:t xml:space="preserve">    4</w:t>
      </w:r>
      <w:r>
        <w:rPr>
          <w:rFonts w:hint="eastAsia" w:ascii="仿宋_GB2312" w:hAnsi="黑体" w:eastAsia="仿宋_GB2312"/>
          <w:sz w:val="32"/>
          <w:szCs w:val="32"/>
        </w:rPr>
        <w:t>.</w:t>
      </w:r>
      <w:r>
        <w:rPr>
          <w:rFonts w:hint="eastAsia" w:ascii="仿宋_GB2312" w:hAnsi="仿宋_GB2312" w:eastAsia="仿宋_GB2312" w:cs="仿宋_GB2312"/>
          <w:sz w:val="32"/>
          <w:szCs w:val="32"/>
          <w:lang w:val="en-US" w:eastAsia="zh-CN"/>
        </w:rPr>
        <w:t>社会保障和就业（类）行政事业单位养老（款）</w:t>
      </w:r>
      <w:r>
        <w:rPr>
          <w:rFonts w:hint="eastAsia" w:ascii="仿宋_GB2312" w:hAnsi="仿宋_GB2312" w:eastAsia="仿宋_GB2312" w:cs="仿宋_GB2312"/>
          <w:sz w:val="32"/>
          <w:szCs w:val="32"/>
        </w:rPr>
        <w:t>机关事业单位职业年金缴费支出</w:t>
      </w:r>
      <w:r>
        <w:rPr>
          <w:rFonts w:hint="eastAsia" w:ascii="仿宋_GB2312" w:hAnsi="仿宋_GB2312" w:eastAsia="仿宋_GB2312" w:cs="仿宋_GB2312"/>
          <w:sz w:val="32"/>
          <w:szCs w:val="32"/>
          <w:lang w:val="en-US" w:eastAsia="zh-CN"/>
        </w:rPr>
        <w:t>（项）2024年预算数为24.82万元，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12.27</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，主要是补缴以前年度职业年金。</w:t>
      </w:r>
    </w:p>
    <w:p>
      <w:pPr>
        <w:numPr>
          <w:ilvl w:val="-1"/>
          <w:numId w:val="0"/>
        </w:numPr>
        <w:ind w:firstLine="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5.卫生健康（类）行政事业单位医疗（款）事业单位医疗（类）2024年预算数为3.62万元，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0.05</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，主要是基本支出医疗保险增加。</w:t>
      </w:r>
    </w:p>
    <w:p>
      <w:pPr>
        <w:numPr>
          <w:ilvl w:val="-1"/>
          <w:numId w:val="0"/>
        </w:numPr>
        <w:ind w:firstLine="640"/>
        <w:rPr>
          <w:rFonts w:hint="eastAsia" w:ascii="仿宋_GB2312" w:hAnsi="黑体" w:eastAsia="仿宋_GB2312"/>
          <w:sz w:val="32"/>
          <w:szCs w:val="32"/>
          <w:lang w:eastAsia="zh-CN"/>
        </w:rPr>
      </w:pPr>
      <w:r>
        <w:rPr>
          <w:rFonts w:hint="eastAsia" w:ascii="仿宋_GB2312" w:hAnsi="仿宋_GB2312" w:eastAsia="仿宋_GB2312" w:cs="仿宋_GB2312"/>
          <w:sz w:val="32"/>
          <w:szCs w:val="32"/>
          <w:lang w:val="en-US" w:eastAsia="zh-CN"/>
        </w:rPr>
        <w:t>6.卫生健康（类）行政事业单位医疗（款）公务员医疗补助（类）2024年预算数为6.08万元，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0.63</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，主要是基本支出</w:t>
      </w:r>
      <w:r>
        <w:rPr>
          <w:rFonts w:hint="eastAsia" w:ascii="仿宋_GB2312" w:hAnsi="仿宋_GB2312" w:eastAsia="仿宋_GB2312" w:cs="仿宋_GB2312"/>
          <w:sz w:val="32"/>
          <w:szCs w:val="32"/>
          <w:lang w:val="en-US" w:eastAsia="zh-CN"/>
        </w:rPr>
        <w:t>公务员医疗补助</w:t>
      </w:r>
      <w:r>
        <w:rPr>
          <w:rFonts w:hint="eastAsia" w:ascii="仿宋_GB2312" w:hAnsi="黑体" w:eastAsia="仿宋_GB2312"/>
          <w:sz w:val="32"/>
          <w:szCs w:val="32"/>
          <w:lang w:eastAsia="zh-CN"/>
        </w:rPr>
        <w:t>增加。</w:t>
      </w:r>
    </w:p>
    <w:p>
      <w:pPr>
        <w:numPr>
          <w:ilvl w:val="-1"/>
          <w:numId w:val="0"/>
        </w:num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7.住房保障支出（类）住房改革支出（款）住房公积金（项）2024年预算数为7.30万元，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0.49</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，主要是基本支出</w:t>
      </w:r>
      <w:r>
        <w:rPr>
          <w:rFonts w:hint="eastAsia" w:ascii="仿宋_GB2312" w:hAnsi="仿宋_GB2312" w:eastAsia="仿宋_GB2312" w:cs="仿宋_GB2312"/>
          <w:sz w:val="32"/>
          <w:szCs w:val="32"/>
          <w:lang w:val="en-US" w:eastAsia="zh-CN"/>
        </w:rPr>
        <w:t>住房公积金</w:t>
      </w:r>
      <w:r>
        <w:rPr>
          <w:rFonts w:hint="eastAsia" w:ascii="仿宋_GB2312" w:hAnsi="黑体" w:eastAsia="仿宋_GB2312"/>
          <w:sz w:val="32"/>
          <w:szCs w:val="32"/>
          <w:lang w:eastAsia="zh-CN"/>
        </w:rPr>
        <w:t>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三亚市药品不良反应监测中心</w:t>
      </w:r>
      <w:r>
        <w:rPr>
          <w:rFonts w:hint="eastAsia" w:ascii="黑体" w:hAnsi="黑体" w:eastAsia="黑体"/>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三亚市药品不良反应监测中心</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122.54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115.41</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7.13</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培训费、工会经费、福利费、公务用车运行维护、其他商品和服务支出等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三亚市药品不良反应监测中心</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三亚市药品不良反应监测中心</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1.91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0.26</w:t>
      </w:r>
      <w:r>
        <w:rPr>
          <w:rFonts w:ascii="Times New Roman" w:hAnsi="Times New Roman" w:eastAsia="仿宋_GB2312" w:cs="Times New Roman"/>
          <w:sz w:val="32"/>
          <w:shd w:val="clear" w:color="auto" w:fill="FFFFFF"/>
        </w:rPr>
        <w:t>万元，较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100</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与其他市县相关</w:t>
      </w:r>
      <w:bookmarkStart w:id="0" w:name="_GoBack"/>
      <w:bookmarkEnd w:id="0"/>
      <w:r>
        <w:rPr>
          <w:rFonts w:hint="eastAsia" w:ascii="Times New Roman" w:hAnsi="Times New Roman" w:eastAsia="仿宋_GB2312" w:cs="Times New Roman"/>
          <w:sz w:val="32"/>
          <w:shd w:val="clear" w:color="auto" w:fill="FFFFFF"/>
          <w:lang w:eastAsia="zh-CN"/>
        </w:rPr>
        <w:t>部门交流增加</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三亚市药品不良反应监测中心</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三亚市药品不良反应监测中心</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三亚市药品不良反应监测中心</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三亚市药品不良反应监测中心</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按照综合预算原则，</w:t>
      </w:r>
      <w:r>
        <w:rPr>
          <w:rFonts w:hint="eastAsia" w:ascii="仿宋_GB2312" w:hAnsi="黑体" w:eastAsia="仿宋_GB2312"/>
          <w:sz w:val="32"/>
          <w:szCs w:val="32"/>
          <w:lang w:eastAsia="zh-CN"/>
        </w:rPr>
        <w:t>三亚市药品不良反应监测中心</w:t>
      </w:r>
      <w:r>
        <w:rPr>
          <w:rFonts w:hint="eastAsia" w:ascii="仿宋_GB2312" w:hAnsi="黑体" w:eastAsia="仿宋_GB2312"/>
          <w:sz w:val="32"/>
          <w:szCs w:val="32"/>
        </w:rPr>
        <w:t>所有收入和支出均纳入部门预算管理。收入包括：一般公共预算收入；支出包括：一般公共服务支出、</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w:t>
      </w:r>
      <w:r>
        <w:rPr>
          <w:rFonts w:hint="eastAsia" w:ascii="仿宋_GB2312" w:hAnsi="黑体" w:eastAsia="仿宋_GB2312"/>
          <w:sz w:val="32"/>
          <w:szCs w:val="32"/>
        </w:rPr>
        <w:t>。</w:t>
      </w:r>
      <w:r>
        <w:rPr>
          <w:rFonts w:hint="eastAsia" w:ascii="仿宋_GB2312" w:hAnsi="黑体" w:eastAsia="仿宋_GB2312"/>
          <w:sz w:val="32"/>
          <w:szCs w:val="32"/>
          <w:lang w:eastAsia="zh-CN"/>
        </w:rPr>
        <w:t>三亚市药品不良反应监测中心</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136.53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三亚市药品不良反应监测中心</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三亚市药品不良反应监测中心</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136.53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136.53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20.09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基本支出人员经费增加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三亚市药品不良反应监测中心</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sz w:val="32"/>
          <w:szCs w:val="32"/>
          <w:lang w:eastAsia="zh-CN"/>
        </w:rPr>
        <w:t>三亚市药品不良反应监测中心</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136.53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122.54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89.75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13.99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10.25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20.09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基本支出人员经费增加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楷体" w:hAnsi="楷体" w:eastAsia="楷体"/>
          <w:sz w:val="32"/>
          <w:szCs w:val="32"/>
          <w:lang w:val="en-US" w:eastAsia="zh-CN"/>
        </w:rPr>
        <w:t>无</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eastAsia="zh-CN"/>
        </w:rPr>
        <w:t>三亚市药品不良反应监测中心</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三亚市药品不良反应监测中心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三亚市药品不良反应监测中心</w:t>
      </w:r>
      <w:r>
        <w:rPr>
          <w:rFonts w:hint="eastAsia" w:ascii="仿宋_GB2312" w:hAnsi="黑体" w:eastAsia="仿宋_GB2312" w:cs="仿宋_GB2312"/>
          <w:sz w:val="32"/>
          <w:szCs w:val="32"/>
          <w:lang w:val="en-US" w:eastAsia="zh-CN"/>
        </w:rPr>
        <w:t>2024年12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136.53</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其中，重点项目预算绩效情况：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重点项目为综合运行事务项目，预算安排8万元，绩效目标：1.完成不良反应事件报告数量</w:t>
      </w:r>
      <w:r>
        <w:rPr>
          <w:rFonts w:hint="eastAsia" w:ascii="仿宋_GB2312" w:hAnsi="黑体" w:eastAsia="仿宋_GB2312"/>
          <w:sz w:val="32"/>
          <w:szCs w:val="32"/>
        </w:rPr>
        <w:t>≧</w:t>
      </w:r>
      <w:r>
        <w:rPr>
          <w:rFonts w:hint="eastAsia" w:ascii="仿宋_GB2312" w:hAnsi="黑体" w:eastAsia="仿宋_GB2312"/>
          <w:sz w:val="32"/>
          <w:szCs w:val="32"/>
          <w:lang w:val="en-US" w:eastAsia="zh-CN"/>
        </w:rPr>
        <w:t>50份；2.发放不良反应科普知识宣传册</w:t>
      </w:r>
      <w:r>
        <w:rPr>
          <w:rFonts w:hint="eastAsia" w:ascii="仿宋_GB2312" w:hAnsi="黑体" w:eastAsia="仿宋_GB2312"/>
          <w:sz w:val="32"/>
          <w:szCs w:val="32"/>
        </w:rPr>
        <w:t>≧</w:t>
      </w:r>
      <w:r>
        <w:rPr>
          <w:rFonts w:hint="eastAsia" w:ascii="仿宋_GB2312" w:hAnsi="黑体" w:eastAsia="仿宋_GB2312"/>
          <w:sz w:val="32"/>
          <w:szCs w:val="32"/>
          <w:lang w:val="en-US" w:eastAsia="zh-CN"/>
        </w:rPr>
        <w:t>500份.</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93817"/>
    <w:rsid w:val="031A0E8F"/>
    <w:rsid w:val="044860FB"/>
    <w:rsid w:val="044E2CDF"/>
    <w:rsid w:val="04CD7F1F"/>
    <w:rsid w:val="051C6B4E"/>
    <w:rsid w:val="05D478DE"/>
    <w:rsid w:val="098563C5"/>
    <w:rsid w:val="0BEA5C56"/>
    <w:rsid w:val="0C8F2295"/>
    <w:rsid w:val="0DF165DC"/>
    <w:rsid w:val="0E2D4E2C"/>
    <w:rsid w:val="0E9D7B27"/>
    <w:rsid w:val="0EDE6B03"/>
    <w:rsid w:val="0EE62523"/>
    <w:rsid w:val="0F2E1500"/>
    <w:rsid w:val="11F36EFF"/>
    <w:rsid w:val="12403B78"/>
    <w:rsid w:val="12F858FF"/>
    <w:rsid w:val="153C6BA1"/>
    <w:rsid w:val="16571F41"/>
    <w:rsid w:val="17B13423"/>
    <w:rsid w:val="18495107"/>
    <w:rsid w:val="19A01FE0"/>
    <w:rsid w:val="19D5DA33"/>
    <w:rsid w:val="1A550A3D"/>
    <w:rsid w:val="1B0C6456"/>
    <w:rsid w:val="1FBF8E30"/>
    <w:rsid w:val="1FC363F1"/>
    <w:rsid w:val="212D3786"/>
    <w:rsid w:val="22473093"/>
    <w:rsid w:val="2501249F"/>
    <w:rsid w:val="27AE6F50"/>
    <w:rsid w:val="29FC0110"/>
    <w:rsid w:val="2A1E5301"/>
    <w:rsid w:val="2A602F66"/>
    <w:rsid w:val="2B4359C6"/>
    <w:rsid w:val="2BDF0DC0"/>
    <w:rsid w:val="2C4D4E07"/>
    <w:rsid w:val="2C7474D6"/>
    <w:rsid w:val="2DB433EF"/>
    <w:rsid w:val="2DE71976"/>
    <w:rsid w:val="2E3932FF"/>
    <w:rsid w:val="2F157859"/>
    <w:rsid w:val="2F160813"/>
    <w:rsid w:val="2FC45041"/>
    <w:rsid w:val="2FF7110D"/>
    <w:rsid w:val="2FFFCED3"/>
    <w:rsid w:val="30A77F2D"/>
    <w:rsid w:val="31F60E27"/>
    <w:rsid w:val="32C77AD4"/>
    <w:rsid w:val="32CA7C59"/>
    <w:rsid w:val="330820B3"/>
    <w:rsid w:val="35DB406B"/>
    <w:rsid w:val="38BE3A0D"/>
    <w:rsid w:val="3939397F"/>
    <w:rsid w:val="3A6A4C51"/>
    <w:rsid w:val="3BAE6803"/>
    <w:rsid w:val="3C3C7E73"/>
    <w:rsid w:val="3C681F60"/>
    <w:rsid w:val="3D0A3EFE"/>
    <w:rsid w:val="3DE63635"/>
    <w:rsid w:val="3E2D0F29"/>
    <w:rsid w:val="3E325BC7"/>
    <w:rsid w:val="3F7FB4B5"/>
    <w:rsid w:val="3FAD4D11"/>
    <w:rsid w:val="3FB167AB"/>
    <w:rsid w:val="417D1AD5"/>
    <w:rsid w:val="420109D2"/>
    <w:rsid w:val="44926A60"/>
    <w:rsid w:val="45441001"/>
    <w:rsid w:val="459B0443"/>
    <w:rsid w:val="459E0106"/>
    <w:rsid w:val="475060BE"/>
    <w:rsid w:val="47C30892"/>
    <w:rsid w:val="4824065F"/>
    <w:rsid w:val="483F53B2"/>
    <w:rsid w:val="48C550F5"/>
    <w:rsid w:val="49235535"/>
    <w:rsid w:val="4BEC331C"/>
    <w:rsid w:val="4DC96029"/>
    <w:rsid w:val="4E775591"/>
    <w:rsid w:val="4E902DA4"/>
    <w:rsid w:val="4FB80849"/>
    <w:rsid w:val="50B70823"/>
    <w:rsid w:val="52C6610B"/>
    <w:rsid w:val="535C318A"/>
    <w:rsid w:val="53AB23D8"/>
    <w:rsid w:val="53E95CF1"/>
    <w:rsid w:val="541E332E"/>
    <w:rsid w:val="54CD1B85"/>
    <w:rsid w:val="568E6C52"/>
    <w:rsid w:val="575935B2"/>
    <w:rsid w:val="59490FA1"/>
    <w:rsid w:val="59C76EFC"/>
    <w:rsid w:val="59EF4ADE"/>
    <w:rsid w:val="5D4510B2"/>
    <w:rsid w:val="5D4F74E3"/>
    <w:rsid w:val="5DB7E539"/>
    <w:rsid w:val="5DD960D1"/>
    <w:rsid w:val="5EAB5025"/>
    <w:rsid w:val="5EB018F3"/>
    <w:rsid w:val="61533333"/>
    <w:rsid w:val="663C2C4B"/>
    <w:rsid w:val="66DACB0B"/>
    <w:rsid w:val="677042C5"/>
    <w:rsid w:val="67734AE4"/>
    <w:rsid w:val="697BF56A"/>
    <w:rsid w:val="6A80023D"/>
    <w:rsid w:val="6B492D09"/>
    <w:rsid w:val="6B6CE30F"/>
    <w:rsid w:val="6C7F1319"/>
    <w:rsid w:val="6CBF7EF0"/>
    <w:rsid w:val="6D756938"/>
    <w:rsid w:val="6DDF74AC"/>
    <w:rsid w:val="6F34788E"/>
    <w:rsid w:val="6FAF0D8D"/>
    <w:rsid w:val="6FCFCADC"/>
    <w:rsid w:val="6FFA4FE6"/>
    <w:rsid w:val="70C363D0"/>
    <w:rsid w:val="71E9671D"/>
    <w:rsid w:val="731D298D"/>
    <w:rsid w:val="75FB0B04"/>
    <w:rsid w:val="77BE7717"/>
    <w:rsid w:val="78434A34"/>
    <w:rsid w:val="78B37334"/>
    <w:rsid w:val="79F7B683"/>
    <w:rsid w:val="7ACF3114"/>
    <w:rsid w:val="7D73BCCE"/>
    <w:rsid w:val="7DE79FA0"/>
    <w:rsid w:val="7DEBCAFF"/>
    <w:rsid w:val="7EA974BC"/>
    <w:rsid w:val="7EDD8B29"/>
    <w:rsid w:val="7FA514C2"/>
    <w:rsid w:val="7FF73252"/>
    <w:rsid w:val="7FFDF15C"/>
    <w:rsid w:val="93F36975"/>
    <w:rsid w:val="AADF2E0B"/>
    <w:rsid w:val="AF3F5406"/>
    <w:rsid w:val="B7FD08AF"/>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580</Words>
  <Characters>3311</Characters>
  <Lines>27</Lines>
  <Paragraphs>7</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卢秋月</cp:lastModifiedBy>
  <dcterms:modified xsi:type="dcterms:W3CDTF">2024-02-27T09:52:31Z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woTemplateTypoMode" linkTarget="0">
    <vt:lpwstr>web</vt:lpwstr>
  </property>
  <property fmtid="{D5CDD505-2E9C-101B-9397-08002B2CF9AE}" pid="4" name="woTemplate" linkTarget="0">
    <vt:i4>1</vt:i4>
  </property>
</Properties>
</file>