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sz w:val="52"/>
          <w:szCs w:val="52"/>
          <w:lang w:val="en-US" w:eastAsia="zh-CN"/>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三亚市特种设备应急保障</w:t>
      </w:r>
    </w:p>
    <w:p>
      <w:pPr>
        <w:jc w:val="center"/>
        <w:rPr>
          <w:sz w:val="52"/>
          <w:szCs w:val="52"/>
        </w:rPr>
      </w:pPr>
      <w:r>
        <w:rPr>
          <w:rFonts w:hint="eastAsia"/>
          <w:sz w:val="52"/>
          <w:szCs w:val="52"/>
          <w:lang w:val="en-US" w:eastAsia="zh-CN"/>
        </w:rPr>
        <w:t>服务中心</w:t>
      </w:r>
      <w:r>
        <w:rPr>
          <w:rFonts w:hint="eastAsia"/>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三亚市特种设备应急保障服务中心</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单位机构设置</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三亚市特种设备应急保障服务中心</w:t>
      </w:r>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三亚市特种设备应急保障服务中心</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三亚市特种设备应急保障服务中心</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keepNext w:val="0"/>
        <w:keepLines w:val="0"/>
        <w:pageBreakBefore w:val="0"/>
        <w:widowControl w:val="0"/>
        <w:numPr>
          <w:ilvl w:val="-1"/>
          <w:numId w:val="0"/>
        </w:numPr>
        <w:kinsoku/>
        <w:wordWrap/>
        <w:overflowPunct/>
        <w:topLinePunct w:val="0"/>
        <w:autoSpaceDE/>
        <w:autoSpaceDN/>
        <w:bidi w:val="0"/>
        <w:adjustRightInd/>
        <w:snapToGrid/>
        <w:ind w:left="0" w:firstLine="640" w:firstLineChars="200"/>
        <w:jc w:val="both"/>
        <w:textAlignment w:val="auto"/>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三亚市</w:t>
      </w:r>
      <w:r>
        <w:rPr>
          <w:rFonts w:hint="eastAsia" w:ascii="仿宋_GB2312" w:hAnsi="仿宋_GB2312" w:eastAsia="仿宋_GB2312" w:cs="仿宋_GB2312"/>
          <w:color w:val="auto"/>
          <w:sz w:val="32"/>
          <w:szCs w:val="32"/>
          <w:lang w:val="en-US" w:eastAsia="zh-CN"/>
        </w:rPr>
        <w:t>特种设备应急</w:t>
      </w:r>
      <w:r>
        <w:rPr>
          <w:rFonts w:hint="eastAsia" w:ascii="仿宋_GB2312" w:hAnsi="黑体" w:eastAsia="仿宋_GB2312" w:cs="仿宋_GB2312"/>
          <w:color w:val="auto"/>
          <w:sz w:val="32"/>
          <w:szCs w:val="32"/>
          <w:lang w:val="en-US" w:eastAsia="zh-CN"/>
        </w:rPr>
        <w:t>保障服务中心是三亚市市场监督管理局下属公益一类事业单位。主要工作任务是承办全市特种设备应急救援、为重大活动的特种设备安全保障提供服务。</w:t>
      </w:r>
    </w:p>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二、单位机构设置</w:t>
      </w:r>
    </w:p>
    <w:p>
      <w:pPr>
        <w:ind w:firstLine="640" w:firstLineChars="200"/>
        <w:rPr>
          <w:rFonts w:hint="default" w:ascii="Times New Roman" w:hAnsi="Times New Roman" w:eastAsia="仿宋_GB2312" w:cs="Times New Roman"/>
          <w:color w:val="auto"/>
          <w:kern w:val="2"/>
          <w:sz w:val="32"/>
          <w:szCs w:val="32"/>
          <w:lang w:val="en-US" w:eastAsia="zh-CN" w:bidi="ar-SA"/>
        </w:rPr>
      </w:pPr>
      <w:r>
        <w:rPr>
          <w:rFonts w:hint="eastAsia" w:ascii="仿宋_GB2312" w:hAnsi="黑体" w:eastAsia="仿宋_GB2312" w:cs="仿宋_GB2312"/>
          <w:color w:val="auto"/>
          <w:sz w:val="32"/>
          <w:szCs w:val="32"/>
          <w:lang w:val="en-US" w:eastAsia="zh-CN"/>
        </w:rPr>
        <w:t>三亚市</w:t>
      </w:r>
      <w:r>
        <w:rPr>
          <w:rFonts w:hint="eastAsia" w:ascii="仿宋_GB2312" w:hAnsi="仿宋_GB2312" w:eastAsia="仿宋_GB2312" w:cs="仿宋_GB2312"/>
          <w:color w:val="auto"/>
          <w:sz w:val="32"/>
          <w:szCs w:val="32"/>
          <w:lang w:val="en-US" w:eastAsia="zh-CN"/>
        </w:rPr>
        <w:t>特种设备应急</w:t>
      </w:r>
      <w:r>
        <w:rPr>
          <w:rFonts w:hint="eastAsia" w:ascii="仿宋_GB2312" w:hAnsi="黑体" w:eastAsia="仿宋_GB2312" w:cs="仿宋_GB2312"/>
          <w:color w:val="auto"/>
          <w:sz w:val="32"/>
          <w:szCs w:val="32"/>
          <w:lang w:val="en-US" w:eastAsia="zh-CN"/>
        </w:rPr>
        <w:t>保障服务中心</w:t>
      </w:r>
      <w:r>
        <w:rPr>
          <w:rFonts w:hint="default" w:ascii="Times New Roman" w:hAnsi="Times New Roman" w:eastAsia="仿宋_GB2312" w:cs="Times New Roman"/>
          <w:color w:val="auto"/>
          <w:kern w:val="2"/>
          <w:sz w:val="32"/>
          <w:szCs w:val="32"/>
          <w:lang w:val="en-US" w:eastAsia="zh-CN" w:bidi="ar-SA"/>
        </w:rPr>
        <w:t>设</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个内设机构，内设</w:t>
      </w:r>
      <w:r>
        <w:rPr>
          <w:rFonts w:hint="eastAsia" w:ascii="Times New Roman" w:hAnsi="Times New Roman" w:eastAsia="仿宋_GB2312" w:cs="Times New Roman"/>
          <w:color w:val="auto"/>
          <w:kern w:val="2"/>
          <w:sz w:val="32"/>
          <w:szCs w:val="32"/>
          <w:lang w:val="en-US" w:eastAsia="zh-CN" w:bidi="ar-SA"/>
        </w:rPr>
        <w:t>综合科和应急保障服务科。</w:t>
      </w:r>
    </w:p>
    <w:p>
      <w:pPr>
        <w:ind w:firstLine="627" w:firstLineChars="196"/>
        <w:rPr>
          <w:rFonts w:hint="default" w:ascii="Times New Roman" w:hAnsi="Times New Roman" w:eastAsia="仿宋_GB2312" w:cs="Times New Roman"/>
          <w:color w:val="auto"/>
          <w:kern w:val="2"/>
          <w:sz w:val="32"/>
          <w:szCs w:val="32"/>
          <w:lang w:val="en-US" w:eastAsia="zh-CN" w:bidi="ar-SA"/>
        </w:rPr>
      </w:pPr>
      <w:r>
        <w:rPr>
          <w:rFonts w:hint="eastAsia" w:ascii="仿宋_GB2312" w:hAnsi="黑体" w:eastAsia="仿宋_GB2312" w:cs="仿宋_GB2312"/>
          <w:color w:val="auto"/>
          <w:sz w:val="32"/>
          <w:szCs w:val="32"/>
          <w:lang w:val="en-US" w:eastAsia="zh-CN"/>
        </w:rPr>
        <w:t>三亚市</w:t>
      </w:r>
      <w:r>
        <w:rPr>
          <w:rFonts w:hint="eastAsia" w:ascii="仿宋_GB2312" w:hAnsi="仿宋_GB2312" w:eastAsia="仿宋_GB2312" w:cs="仿宋_GB2312"/>
          <w:color w:val="auto"/>
          <w:sz w:val="32"/>
          <w:szCs w:val="32"/>
          <w:lang w:val="en-US" w:eastAsia="zh-CN"/>
        </w:rPr>
        <w:t>特种设备应急</w:t>
      </w:r>
      <w:r>
        <w:rPr>
          <w:rFonts w:hint="eastAsia" w:ascii="仿宋_GB2312" w:hAnsi="黑体" w:eastAsia="仿宋_GB2312" w:cs="仿宋_GB2312"/>
          <w:color w:val="auto"/>
          <w:sz w:val="32"/>
          <w:szCs w:val="32"/>
          <w:lang w:val="en-US" w:eastAsia="zh-CN"/>
        </w:rPr>
        <w:t>保障服务中心</w:t>
      </w:r>
      <w:r>
        <w:rPr>
          <w:rFonts w:hint="default" w:ascii="Times New Roman" w:hAnsi="Times New Roman" w:eastAsia="仿宋_GB2312" w:cs="Times New Roman"/>
          <w:color w:val="auto"/>
          <w:kern w:val="2"/>
          <w:sz w:val="32"/>
          <w:szCs w:val="32"/>
          <w:lang w:val="en-US" w:eastAsia="zh-CN" w:bidi="ar-SA"/>
        </w:rPr>
        <w:t>核定事业编制</w:t>
      </w:r>
      <w:r>
        <w:rPr>
          <w:rFonts w:hint="eastAsia" w:ascii="Times New Roman" w:hAnsi="Times New Roman" w:eastAsia="仿宋_GB2312" w:cs="Times New Roman"/>
          <w:color w:val="auto"/>
          <w:kern w:val="2"/>
          <w:sz w:val="32"/>
          <w:szCs w:val="32"/>
          <w:lang w:val="en-US" w:eastAsia="zh-CN" w:bidi="ar-SA"/>
        </w:rPr>
        <w:t>10</w:t>
      </w:r>
      <w:r>
        <w:rPr>
          <w:rFonts w:hint="default" w:ascii="Times New Roman" w:hAnsi="Times New Roman" w:eastAsia="仿宋_GB2312" w:cs="Times New Roman"/>
          <w:color w:val="auto"/>
          <w:kern w:val="2"/>
          <w:sz w:val="32"/>
          <w:szCs w:val="32"/>
          <w:lang w:val="en-US" w:eastAsia="zh-CN" w:bidi="ar-SA"/>
        </w:rPr>
        <w:t>名，</w:t>
      </w:r>
      <w:r>
        <w:rPr>
          <w:rFonts w:hint="eastAsia" w:ascii="Times New Roman" w:hAnsi="Times New Roman" w:eastAsia="仿宋_GB2312" w:cs="Times New Roman"/>
          <w:color w:val="auto"/>
          <w:kern w:val="2"/>
          <w:sz w:val="32"/>
          <w:szCs w:val="32"/>
          <w:lang w:val="en-US" w:eastAsia="zh-CN" w:bidi="ar-SA"/>
        </w:rPr>
        <w:t>现实有人数8名，其中在编</w:t>
      </w:r>
      <w:r>
        <w:rPr>
          <w:rFonts w:hint="default" w:ascii="Times New Roman" w:hAnsi="Times New Roman" w:eastAsia="仿宋_GB2312" w:cs="Times New Roman"/>
          <w:color w:val="auto"/>
          <w:kern w:val="2"/>
          <w:sz w:val="32"/>
          <w:szCs w:val="32"/>
          <w:lang w:val="en-US" w:eastAsia="zh-CN" w:bidi="ar-SA"/>
        </w:rPr>
        <w:t>在</w:t>
      </w:r>
      <w:r>
        <w:rPr>
          <w:rFonts w:hint="eastAsia" w:ascii="Times New Roman" w:hAnsi="Times New Roman" w:eastAsia="仿宋_GB2312" w:cs="Times New Roman"/>
          <w:color w:val="auto"/>
          <w:kern w:val="2"/>
          <w:sz w:val="32"/>
          <w:szCs w:val="32"/>
          <w:lang w:val="en-US" w:eastAsia="zh-CN" w:bidi="ar-SA"/>
        </w:rPr>
        <w:t>岗</w:t>
      </w:r>
      <w:r>
        <w:rPr>
          <w:rFonts w:hint="default" w:ascii="Times New Roman" w:hAnsi="Times New Roman" w:eastAsia="仿宋_GB2312" w:cs="Times New Roman"/>
          <w:color w:val="auto"/>
          <w:kern w:val="2"/>
          <w:sz w:val="32"/>
          <w:szCs w:val="32"/>
          <w:lang w:val="en-US" w:eastAsia="zh-CN" w:bidi="ar-SA"/>
        </w:rPr>
        <w:t>人员</w:t>
      </w:r>
      <w:r>
        <w:rPr>
          <w:rFonts w:hint="eastAsia" w:ascii="Times New Roman" w:hAnsi="Times New Roman"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kern w:val="2"/>
          <w:sz w:val="32"/>
          <w:szCs w:val="32"/>
          <w:lang w:val="en-US" w:eastAsia="zh-CN" w:bidi="ar-SA"/>
        </w:rPr>
        <w:t>名</w:t>
      </w:r>
      <w:r>
        <w:rPr>
          <w:rFonts w:hint="eastAsia" w:ascii="Times New Roman" w:hAnsi="Times New Roman" w:eastAsia="仿宋_GB2312" w:cs="Times New Roman"/>
          <w:color w:val="auto"/>
          <w:kern w:val="2"/>
          <w:sz w:val="32"/>
          <w:szCs w:val="32"/>
          <w:lang w:val="en-US" w:eastAsia="zh-CN" w:bidi="ar-SA"/>
        </w:rPr>
        <w:t>。</w:t>
      </w:r>
    </w:p>
    <w:p>
      <w:pPr>
        <w:pStyle w:val="6"/>
        <w:numPr>
          <w:ilvl w:val="-1"/>
          <w:numId w:val="0"/>
        </w:numPr>
        <w:ind w:left="0" w:firstLine="640" w:firstLineChars="200"/>
        <w:jc w:val="left"/>
        <w:rPr>
          <w:rFonts w:hint="eastAsia" w:ascii="仿宋_GB2312" w:hAnsi="黑体" w:eastAsia="仿宋_GB2312" w:cs="仿宋_GB2312"/>
          <w:color w:val="auto"/>
          <w:sz w:val="32"/>
          <w:szCs w:val="32"/>
          <w:lang w:val="en-US" w:eastAsia="zh-CN"/>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lang w:val="en-US" w:eastAsia="zh-CN"/>
        </w:rPr>
        <w:t>三亚市特种设备应急保障服务中心</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val="en-US" w:eastAsia="zh-CN"/>
        </w:rPr>
        <w:t>三亚市特种设备应急保障服务中心</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三亚市特种设备应急保障服务中心2024</w:t>
      </w:r>
      <w:r>
        <w:rPr>
          <w:rFonts w:hint="eastAsia" w:ascii="黑体" w:hAnsi="黑体" w:eastAsia="黑体"/>
          <w:color w:val="auto"/>
          <w:sz w:val="32"/>
          <w:szCs w:val="32"/>
        </w:rPr>
        <w:t>年财政拨款收支预算情况的总体说明</w:t>
      </w:r>
    </w:p>
    <w:p>
      <w:pPr>
        <w:ind w:firstLine="640" w:firstLineChars="200"/>
        <w:jc w:val="left"/>
        <w:rPr>
          <w:rFonts w:hint="default" w:ascii="Times New Roman" w:hAnsi="Times New Roman" w:eastAsia="仿宋_GB2312" w:cs="Times New Roman"/>
          <w:color w:val="auto"/>
          <w:sz w:val="32"/>
          <w:szCs w:val="32"/>
        </w:rPr>
      </w:pPr>
      <w:r>
        <w:rPr>
          <w:rFonts w:hint="eastAsia" w:ascii="仿宋_GB2312" w:hAnsi="黑体" w:eastAsia="仿宋_GB2312" w:cs="仿宋_GB2312"/>
          <w:color w:val="auto"/>
          <w:sz w:val="32"/>
          <w:szCs w:val="32"/>
          <w:lang w:val="en-US" w:eastAsia="zh-CN"/>
        </w:rPr>
        <w:t>三亚市特在设备应急保障服务中心</w:t>
      </w:r>
      <w:r>
        <w:rPr>
          <w:rFonts w:hint="eastAsia" w:ascii="仿宋_GB2312" w:hAnsi="黑体" w:eastAsia="仿宋_GB2312" w:cs="黑体"/>
          <w:color w:val="auto"/>
          <w:sz w:val="32"/>
          <w:szCs w:val="32"/>
          <w:lang w:val="en-US" w:eastAsia="zh-CN"/>
        </w:rPr>
        <w:t>2024</w:t>
      </w:r>
      <w:r>
        <w:rPr>
          <w:rFonts w:hint="default" w:ascii="Times New Roman" w:hAnsi="Times New Roman" w:eastAsia="仿宋_GB2312" w:cs="Times New Roman"/>
          <w:color w:val="auto"/>
          <w:sz w:val="32"/>
          <w:szCs w:val="32"/>
        </w:rPr>
        <w:t>年财政拨款收支总预算</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万元。其中，收入总计</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万元，包括一般公共预算本年收入</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万元，政府性基金预算本年收入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万元；支出总计</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万元，包括一般公共服务支出</w:t>
      </w:r>
      <w:r>
        <w:rPr>
          <w:rFonts w:hint="eastAsia" w:ascii="Times New Roman" w:hAnsi="Times New Roman" w:eastAsia="仿宋_GB2312" w:cs="Times New Roman"/>
          <w:color w:val="auto"/>
          <w:sz w:val="32"/>
          <w:szCs w:val="32"/>
          <w:lang w:val="en-US" w:eastAsia="zh-CN"/>
        </w:rPr>
        <w:t>148.05</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社会保障和就业支出</w:t>
      </w:r>
      <w:r>
        <w:rPr>
          <w:rFonts w:hint="eastAsia" w:ascii="Times New Roman" w:hAnsi="Times New Roman" w:eastAsia="仿宋_GB2312" w:cs="Times New Roman"/>
          <w:color w:val="auto"/>
          <w:sz w:val="32"/>
          <w:szCs w:val="32"/>
          <w:lang w:val="en-US" w:eastAsia="zh-CN"/>
        </w:rPr>
        <w:t>35.33万元、卫生健康支出17.99万元、住房保障支出13.45万元，</w:t>
      </w:r>
      <w:r>
        <w:rPr>
          <w:rFonts w:hint="default" w:ascii="Times New Roman" w:hAnsi="Times New Roman" w:eastAsia="仿宋_GB2312" w:cs="Times New Roman"/>
          <w:color w:val="auto"/>
          <w:sz w:val="32"/>
          <w:szCs w:val="32"/>
        </w:rPr>
        <w:t>结转下年</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三亚市特种设备应急保障服务中心</w:t>
      </w:r>
      <w:r>
        <w:rPr>
          <w:rFonts w:hint="eastAsia" w:ascii="仿宋_GB2312" w:hAnsi="黑体" w:eastAsia="仿宋_GB2312" w:cs="仿宋_GB2312"/>
          <w:b/>
          <w:bCs/>
          <w:color w:val="auto"/>
          <w:sz w:val="32"/>
          <w:szCs w:val="32"/>
          <w:lang w:val="en-US" w:eastAsia="zh-CN"/>
        </w:rPr>
        <w:t>2024</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黑体" w:eastAsia="仿宋_GB2312" w:cs="黑体"/>
          <w:color w:val="auto"/>
          <w:sz w:val="32"/>
          <w:szCs w:val="32"/>
          <w:lang w:val="en-US" w:eastAsia="zh-CN"/>
        </w:rPr>
        <w:t>2024</w:t>
      </w:r>
      <w:r>
        <w:rPr>
          <w:rFonts w:hint="default" w:ascii="Times New Roman" w:hAnsi="Times New Roman" w:eastAsia="仿宋_GB2312" w:cs="Times New Roman"/>
          <w:color w:val="auto"/>
          <w:sz w:val="32"/>
          <w:szCs w:val="32"/>
        </w:rPr>
        <w:t>年一般公共预算当年拨款</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15.7</w:t>
      </w:r>
      <w:r>
        <w:rPr>
          <w:rFonts w:hint="default" w:ascii="Times New Roman" w:hAnsi="Times New Roman" w:eastAsia="仿宋_GB2312" w:cs="Times New Roman"/>
          <w:color w:val="auto"/>
          <w:sz w:val="32"/>
          <w:szCs w:val="32"/>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一般公共服务（类）支出</w:t>
      </w:r>
      <w:r>
        <w:rPr>
          <w:rFonts w:hint="eastAsia" w:ascii="Times New Roman" w:hAnsi="Times New Roman" w:eastAsia="仿宋_GB2312" w:cs="Times New Roman"/>
          <w:color w:val="auto"/>
          <w:sz w:val="32"/>
          <w:szCs w:val="32"/>
          <w:lang w:val="en-US" w:eastAsia="zh-CN"/>
        </w:rPr>
        <w:t>148.05</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68.91</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社会保障和就业支出</w:t>
      </w:r>
      <w:r>
        <w:rPr>
          <w:rFonts w:hint="eastAsia" w:ascii="Times New Roman" w:hAnsi="Times New Roman" w:eastAsia="仿宋_GB2312" w:cs="Times New Roman"/>
          <w:color w:val="auto"/>
          <w:sz w:val="32"/>
          <w:szCs w:val="32"/>
          <w:lang w:val="en-US" w:eastAsia="zh-CN"/>
        </w:rPr>
        <w:t>35.33万元，占比16.45%；卫生健康支出17.99万元，占比8.37%；住房保障支出13.45万元，占比6.26%</w:t>
      </w:r>
      <w:r>
        <w:rPr>
          <w:rFonts w:hint="eastAsia" w:ascii="Times New Roman" w:hAnsi="Times New Roman" w:eastAsia="仿宋_GB2312" w:cs="Times New Roman"/>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一般公共服务（类） 市场监督管理事务（款） 事业运行（项）202</w:t>
      </w:r>
      <w:r>
        <w:rPr>
          <w:rFonts w:hint="eastAsia" w:ascii="仿宋_GB2312" w:hAnsi="黑体" w:eastAsia="仿宋_GB2312" w:cs="仿宋_GB2312"/>
          <w:color w:val="auto"/>
          <w:sz w:val="32"/>
          <w:szCs w:val="32"/>
          <w:highlight w:val="none"/>
          <w:lang w:val="en-US" w:eastAsia="zh-CN"/>
        </w:rPr>
        <w:t>4</w:t>
      </w:r>
      <w:r>
        <w:rPr>
          <w:rFonts w:hint="eastAsia" w:ascii="仿宋_GB2312" w:hAnsi="黑体" w:eastAsia="仿宋_GB2312"/>
          <w:color w:val="auto"/>
          <w:sz w:val="32"/>
          <w:szCs w:val="32"/>
          <w:highlight w:val="none"/>
        </w:rPr>
        <w:t>年预算数为</w:t>
      </w:r>
      <w:r>
        <w:rPr>
          <w:rFonts w:hint="eastAsia" w:ascii="Times New Roman" w:hAnsi="Times New Roman" w:eastAsia="仿宋_GB2312" w:cs="Times New Roman"/>
          <w:color w:val="auto"/>
          <w:sz w:val="32"/>
          <w:szCs w:val="32"/>
          <w:highlight w:val="none"/>
          <w:lang w:val="en-US" w:eastAsia="zh-CN"/>
        </w:rPr>
        <w:t>127.05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s="黑体"/>
          <w:color w:val="auto"/>
          <w:sz w:val="32"/>
          <w:szCs w:val="32"/>
          <w:highlight w:val="none"/>
          <w:lang w:val="en-US" w:eastAsia="zh-CN"/>
        </w:rPr>
        <w:t>9.32万元</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rPr>
        <w:t>一般公共服务（类） 市场监督管理事务（款）其他市场监督管理事务</w:t>
      </w:r>
      <w:r>
        <w:rPr>
          <w:rFonts w:hint="eastAsia" w:ascii="仿宋_GB2312" w:hAnsi="黑体" w:eastAsia="仿宋_GB2312" w:cs="仿宋_GB2312"/>
          <w:color w:val="auto"/>
          <w:sz w:val="32"/>
          <w:szCs w:val="32"/>
          <w:highlight w:val="none"/>
          <w:lang w:eastAsia="zh-CN"/>
        </w:rPr>
        <w:t>（项）</w:t>
      </w:r>
      <w:r>
        <w:rPr>
          <w:rFonts w:hint="eastAsia" w:ascii="仿宋_GB2312" w:hAnsi="黑体" w:eastAsia="仿宋_GB2312" w:cs="仿宋_GB2312"/>
          <w:color w:val="auto"/>
          <w:sz w:val="32"/>
          <w:szCs w:val="32"/>
          <w:highlight w:val="none"/>
          <w:lang w:val="en-US" w:eastAsia="zh-CN"/>
        </w:rPr>
        <w:t>21万元，与</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持平。</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社会保障和就业（类）行政事业单位</w:t>
      </w:r>
      <w:r>
        <w:rPr>
          <w:rFonts w:hint="eastAsia" w:ascii="仿宋_GB2312" w:hAnsi="仿宋_GB2312" w:eastAsia="仿宋_GB2312" w:cs="仿宋_GB2312"/>
          <w:color w:val="auto"/>
          <w:sz w:val="32"/>
          <w:szCs w:val="32"/>
          <w:lang w:eastAsia="zh-CN"/>
        </w:rPr>
        <w:t>养老支出</w:t>
      </w:r>
      <w:r>
        <w:rPr>
          <w:rFonts w:hint="eastAsia" w:ascii="仿宋_GB2312" w:hAnsi="仿宋_GB2312" w:eastAsia="仿宋_GB2312" w:cs="仿宋_GB2312"/>
          <w:color w:val="auto"/>
          <w:sz w:val="32"/>
          <w:szCs w:val="32"/>
        </w:rPr>
        <w:t>（款）机关事业单位基本养老保险缴费支出（项）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15.56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0.88</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黑体" w:eastAsia="仿宋_GB2312"/>
          <w:color w:val="auto"/>
          <w:sz w:val="32"/>
          <w:szCs w:val="32"/>
          <w:highlight w:val="none"/>
          <w:lang w:val="en-US" w:eastAsia="zh-CN"/>
        </w:rPr>
        <w:t>4、</w:t>
      </w:r>
      <w:r>
        <w:rPr>
          <w:rFonts w:hint="eastAsia" w:ascii="仿宋_GB2312" w:hAnsi="仿宋_GB2312" w:eastAsia="仿宋_GB2312" w:cs="仿宋_GB2312"/>
          <w:color w:val="auto"/>
          <w:sz w:val="32"/>
          <w:szCs w:val="32"/>
        </w:rPr>
        <w:t>社会保障和就业（类）行政事业单位</w:t>
      </w:r>
      <w:r>
        <w:rPr>
          <w:rFonts w:hint="eastAsia" w:ascii="仿宋_GB2312" w:hAnsi="仿宋_GB2312" w:eastAsia="仿宋_GB2312" w:cs="仿宋_GB2312"/>
          <w:color w:val="auto"/>
          <w:sz w:val="32"/>
          <w:szCs w:val="32"/>
          <w:lang w:eastAsia="zh-CN"/>
        </w:rPr>
        <w:t>养老支出</w:t>
      </w:r>
      <w:r>
        <w:rPr>
          <w:rFonts w:hint="eastAsia" w:ascii="仿宋_GB2312" w:hAnsi="仿宋_GB2312" w:eastAsia="仿宋_GB2312" w:cs="仿宋_GB2312"/>
          <w:color w:val="auto"/>
          <w:sz w:val="32"/>
          <w:szCs w:val="32"/>
        </w:rPr>
        <w:t>（款）机关事业单位</w:t>
      </w:r>
      <w:r>
        <w:rPr>
          <w:rFonts w:hint="eastAsia" w:ascii="仿宋_GB2312" w:hAnsi="仿宋_GB2312" w:eastAsia="仿宋_GB2312" w:cs="仿宋_GB2312"/>
          <w:color w:val="auto"/>
          <w:sz w:val="32"/>
          <w:szCs w:val="32"/>
          <w:lang w:eastAsia="zh-CN"/>
        </w:rPr>
        <w:t>职业年金</w:t>
      </w:r>
      <w:r>
        <w:rPr>
          <w:rFonts w:hint="eastAsia" w:ascii="仿宋_GB2312" w:hAnsi="仿宋_GB2312"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19.78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3.44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hint="eastAsia" w:ascii="仿宋_GB2312" w:hAnsi="黑体" w:eastAsia="仿宋_GB2312"/>
          <w:color w:val="auto"/>
          <w:sz w:val="32"/>
          <w:szCs w:val="32"/>
          <w:lang w:val="en-US" w:eastAsia="zh-CN"/>
        </w:rPr>
      </w:pPr>
      <w:r>
        <w:rPr>
          <w:rFonts w:hint="eastAsia" w:ascii="仿宋_GB2312" w:hAnsi="仿宋_GB2312" w:eastAsia="仿宋_GB2312" w:cs="仿宋_GB2312"/>
          <w:color w:val="auto"/>
          <w:kern w:val="2"/>
          <w:sz w:val="32"/>
          <w:szCs w:val="32"/>
          <w:highlight w:val="none"/>
          <w:lang w:val="en-US" w:eastAsia="zh-CN" w:bidi="ar-SA"/>
        </w:rPr>
        <w:t>5、</w:t>
      </w:r>
      <w:r>
        <w:rPr>
          <w:rFonts w:hint="eastAsia" w:ascii="仿宋_GB2312" w:hAnsi="仿宋_GB2312" w:eastAsia="仿宋_GB2312" w:cs="仿宋_GB2312"/>
          <w:color w:val="auto"/>
          <w:sz w:val="32"/>
          <w:szCs w:val="32"/>
        </w:rPr>
        <w:t>卫生健康支出（类）行政事业单位医疗（款）</w:t>
      </w:r>
      <w:r>
        <w:rPr>
          <w:rFonts w:hint="eastAsia" w:ascii="仿宋_GB2312" w:hAnsi="仿宋_GB2312" w:eastAsia="仿宋_GB2312" w:cs="仿宋_GB2312"/>
          <w:color w:val="auto"/>
          <w:sz w:val="32"/>
          <w:szCs w:val="32"/>
          <w:lang w:eastAsia="zh-CN"/>
        </w:rPr>
        <w:t>事业</w:t>
      </w:r>
      <w:r>
        <w:rPr>
          <w:rFonts w:hint="eastAsia" w:ascii="仿宋_GB2312" w:hAnsi="仿宋_GB2312" w:eastAsia="仿宋_GB2312" w:cs="仿宋_GB2312"/>
          <w:color w:val="auto"/>
          <w:sz w:val="32"/>
          <w:szCs w:val="32"/>
        </w:rPr>
        <w:t>单位医疗（项）202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6.78</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0.09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卫生健康支出（类）行政事业单位医疗（款）</w:t>
      </w:r>
      <w:r>
        <w:rPr>
          <w:rFonts w:hint="eastAsia" w:ascii="仿宋_GB2312" w:hAnsi="仿宋_GB2312" w:eastAsia="仿宋_GB2312" w:cs="仿宋_GB2312"/>
          <w:color w:val="auto"/>
          <w:sz w:val="32"/>
          <w:szCs w:val="32"/>
          <w:lang w:eastAsia="zh-CN"/>
        </w:rPr>
        <w:t>公务员医疗补助</w:t>
      </w:r>
      <w:r>
        <w:rPr>
          <w:rFonts w:hint="eastAsia" w:ascii="仿宋_GB2312" w:hAnsi="仿宋_GB2312" w:eastAsia="仿宋_GB2312" w:cs="仿宋_GB2312"/>
          <w:color w:val="auto"/>
          <w:sz w:val="32"/>
          <w:szCs w:val="32"/>
        </w:rPr>
        <w:t>（项）202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11.21</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住房保障支出（类）住房改革支出（款）住房公积金（项）</w:t>
      </w: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lang w:val="en-US" w:eastAsia="zh-CN"/>
        </w:rPr>
        <w:t>024</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13.45</w:t>
      </w:r>
      <w:r>
        <w:rPr>
          <w:rFonts w:hint="eastAsia" w:ascii="仿宋_GB2312" w:hAnsi="仿宋_GB2312" w:eastAsia="仿宋_GB2312" w:cs="仿宋_GB2312"/>
          <w:color w:val="auto"/>
          <w:sz w:val="32"/>
          <w:szCs w:val="32"/>
        </w:rPr>
        <w:t>万元，比上年预算数</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lang w:val="en-US" w:eastAsia="zh-CN"/>
        </w:rPr>
        <w:t>1.08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val="en-US" w:eastAsia="zh-CN"/>
        </w:rPr>
        <w:t>三亚市特种设备应急保障服务中心</w:t>
      </w:r>
      <w:r>
        <w:rPr>
          <w:rFonts w:hint="eastAsia" w:ascii="仿宋_GB2312" w:hAnsi="黑体" w:eastAsia="仿宋_GB2312"/>
          <w:b/>
          <w:bCs/>
          <w:color w:val="auto"/>
          <w:sz w:val="32"/>
          <w:szCs w:val="32"/>
          <w:lang w:val="en-US" w:eastAsia="zh-CN"/>
        </w:rPr>
        <w:t>2024</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highlight w:val="none"/>
          <w:lang w:val="en-US" w:eastAsia="zh-CN"/>
        </w:rPr>
        <w:t>三亚市特种设备应急保障服务中心</w:t>
      </w:r>
      <w:r>
        <w:rPr>
          <w:rFonts w:hint="eastAsia" w:ascii="仿宋_GB2312" w:hAnsi="黑体" w:eastAsia="仿宋_GB2312" w:cs="黑体"/>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rPr>
        <w:t>年一般公共预算基本支出为</w:t>
      </w:r>
      <w:r>
        <w:rPr>
          <w:rFonts w:hint="eastAsia" w:ascii="黑体" w:hAnsi="黑体" w:eastAsia="黑体" w:cs="黑体"/>
          <w:color w:val="auto"/>
          <w:sz w:val="32"/>
          <w:szCs w:val="32"/>
          <w:highlight w:val="none"/>
          <w:lang w:val="en-US" w:eastAsia="zh-CN"/>
        </w:rPr>
        <w:t>193.83</w:t>
      </w:r>
      <w:r>
        <w:rPr>
          <w:rFonts w:hint="default" w:ascii="Times New Roman" w:hAnsi="Times New Roman" w:eastAsia="仿宋_GB2312" w:cs="Times New Roman"/>
          <w:color w:val="auto"/>
          <w:sz w:val="32"/>
          <w:szCs w:val="32"/>
          <w:highlight w:val="none"/>
        </w:rPr>
        <w:t>万元，其中：</w:t>
      </w:r>
      <w:r>
        <w:rPr>
          <w:rFonts w:hint="eastAsia" w:ascii="仿宋_GB2312" w:hAnsi="黑体" w:eastAsia="仿宋_GB2312"/>
          <w:color w:val="auto"/>
          <w:sz w:val="32"/>
          <w:szCs w:val="32"/>
        </w:rPr>
        <w:t>人员经费</w:t>
      </w:r>
      <w:r>
        <w:rPr>
          <w:rFonts w:hint="eastAsia" w:ascii="Times New Roman" w:hAnsi="Times New Roman" w:eastAsia="仿宋_GB2312" w:cs="Times New Roman"/>
          <w:color w:val="auto"/>
          <w:sz w:val="32"/>
          <w:szCs w:val="32"/>
          <w:lang w:val="en-US" w:eastAsia="zh-CN"/>
        </w:rPr>
        <w:t>184.92</w:t>
      </w:r>
      <w:r>
        <w:rPr>
          <w:rFonts w:hint="eastAsia" w:ascii="仿宋_GB2312" w:hAnsi="黑体" w:eastAsia="仿宋_GB2312"/>
          <w:color w:val="auto"/>
          <w:sz w:val="32"/>
          <w:szCs w:val="32"/>
        </w:rPr>
        <w:t>万元，主要包括：基本工资、津贴补贴、</w:t>
      </w:r>
      <w:r>
        <w:rPr>
          <w:rFonts w:hint="eastAsia" w:ascii="仿宋_GB2312" w:hAnsi="黑体" w:eastAsia="仿宋_GB2312"/>
          <w:color w:val="auto"/>
          <w:sz w:val="32"/>
          <w:szCs w:val="32"/>
          <w:lang w:val="en-US" w:eastAsia="zh-CN"/>
        </w:rPr>
        <w:t>奖金、</w:t>
      </w:r>
      <w:r>
        <w:rPr>
          <w:rFonts w:hint="eastAsia" w:ascii="仿宋_GB2312" w:hAnsi="黑体" w:eastAsia="仿宋_GB2312"/>
          <w:color w:val="auto"/>
          <w:sz w:val="32"/>
          <w:szCs w:val="32"/>
        </w:rPr>
        <w:t>绩效工资、机关事业单位基本养老保险缴费、</w:t>
      </w:r>
      <w:r>
        <w:rPr>
          <w:rFonts w:hint="eastAsia" w:ascii="仿宋_GB2312" w:hAnsi="黑体" w:eastAsia="仿宋_GB2312"/>
          <w:color w:val="auto"/>
          <w:sz w:val="32"/>
          <w:szCs w:val="32"/>
          <w:lang w:val="en-US" w:eastAsia="zh-CN"/>
        </w:rPr>
        <w:t>职业年金缴费、</w:t>
      </w:r>
      <w:r>
        <w:rPr>
          <w:rFonts w:hint="eastAsia" w:ascii="仿宋_GB2312" w:hAnsi="黑体" w:eastAsia="仿宋_GB2312"/>
          <w:color w:val="auto"/>
          <w:sz w:val="32"/>
          <w:szCs w:val="32"/>
        </w:rPr>
        <w:t>城镇职工基本医疗保险缴费、公务员医疗补助缴费、其他社会保障缴费、住房公积金、</w:t>
      </w:r>
      <w:r>
        <w:rPr>
          <w:rFonts w:hint="eastAsia" w:ascii="仿宋_GB2312" w:hAnsi="黑体" w:eastAsia="仿宋_GB2312"/>
          <w:color w:val="auto"/>
          <w:sz w:val="32"/>
          <w:szCs w:val="32"/>
          <w:lang w:val="en-US" w:eastAsia="zh-CN"/>
        </w:rPr>
        <w:t>医疗费、</w:t>
      </w:r>
      <w:r>
        <w:rPr>
          <w:rFonts w:hint="eastAsia" w:ascii="仿宋_GB2312" w:hAnsi="黑体" w:eastAsia="仿宋_GB2312"/>
          <w:color w:val="auto"/>
          <w:sz w:val="32"/>
          <w:szCs w:val="32"/>
          <w:lang w:eastAsia="zh-CN"/>
        </w:rPr>
        <w:t>其他工资福利支出</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Times New Roman" w:hAnsi="Times New Roman" w:eastAsia="仿宋_GB2312" w:cs="Times New Roman"/>
          <w:color w:val="auto"/>
          <w:sz w:val="32"/>
          <w:szCs w:val="32"/>
          <w:lang w:val="en-US" w:eastAsia="zh-CN"/>
        </w:rPr>
        <w:t>8.9</w:t>
      </w:r>
      <w:r>
        <w:rPr>
          <w:rFonts w:hint="eastAsia" w:ascii="仿宋_GB2312" w:hAnsi="黑体" w:eastAsia="仿宋_GB2312"/>
          <w:color w:val="auto"/>
          <w:sz w:val="32"/>
          <w:szCs w:val="32"/>
        </w:rPr>
        <w:t>万元，主要包括：其他社会保障缴费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val="en-US" w:eastAsia="zh-CN"/>
        </w:rPr>
        <w:t>培训费、</w:t>
      </w:r>
      <w:r>
        <w:rPr>
          <w:rFonts w:hint="eastAsia" w:ascii="仿宋_GB2312" w:hAnsi="黑体" w:eastAsia="仿宋_GB2312"/>
          <w:color w:val="auto"/>
          <w:sz w:val="32"/>
          <w:szCs w:val="32"/>
        </w:rPr>
        <w:t>工会经费、福利费、其他商品和服务支出。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hint="default" w:ascii="Times New Roman" w:hAnsi="Times New Roman" w:eastAsia="仿宋_GB2312" w:cs="Times New Roman"/>
          <w:color w:val="auto"/>
          <w:sz w:val="32"/>
          <w:szCs w:val="32"/>
        </w:rPr>
      </w:pPr>
      <w:r>
        <w:rPr>
          <w:rFonts w:hint="eastAsia" w:ascii="仿宋_GB2312" w:hAnsi="黑体" w:eastAsia="仿宋_GB2312" w:cs="仿宋_GB2312"/>
          <w:color w:val="auto"/>
          <w:sz w:val="32"/>
          <w:szCs w:val="32"/>
          <w:lang w:val="en-US" w:eastAsia="zh-CN"/>
        </w:rPr>
        <w:t>三亚市特种设备应急保障服务中心</w:t>
      </w:r>
      <w:r>
        <w:rPr>
          <w:rFonts w:hint="eastAsia" w:ascii="仿宋_GB2312" w:hAnsi="黑体" w:eastAsia="仿宋_GB2312" w:cs="黑体"/>
          <w:color w:val="auto"/>
          <w:sz w:val="32"/>
          <w:szCs w:val="32"/>
          <w:lang w:val="en-US" w:eastAsia="zh-CN"/>
        </w:rPr>
        <w:t>2024</w:t>
      </w:r>
      <w:r>
        <w:rPr>
          <w:rFonts w:hint="default" w:ascii="Times New Roman" w:hAnsi="Times New Roman" w:eastAsia="仿宋_GB2312" w:cs="Times New Roman"/>
          <w:color w:val="auto"/>
          <w:sz w:val="32"/>
          <w:szCs w:val="32"/>
        </w:rPr>
        <w:t>年一般公共预算“三公”经费预算数为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color w:val="auto"/>
          <w:sz w:val="32"/>
          <w:shd w:val="clear" w:color="auto" w:fill="FFFFFF"/>
        </w:rPr>
        <w:t>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Times New Roman" w:hAnsi="Times New Roman" w:eastAsia="仿宋_GB2312" w:cs="Times New Roman"/>
          <w:color w:val="auto"/>
          <w:sz w:val="32"/>
          <w:szCs w:val="32"/>
          <w:lang w:val="en-US" w:eastAsia="zh-CN"/>
        </w:rPr>
        <w:t>万</w:t>
      </w:r>
      <w:r>
        <w:rPr>
          <w:rFonts w:hint="eastAsia" w:ascii="仿宋_GB2312" w:hAnsi="黑体" w:eastAsia="仿宋_GB2312"/>
          <w:color w:val="auto"/>
          <w:sz w:val="32"/>
          <w:szCs w:val="32"/>
        </w:rPr>
        <w:t>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比</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val="en-US" w:eastAsia="zh-CN"/>
        </w:rPr>
        <w:t>减少1万元，主要原因是单位无公务用车</w:t>
      </w:r>
      <w:r>
        <w:rPr>
          <w:rFonts w:hint="eastAsia" w:ascii="仿宋_GB2312" w:hAnsi="黑体" w:eastAsia="仿宋_GB2312" w:cs="仿宋_GB2312"/>
          <w:color w:val="auto"/>
          <w:sz w:val="32"/>
          <w:szCs w:val="32"/>
          <w:lang w:val="en-US" w:eastAsia="zh-CN"/>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仿宋_GB2312" w:hAnsi="黑体" w:eastAsia="仿宋_GB2312" w:cs="黑体"/>
          <w:color w:val="auto"/>
          <w:sz w:val="32"/>
          <w:szCs w:val="32"/>
          <w:shd w:val="clear"/>
          <w:lang w:val="en-US" w:eastAsia="zh-CN"/>
        </w:rPr>
        <w:t>2024</w:t>
      </w:r>
      <w:r>
        <w:rPr>
          <w:rFonts w:hint="eastAsia" w:ascii="Times New Roman" w:hAnsi="Times New Roman" w:eastAsia="仿宋_GB2312" w:cs="Times New Roman"/>
          <w:color w:val="auto"/>
          <w:sz w:val="32"/>
          <w:shd w:val="clear" w:color="auto" w:fill="FFFFFF"/>
          <w:lang w:val="en-US" w:eastAsia="zh-CN"/>
        </w:rPr>
        <w:t>年无接待计划安排</w:t>
      </w:r>
      <w:r>
        <w:rPr>
          <w:rFonts w:ascii="Times New Roman" w:hAnsi="Times New Roman" w:eastAsia="仿宋_GB2312" w:cs="Times New Roman"/>
          <w:color w:val="auto"/>
          <w:sz w:val="32"/>
          <w:shd w:val="clear" w:color="auto" w:fill="FFFFFF"/>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eastAsia" w:ascii="仿宋_GB2312" w:hAnsi="黑体" w:eastAsia="仿宋_GB2312" w:cs="仿宋_GB2312"/>
          <w:color w:val="auto"/>
          <w:sz w:val="32"/>
          <w:szCs w:val="32"/>
          <w:lang w:val="en-US" w:eastAsia="zh-CN"/>
        </w:rPr>
        <w:t>三亚市特种设备应急保障服务中心</w:t>
      </w:r>
      <w:r>
        <w:rPr>
          <w:rFonts w:hint="eastAsia" w:ascii="仿宋_GB2312" w:hAnsi="黑体" w:eastAsia="仿宋_GB2312" w:cs="黑体"/>
          <w:color w:val="auto"/>
          <w:sz w:val="32"/>
          <w:szCs w:val="32"/>
          <w:lang w:val="en-US" w:eastAsia="zh-CN"/>
        </w:rPr>
        <w:t>2024</w:t>
      </w:r>
      <w:r>
        <w:rPr>
          <w:rFonts w:hint="default" w:ascii="Times New Roman" w:hAnsi="Times New Roman" w:eastAsia="仿宋_GB2312" w:cs="Times New Roman"/>
          <w:color w:val="auto"/>
          <w:sz w:val="32"/>
          <w:szCs w:val="32"/>
        </w:rPr>
        <w:t>年政府性基金预算“三公”经费预算数为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rPr>
          <w:rFonts w:ascii="Times New Roman" w:hAnsi="Times New Roman" w:eastAsia="仿宋_GB2312" w:cs="Times New Roman"/>
          <w:color w:val="auto"/>
          <w:sz w:val="32"/>
          <w:shd w:val="clear" w:color="auto" w:fill="FFFFFF"/>
        </w:rPr>
      </w:pPr>
      <w:r>
        <w:rPr>
          <w:rFonts w:hint="default" w:ascii="Times New Roman" w:hAnsi="Times New Roman" w:eastAsia="仿宋_GB2312" w:cs="Times New Roman"/>
          <w:color w:val="auto"/>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w:t>
      </w:r>
      <w:r>
        <w:rPr>
          <w:rFonts w:hint="eastAsia" w:ascii="黑体" w:hAnsi="黑体" w:eastAsia="黑体" w:cs="黑体"/>
          <w:color w:val="auto"/>
          <w:sz w:val="32"/>
          <w:szCs w:val="32"/>
          <w:lang w:val="en-US" w:eastAsia="zh-CN"/>
        </w:rPr>
        <w:t>三亚市特种设备应急保障服务中心</w:t>
      </w:r>
      <w:r>
        <w:rPr>
          <w:rFonts w:hint="eastAsia" w:ascii="黑体" w:hAnsi="黑体" w:eastAsia="黑体" w:cs="Times New Roman"/>
          <w:color w:val="auto"/>
          <w:sz w:val="32"/>
          <w:shd w:val="clear" w:color="auto" w:fill="FFFFFF"/>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三亚市特种设备应急保障服务中心</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 xml:space="preserve"> 科学技术支出（类）核电站乏燃料处理处置基金支出（款）乏燃料运输（项）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rPr>
        <w:t>科学技术支出（类）核电站乏燃料处理处置基金支出（款）乏燃料离堆贮存（项）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val="en-US" w:eastAsia="zh-CN"/>
        </w:rPr>
        <w:t>三亚市特种设备应急保障服务中心</w:t>
      </w:r>
      <w:r>
        <w:rPr>
          <w:rFonts w:hint="eastAsia" w:ascii="黑体" w:hAnsi="黑体" w:eastAsia="黑体" w:cs="Times New Roman"/>
          <w:color w:val="auto"/>
          <w:sz w:val="32"/>
          <w:szCs w:val="22"/>
          <w:shd w:val="clear" w:color="auto" w:fill="FFFFFF"/>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按照综合预算原则，</w:t>
      </w:r>
      <w:r>
        <w:rPr>
          <w:rFonts w:hint="eastAsia" w:ascii="仿宋_GB2312" w:hAnsi="黑体" w:eastAsia="仿宋_GB2312" w:cs="仿宋_GB2312"/>
          <w:color w:val="auto"/>
          <w:sz w:val="32"/>
          <w:szCs w:val="32"/>
          <w:lang w:val="en-US" w:eastAsia="zh-CN"/>
        </w:rPr>
        <w:t>三亚市特种设备应急保障服务中心</w:t>
      </w:r>
      <w:r>
        <w:rPr>
          <w:rFonts w:hint="default" w:ascii="Times New Roman" w:hAnsi="Times New Roman" w:eastAsia="仿宋_GB2312" w:cs="Times New Roman"/>
          <w:color w:val="auto"/>
          <w:sz w:val="32"/>
          <w:szCs w:val="32"/>
        </w:rPr>
        <w:t>所有收入和支出均纳入部门预算管理。收入包括：</w:t>
      </w:r>
      <w:r>
        <w:rPr>
          <w:rFonts w:hint="default" w:ascii="Times New Roman" w:hAnsi="Times New Roman" w:eastAsia="仿宋_GB2312" w:cs="Times New Roman"/>
          <w:color w:val="auto"/>
          <w:sz w:val="32"/>
          <w:shd w:val="clear" w:color="auto" w:fill="FFFFFF"/>
        </w:rPr>
        <w:t>一般公共预算</w:t>
      </w:r>
      <w:r>
        <w:rPr>
          <w:rFonts w:hint="eastAsia" w:ascii="Times New Roman" w:hAnsi="Times New Roman" w:eastAsia="仿宋_GB2312" w:cs="Times New Roman"/>
          <w:color w:val="auto"/>
          <w:sz w:val="32"/>
          <w:shd w:val="clear" w:color="auto" w:fill="FFFFFF"/>
          <w:lang w:eastAsia="zh-CN"/>
        </w:rPr>
        <w:t>拨款</w:t>
      </w:r>
      <w:r>
        <w:rPr>
          <w:rFonts w:hint="default" w:ascii="Times New Roman" w:hAnsi="Times New Roman" w:eastAsia="仿宋_GB2312" w:cs="Times New Roman"/>
          <w:color w:val="auto"/>
          <w:sz w:val="32"/>
          <w:shd w:val="clear" w:color="auto" w:fill="FFFFFF"/>
        </w:rPr>
        <w:t>收入；</w:t>
      </w:r>
      <w:r>
        <w:rPr>
          <w:rFonts w:hint="default" w:ascii="Times New Roman" w:hAnsi="Times New Roman" w:eastAsia="仿宋_GB2312" w:cs="Times New Roman"/>
          <w:color w:val="auto"/>
          <w:sz w:val="32"/>
          <w:szCs w:val="32"/>
        </w:rPr>
        <w:t>支出包括：一般公共服务支出、</w:t>
      </w:r>
      <w:r>
        <w:rPr>
          <w:rFonts w:hint="eastAsia" w:ascii="Times New Roman" w:hAnsi="Times New Roman" w:eastAsia="仿宋_GB2312" w:cs="Times New Roman"/>
          <w:color w:val="auto"/>
          <w:sz w:val="32"/>
          <w:szCs w:val="32"/>
          <w:lang w:eastAsia="zh-CN"/>
        </w:rPr>
        <w:t>社会保障和就业支出、卫生健康支出、住房保障支出</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三亚市特种设备应急保障服务中心</w:t>
      </w:r>
      <w:r>
        <w:rPr>
          <w:rFonts w:hint="eastAsia" w:ascii="仿宋_GB2312" w:hAnsi="黑体" w:eastAsia="仿宋_GB2312" w:cs="仿宋_GB2312"/>
          <w:color w:val="auto"/>
          <w:sz w:val="32"/>
          <w:szCs w:val="32"/>
          <w:lang w:val="en-US" w:eastAsia="zh-CN"/>
        </w:rPr>
        <w:t>2024</w:t>
      </w:r>
      <w:r>
        <w:rPr>
          <w:rFonts w:hint="default" w:ascii="Times New Roman" w:hAnsi="Times New Roman" w:eastAsia="仿宋_GB2312" w:cs="Times New Roman"/>
          <w:color w:val="auto"/>
          <w:sz w:val="32"/>
          <w:szCs w:val="32"/>
        </w:rPr>
        <w:t>年收支总预算</w:t>
      </w:r>
      <w:r>
        <w:rPr>
          <w:rFonts w:hint="eastAsia" w:ascii="仿宋_GB2312" w:hAnsi="黑体" w:eastAsia="仿宋_GB2312" w:cs="Times New Roman"/>
          <w:color w:val="auto"/>
          <w:sz w:val="32"/>
          <w:szCs w:val="32"/>
          <w:shd w:val="clear"/>
          <w:lang w:val="en-US" w:eastAsia="zh-CN"/>
        </w:rPr>
        <w:t>214.83</w:t>
      </w:r>
      <w:r>
        <w:rPr>
          <w:rFonts w:hint="default" w:ascii="Times New Roman" w:hAnsi="Times New Roman" w:eastAsia="仿宋_GB2312" w:cs="Times New Roman"/>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黑体" w:eastAsia="仿宋_GB2312" w:cs="仿宋_GB2312"/>
          <w:color w:val="auto"/>
          <w:sz w:val="32"/>
          <w:szCs w:val="32"/>
          <w:lang w:val="en-US" w:eastAsia="zh-CN"/>
        </w:rPr>
        <w:t>三亚市特种设备应急保障服务中心2024</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万元，其中：上年结转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eastAsia" w:ascii="仿宋_GB2312" w:hAnsi="黑体" w:eastAsia="仿宋_GB2312"/>
          <w:color w:val="auto"/>
          <w:sz w:val="32"/>
          <w:szCs w:val="32"/>
          <w:lang w:eastAsia="zh-CN"/>
        </w:rPr>
        <w:t>一般公共预算</w:t>
      </w:r>
      <w:r>
        <w:rPr>
          <w:rFonts w:hint="default" w:ascii="Times New Roman" w:hAnsi="Times New Roman" w:eastAsia="仿宋_GB2312" w:cs="Times New Roman"/>
          <w:color w:val="auto"/>
          <w:sz w:val="32"/>
          <w:szCs w:val="32"/>
        </w:rPr>
        <w:t>拨款收入</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15.7</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黑体" w:eastAsia="仿宋_GB2312" w:cs="仿宋_GB2312"/>
          <w:color w:val="auto"/>
          <w:sz w:val="32"/>
          <w:szCs w:val="32"/>
          <w:lang w:val="en-US" w:eastAsia="zh-CN"/>
        </w:rPr>
        <w:t>三亚市特种设备应急保障服务中心</w:t>
      </w:r>
      <w:r>
        <w:rPr>
          <w:rFonts w:hint="eastAsia" w:ascii="仿宋_GB2312" w:hAnsi="黑体" w:eastAsia="仿宋_GB2312" w:cs="黑体"/>
          <w:color w:val="auto"/>
          <w:sz w:val="32"/>
          <w:szCs w:val="32"/>
          <w:lang w:val="en-US" w:eastAsia="zh-CN"/>
        </w:rPr>
        <w:t>2024</w:t>
      </w:r>
      <w:r>
        <w:rPr>
          <w:rFonts w:hint="default" w:ascii="Times New Roman" w:hAnsi="Times New Roman" w:eastAsia="仿宋_GB2312" w:cs="Times New Roman"/>
          <w:color w:val="auto"/>
          <w:sz w:val="32"/>
          <w:szCs w:val="32"/>
        </w:rPr>
        <w:t>年支出预算</w:t>
      </w:r>
      <w:r>
        <w:rPr>
          <w:rFonts w:hint="eastAsia" w:ascii="Times New Roman" w:hAnsi="Times New Roman" w:eastAsia="仿宋_GB2312" w:cs="Times New Roman"/>
          <w:color w:val="auto"/>
          <w:sz w:val="32"/>
          <w:szCs w:val="32"/>
          <w:lang w:val="en-US" w:eastAsia="zh-CN"/>
        </w:rPr>
        <w:t>214.83</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193.83</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90.22</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9.78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17.5</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津贴补贴增加，人员薪资调整。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rPr>
      </w:pPr>
      <w:r>
        <w:rPr>
          <w:rFonts w:hint="eastAsia"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一）机关运行经费</w:t>
      </w:r>
    </w:p>
    <w:p>
      <w:pPr>
        <w:ind w:firstLine="640" w:firstLineChars="200"/>
        <w:rPr>
          <w:rFonts w:hint="eastAsia" w:ascii="Times New Roman" w:hAnsi="Times New Roman" w:eastAsia="仿宋_GB2312" w:cs="Times New Roman"/>
          <w:color w:val="auto"/>
          <w:sz w:val="32"/>
          <w:szCs w:val="32"/>
          <w:lang w:eastAsia="zh-CN"/>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Times New Roman" w:hAnsi="Times New Roman" w:eastAsia="仿宋_GB2312" w:cs="Times New Roman"/>
          <w:color w:val="auto"/>
          <w:sz w:val="32"/>
          <w:shd w:val="clear" w:color="auto" w:fill="FFFFFF"/>
          <w:lang w:val="en-US" w:eastAsia="zh-CN"/>
        </w:rPr>
        <w:t>三亚市特种设备应急保障服务中心无</w:t>
      </w:r>
      <w:r>
        <w:rPr>
          <w:rFonts w:hint="eastAsia" w:ascii="仿宋_GB2312" w:hAnsi="黑体" w:eastAsia="仿宋_GB2312" w:cs="仿宋_GB2312"/>
          <w:sz w:val="32"/>
          <w:szCs w:val="32"/>
        </w:rPr>
        <w:t>机关运行经费预算</w:t>
      </w:r>
      <w:r>
        <w:rPr>
          <w:rFonts w:hint="eastAsia" w:ascii="仿宋_GB2312" w:hAnsi="黑体" w:eastAsia="仿宋_GB2312"/>
          <w:sz w:val="32"/>
          <w:szCs w:val="32"/>
        </w:rPr>
        <w:t>。</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（二）政府采购情况</w:t>
      </w:r>
    </w:p>
    <w:p>
      <w:pPr>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hd w:val="clear" w:color="auto" w:fill="FFFFFF"/>
          <w:lang w:val="en-US" w:eastAsia="zh-CN"/>
        </w:rPr>
        <w:t>三亚市特种设备应急保障服务中心</w:t>
      </w:r>
      <w:r>
        <w:rPr>
          <w:rFonts w:hint="eastAsia" w:ascii="仿宋_GB2312" w:hAnsi="黑体" w:eastAsia="仿宋_GB2312" w:cs="黑体"/>
          <w:color w:val="auto"/>
          <w:sz w:val="32"/>
          <w:szCs w:val="32"/>
          <w:shd w:val="clear"/>
          <w:lang w:val="en-US" w:eastAsia="zh-CN"/>
        </w:rPr>
        <w:t>2024</w:t>
      </w:r>
      <w:r>
        <w:rPr>
          <w:rFonts w:hint="default" w:ascii="Times New Roman" w:hAnsi="Times New Roman" w:eastAsia="仿宋_GB2312" w:cs="Times New Roman"/>
          <w:color w:val="auto"/>
          <w:sz w:val="32"/>
          <w:shd w:val="clear" w:color="auto" w:fill="FFFFFF"/>
        </w:rPr>
        <w:t>年政府采购预算总额</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万元，其中：政府采购货物预算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万元，政府采购工程预算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万元，政府采购服务预算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Times New Roman" w:hAnsi="Times New Roman" w:eastAsia="仿宋_GB2312" w:cs="Times New Roman"/>
          <w:color w:val="auto"/>
          <w:sz w:val="32"/>
          <w:shd w:val="clear" w:color="auto" w:fill="FFFFFF"/>
          <w:lang w:val="en-US" w:eastAsia="zh-CN"/>
        </w:rPr>
        <w:t>三亚市特种设备应急保障服务中心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cs="仿宋_GB2312"/>
          <w:sz w:val="32"/>
          <w:szCs w:val="32"/>
        </w:rPr>
        <w:t>台（套）。</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640"/>
        <w:rPr>
          <w:rFonts w:hint="eastAsia" w:ascii="Times New Roman" w:hAnsi="Times New Roman" w:eastAsia="仿宋_GB2312" w:cs="Times New Roman"/>
          <w:color w:val="auto"/>
          <w:sz w:val="32"/>
          <w:shd w:val="clear" w:color="auto" w:fill="FFFFFF"/>
          <w:lang w:val="en-US" w:eastAsia="zh-CN"/>
        </w:rPr>
      </w:pPr>
      <w:r>
        <w:rPr>
          <w:rFonts w:hint="eastAsia" w:ascii="仿宋_GB2312" w:hAnsi="黑体" w:eastAsia="仿宋_GB2312" w:cs="黑体"/>
          <w:color w:val="auto"/>
          <w:sz w:val="32"/>
          <w:szCs w:val="32"/>
          <w:shd w:val="clear"/>
          <w:lang w:val="en-US" w:eastAsia="zh-CN"/>
        </w:rPr>
        <w:t>2024</w:t>
      </w:r>
      <w:r>
        <w:rPr>
          <w:rFonts w:hint="eastAsia" w:ascii="Times New Roman" w:hAnsi="Times New Roman" w:eastAsia="仿宋_GB2312" w:cs="Times New Roman"/>
          <w:color w:val="auto"/>
          <w:sz w:val="32"/>
          <w:shd w:val="clear" w:color="auto" w:fill="FFFFFF"/>
          <w:lang w:val="en-US" w:eastAsia="zh-CN"/>
        </w:rPr>
        <w:t>年三亚市特种设备应急保障服务中心11个项目实行了绩效目标管理，涉及一般公共预算214.83万元，政府性基金0万元。</w:t>
      </w:r>
    </w:p>
    <w:p>
      <w:pPr>
        <w:ind w:firstLine="640"/>
        <w:rPr>
          <w:rFonts w:hint="eastAsia" w:ascii="Times New Roman" w:hAnsi="Times New Roman" w:eastAsia="仿宋_GB2312" w:cs="Times New Roman"/>
          <w:color w:val="auto"/>
          <w:sz w:val="32"/>
          <w:shd w:val="clear" w:color="auto" w:fill="FFFFFF"/>
          <w:lang w:val="en-US" w:eastAsia="zh-CN"/>
        </w:rPr>
      </w:pPr>
      <w:r>
        <w:rPr>
          <w:rFonts w:hint="eastAsia" w:ascii="Times New Roman" w:hAnsi="Times New Roman" w:eastAsia="仿宋_GB2312" w:cs="Times New Roman"/>
          <w:color w:val="auto"/>
          <w:sz w:val="32"/>
          <w:shd w:val="clear" w:color="auto" w:fill="FFFFFF"/>
          <w:lang w:val="en-US" w:eastAsia="zh-CN"/>
        </w:rPr>
        <w:t>其中，重点项目预算绩效情况：</w:t>
      </w:r>
    </w:p>
    <w:p>
      <w:pPr>
        <w:ind w:firstLine="640"/>
        <w:rPr>
          <w:rFonts w:hint="eastAsia" w:ascii="Times New Roman" w:hAnsi="Times New Roman" w:eastAsia="仿宋_GB2312" w:cs="Times New Roman"/>
          <w:color w:val="auto"/>
          <w:sz w:val="32"/>
          <w:shd w:val="clear" w:color="auto" w:fill="FFFFFF"/>
          <w:lang w:val="en-US" w:eastAsia="zh-CN"/>
        </w:rPr>
      </w:pPr>
      <w:r>
        <w:rPr>
          <w:rFonts w:hint="eastAsia" w:ascii="Times New Roman" w:hAnsi="Times New Roman" w:eastAsia="仿宋_GB2312" w:cs="Times New Roman"/>
          <w:color w:val="auto"/>
          <w:sz w:val="32"/>
          <w:shd w:val="clear" w:color="auto" w:fill="FFFFFF"/>
          <w:lang w:val="en-US" w:eastAsia="zh-CN"/>
        </w:rPr>
        <w:t>1.综合运行事务项目，预算安排21万元，主要用于办公设备购置、办公费、培训费、差旅费、误餐费等。</w:t>
      </w:r>
    </w:p>
    <w:p>
      <w:pPr>
        <w:ind w:firstLine="640"/>
        <w:rPr>
          <w:rFonts w:hint="eastAsia" w:ascii="Times New Roman" w:hAnsi="Times New Roman" w:eastAsia="仿宋_GB2312" w:cs="Times New Roman"/>
          <w:color w:val="auto"/>
          <w:sz w:val="32"/>
          <w:shd w:val="clear" w:color="auto" w:fill="FFFFFF"/>
          <w:lang w:val="en-US" w:eastAsia="zh-CN"/>
        </w:rPr>
      </w:pPr>
      <w:r>
        <w:rPr>
          <w:rFonts w:hint="eastAsia" w:ascii="Times New Roman" w:hAnsi="Times New Roman" w:eastAsia="仿宋_GB2312" w:cs="Times New Roman"/>
          <w:color w:val="auto"/>
          <w:sz w:val="32"/>
          <w:shd w:val="clear" w:color="auto" w:fill="FFFFFF"/>
          <w:lang w:val="en-US" w:eastAsia="zh-CN"/>
        </w:rPr>
        <w:t>2.其他工资福利支出项目，预算安排1.17万元，主要用于工作人员体检费用。</w:t>
      </w:r>
    </w:p>
    <w:p>
      <w:pPr>
        <w:ind w:firstLine="640"/>
        <w:rPr>
          <w:rFonts w:hint="default" w:ascii="Times New Roman" w:hAnsi="Times New Roman" w:eastAsia="仿宋_GB2312" w:cs="Times New Roman"/>
          <w:color w:val="auto"/>
          <w:sz w:val="32"/>
          <w:shd w:val="clear" w:color="auto" w:fill="FFFFFF"/>
          <w:lang w:val="en-US" w:eastAsia="zh-CN"/>
        </w:rPr>
      </w:pPr>
      <w:r>
        <w:rPr>
          <w:rFonts w:hint="eastAsia" w:ascii="Times New Roman" w:hAnsi="Times New Roman" w:eastAsia="仿宋_GB2312" w:cs="Times New Roman"/>
          <w:color w:val="auto"/>
          <w:sz w:val="32"/>
          <w:shd w:val="clear" w:color="auto" w:fill="FFFFFF"/>
          <w:lang w:val="en-US" w:eastAsia="zh-CN"/>
        </w:rPr>
        <w:t>3.公用支出项目，预算安排8.9万元，主要用于保障单位日常运转，支付工作午餐费、残疾人就业保障金、工会经费、福利费等。</w:t>
      </w: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color w:val="auto"/>
          <w:sz w:val="32"/>
          <w:szCs w:val="32"/>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NDI0NDFlMDNhZGU4MWVmNDc5NDNhZTI1OTdkNTMifQ=="/>
  </w:docVars>
  <w:rsids>
    <w:rsidRoot w:val="00000000"/>
    <w:rsid w:val="002F2799"/>
    <w:rsid w:val="033D7EB4"/>
    <w:rsid w:val="041526BF"/>
    <w:rsid w:val="04C40B89"/>
    <w:rsid w:val="06CF0FE7"/>
    <w:rsid w:val="071023CF"/>
    <w:rsid w:val="082D11A4"/>
    <w:rsid w:val="090022DE"/>
    <w:rsid w:val="09630EDC"/>
    <w:rsid w:val="0E355363"/>
    <w:rsid w:val="0F8E7511"/>
    <w:rsid w:val="10B44E9D"/>
    <w:rsid w:val="14ED01F3"/>
    <w:rsid w:val="17E56F60"/>
    <w:rsid w:val="191D4CB5"/>
    <w:rsid w:val="19BE0713"/>
    <w:rsid w:val="1A0925FE"/>
    <w:rsid w:val="1C6578ED"/>
    <w:rsid w:val="1E992F72"/>
    <w:rsid w:val="1EBA0E9A"/>
    <w:rsid w:val="20891293"/>
    <w:rsid w:val="225D61C2"/>
    <w:rsid w:val="243454F7"/>
    <w:rsid w:val="245C0B3F"/>
    <w:rsid w:val="24F424AE"/>
    <w:rsid w:val="26DC65FA"/>
    <w:rsid w:val="28B10564"/>
    <w:rsid w:val="2A0B03E8"/>
    <w:rsid w:val="2A9F034B"/>
    <w:rsid w:val="2AD7780E"/>
    <w:rsid w:val="2C3161AC"/>
    <w:rsid w:val="2DBC1210"/>
    <w:rsid w:val="2E756305"/>
    <w:rsid w:val="30666D91"/>
    <w:rsid w:val="3325365E"/>
    <w:rsid w:val="33F97994"/>
    <w:rsid w:val="36295E2A"/>
    <w:rsid w:val="3AF36206"/>
    <w:rsid w:val="3B9528C7"/>
    <w:rsid w:val="3BCF5044"/>
    <w:rsid w:val="3E3940BF"/>
    <w:rsid w:val="3E5F4B3F"/>
    <w:rsid w:val="3EC975CF"/>
    <w:rsid w:val="3FE81F1A"/>
    <w:rsid w:val="42F37B95"/>
    <w:rsid w:val="43555BC3"/>
    <w:rsid w:val="438F40A0"/>
    <w:rsid w:val="43D73762"/>
    <w:rsid w:val="47850CFC"/>
    <w:rsid w:val="4AB97C54"/>
    <w:rsid w:val="4C8467CD"/>
    <w:rsid w:val="4E7E4BCD"/>
    <w:rsid w:val="4F375BA5"/>
    <w:rsid w:val="4FAA3A58"/>
    <w:rsid w:val="51560574"/>
    <w:rsid w:val="5334431C"/>
    <w:rsid w:val="55517407"/>
    <w:rsid w:val="56323178"/>
    <w:rsid w:val="588D398D"/>
    <w:rsid w:val="59E9710E"/>
    <w:rsid w:val="5D190FAD"/>
    <w:rsid w:val="5D68341A"/>
    <w:rsid w:val="5EED4EAF"/>
    <w:rsid w:val="62210307"/>
    <w:rsid w:val="624B37AE"/>
    <w:rsid w:val="633B5253"/>
    <w:rsid w:val="65904422"/>
    <w:rsid w:val="660C0DA0"/>
    <w:rsid w:val="679F2254"/>
    <w:rsid w:val="696D56A6"/>
    <w:rsid w:val="6A84342A"/>
    <w:rsid w:val="6A9C0CCD"/>
    <w:rsid w:val="6D013BDB"/>
    <w:rsid w:val="6D522AEC"/>
    <w:rsid w:val="6EF70EF3"/>
    <w:rsid w:val="6FAB550E"/>
    <w:rsid w:val="721F4879"/>
    <w:rsid w:val="745C5F9F"/>
    <w:rsid w:val="752B3379"/>
    <w:rsid w:val="77601A3F"/>
    <w:rsid w:val="7BEC7BA7"/>
    <w:rsid w:val="7DEBCAFF"/>
    <w:rsid w:val="7DFD3B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卢秋月</cp:lastModifiedBy>
  <cp:lastPrinted>2024-01-24T03:15:00Z</cp:lastPrinted>
  <dcterms:modified xsi:type="dcterms:W3CDTF">2024-02-28T00:50:01Z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866D89827BA44764883CEBD3E4F81D6B</vt:lpwstr>
  </property>
</Properties>
</file>