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rPr>
          <w:color w:val="auto"/>
          <w:sz w:val="84"/>
          <w:szCs w:val="84"/>
          <w:u w:val="single"/>
        </w:rPr>
      </w:pPr>
    </w:p>
    <w:p>
      <w:pPr>
        <w:rPr>
          <w:color w:val="auto"/>
          <w:sz w:val="84"/>
          <w:szCs w:val="84"/>
          <w:u w:val="single"/>
        </w:rPr>
      </w:pPr>
    </w:p>
    <w:p>
      <w:pPr>
        <w:jc w:val="center"/>
        <w:rPr>
          <w:rFonts w:ascii="Times New Roman" w:hAnsi="Times New Roman" w:cs="Times New Roman"/>
          <w:color w:val="auto"/>
          <w:sz w:val="52"/>
          <w:szCs w:val="52"/>
        </w:rPr>
      </w:pPr>
      <w:r>
        <w:rPr>
          <w:rFonts w:hint="eastAsia"/>
          <w:color w:val="auto"/>
          <w:sz w:val="52"/>
          <w:szCs w:val="52"/>
          <w:lang w:val="en-US" w:eastAsia="zh-CN"/>
        </w:rPr>
        <w:t>2024</w:t>
      </w:r>
      <w:r>
        <w:rPr>
          <w:rFonts w:hint="eastAsia"/>
          <w:color w:val="auto"/>
          <w:sz w:val="52"/>
          <w:szCs w:val="52"/>
        </w:rPr>
        <w:t>年</w:t>
      </w:r>
      <w:r>
        <w:rPr>
          <w:rFonts w:ascii="Times New Roman" w:hAnsi="Times New Roman" w:cs="Times New Roman"/>
          <w:color w:val="auto"/>
          <w:sz w:val="52"/>
          <w:szCs w:val="52"/>
        </w:rPr>
        <w:t>三亚市社会科学界</w:t>
      </w:r>
    </w:p>
    <w:p>
      <w:pPr>
        <w:jc w:val="center"/>
        <w:rPr>
          <w:color w:val="auto"/>
          <w:sz w:val="52"/>
          <w:szCs w:val="52"/>
        </w:rPr>
      </w:pPr>
      <w:r>
        <w:rPr>
          <w:rFonts w:ascii="Times New Roman" w:hAnsi="Times New Roman" w:cs="Times New Roman"/>
          <w:color w:val="auto"/>
          <w:sz w:val="52"/>
          <w:szCs w:val="52"/>
        </w:rPr>
        <w:t>联合会</w:t>
      </w:r>
      <w:r>
        <w:rPr>
          <w:rFonts w:hint="eastAsia"/>
          <w:color w:val="auto"/>
          <w:sz w:val="52"/>
          <w:szCs w:val="52"/>
        </w:rPr>
        <w:t>部门预算</w:t>
      </w: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rPr>
          <w:color w:val="auto"/>
          <w:sz w:val="32"/>
          <w:szCs w:val="32"/>
        </w:rPr>
      </w:pPr>
    </w:p>
    <w:p>
      <w:pPr>
        <w:jc w:val="center"/>
        <w:rPr>
          <w:rFonts w:hint="eastAsia" w:ascii="黑体" w:hAnsi="黑体" w:eastAsia="黑体"/>
          <w:color w:val="auto"/>
          <w:sz w:val="52"/>
          <w:szCs w:val="52"/>
        </w:rPr>
        <w:sectPr>
          <w:pgSz w:w="11906" w:h="16838"/>
          <w:pgMar w:top="1440" w:right="1800" w:bottom="1440" w:left="1800" w:header="851" w:footer="992" w:gutter="0"/>
          <w:cols w:space="720" w:num="1"/>
          <w:docGrid w:type="lines" w:linePitch="312" w:charSpace="0"/>
        </w:sect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三亚市社会科学界联合会</w:t>
      </w:r>
      <w:r>
        <w:rPr>
          <w:rFonts w:hint="eastAsia" w:ascii="黑体" w:hAnsi="黑体" w:eastAsia="黑体"/>
          <w:color w:val="auto"/>
          <w:sz w:val="32"/>
          <w:szCs w:val="32"/>
        </w:rPr>
        <w:t>部门概况</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部门预算单位构成</w:t>
      </w:r>
    </w:p>
    <w:p>
      <w:pPr>
        <w:pStyle w:val="6"/>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三亚市社会科学界联合会</w:t>
      </w:r>
      <w:r>
        <w:rPr>
          <w:rFonts w:hint="eastAsia" w:ascii="仿宋_GB2312" w:hAnsi="黑体" w:eastAsia="仿宋_GB2312" w:cs="仿宋_GB2312"/>
          <w:color w:val="auto"/>
          <w:sz w:val="32"/>
          <w:szCs w:val="32"/>
          <w:lang w:val="en-US" w:eastAsia="zh-CN"/>
        </w:rPr>
        <w:t>2024</w:t>
      </w:r>
      <w:r>
        <w:rPr>
          <w:rFonts w:hint="eastAsia" w:ascii="黑体" w:hAnsi="黑体" w:eastAsia="黑体"/>
          <w:color w:val="auto"/>
          <w:sz w:val="32"/>
          <w:szCs w:val="32"/>
        </w:rPr>
        <w:t>年部门预算表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部门收支总表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部门收入总表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部门支出总表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三亚市社会科学界联合会</w:t>
      </w:r>
      <w:r>
        <w:rPr>
          <w:rFonts w:hint="eastAsia" w:ascii="黑体" w:hAnsi="黑体" w:eastAsia="黑体"/>
          <w:color w:val="auto"/>
          <w:sz w:val="32"/>
          <w:szCs w:val="32"/>
          <w:lang w:val="en-US" w:eastAsia="zh-CN"/>
        </w:rPr>
        <w:t>2024</w:t>
      </w:r>
      <w:r>
        <w:rPr>
          <w:rFonts w:hint="eastAsia" w:ascii="黑体" w:hAnsi="黑体" w:eastAsia="黑体"/>
          <w:color w:val="auto"/>
          <w:sz w:val="32"/>
          <w:szCs w:val="32"/>
        </w:rPr>
        <w:t>年部门预算情况说明</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6"/>
        <w:ind w:left="1320" w:firstLine="0" w:firstLineChars="0"/>
        <w:jc w:val="left"/>
        <w:rPr>
          <w:rFonts w:ascii="黑体" w:hAnsi="黑体" w:eastAsia="黑体"/>
          <w:color w:val="auto"/>
          <w:sz w:val="32"/>
          <w:szCs w:val="32"/>
        </w:rPr>
      </w:pPr>
    </w:p>
    <w:p>
      <w:pPr>
        <w:pStyle w:val="6"/>
        <w:ind w:left="1320" w:firstLine="0" w:firstLineChars="0"/>
        <w:jc w:val="left"/>
        <w:rPr>
          <w:rFonts w:ascii="黑体" w:hAnsi="黑体" w:eastAsia="黑体"/>
          <w:color w:val="auto"/>
          <w:sz w:val="32"/>
          <w:szCs w:val="32"/>
        </w:rPr>
      </w:pPr>
    </w:p>
    <w:p>
      <w:pPr>
        <w:pStyle w:val="6"/>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pStyle w:val="6"/>
        <w:keepNext w:val="0"/>
        <w:keepLines w:val="0"/>
        <w:pageBreakBefore w:val="0"/>
        <w:numPr>
          <w:ilvl w:val="0"/>
          <w:numId w:val="4"/>
        </w:numPr>
        <w:kinsoku/>
        <w:wordWrap/>
        <w:overflowPunct/>
        <w:topLinePunct w:val="0"/>
        <w:autoSpaceDE/>
        <w:autoSpaceDN/>
        <w:bidi w:val="0"/>
        <w:adjustRightInd/>
        <w:snapToGrid/>
        <w:spacing w:line="240" w:lineRule="atLeast"/>
        <w:ind w:firstLineChars="0"/>
        <w:jc w:val="center"/>
        <w:textAlignment w:val="auto"/>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三亚市社会科学界联合会</w:t>
      </w:r>
      <w:r>
        <w:rPr>
          <w:rFonts w:hint="eastAsia" w:ascii="黑体" w:hAnsi="黑体" w:eastAsia="黑体"/>
          <w:color w:val="auto"/>
          <w:sz w:val="32"/>
          <w:szCs w:val="32"/>
        </w:rPr>
        <w:t>部门概况</w:t>
      </w:r>
    </w:p>
    <w:p>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仿宋_GB2312" w:eastAsia="仿宋_GB2312" w:cs="仿宋_GB2312"/>
          <w:color w:val="auto"/>
          <w:sz w:val="32"/>
          <w:szCs w:val="32"/>
        </w:rPr>
      </w:pPr>
    </w:p>
    <w:p>
      <w:pPr>
        <w:pStyle w:val="6"/>
        <w:keepNext w:val="0"/>
        <w:keepLines w:val="0"/>
        <w:pageBreakBefore w:val="0"/>
        <w:widowControl w:val="0"/>
        <w:numPr>
          <w:ilvl w:val="0"/>
          <w:numId w:val="5"/>
        </w:numPr>
        <w:kinsoku/>
        <w:wordWrap/>
        <w:overflowPunct/>
        <w:topLinePunct w:val="0"/>
        <w:autoSpaceDE/>
        <w:autoSpaceDN/>
        <w:bidi w:val="0"/>
        <w:adjustRightInd/>
        <w:snapToGrid/>
        <w:spacing w:line="240" w:lineRule="atLeast"/>
        <w:ind w:left="0" w:firstLine="640" w:firstLineChars="200"/>
        <w:jc w:val="left"/>
        <w:textAlignment w:val="auto"/>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keepNext w:val="0"/>
        <w:keepLines w:val="0"/>
        <w:pageBreakBefore w:val="0"/>
        <w:widowControl/>
        <w:numPr>
          <w:ilvl w:val="-1"/>
          <w:numId w:val="0"/>
        </w:numPr>
        <w:kinsoku/>
        <w:wordWrap/>
        <w:overflowPunct/>
        <w:topLinePunct w:val="0"/>
        <w:autoSpaceDE/>
        <w:autoSpaceDN/>
        <w:bidi w:val="0"/>
        <w:adjustRightInd/>
        <w:snapToGrid/>
        <w:spacing w:line="240" w:lineRule="atLeast"/>
        <w:ind w:left="0" w:firstLine="640" w:firstLineChars="200"/>
        <w:jc w:val="left"/>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eastAsia="zh-CN"/>
        </w:rPr>
        <w:t>（一）</w:t>
      </w:r>
      <w:r>
        <w:rPr>
          <w:rFonts w:hint="eastAsia" w:ascii="仿宋_GB2312" w:hAnsi="仿宋_GB2312" w:eastAsia="仿宋_GB2312" w:cs="仿宋_GB2312"/>
          <w:color w:val="auto"/>
          <w:kern w:val="2"/>
          <w:sz w:val="32"/>
          <w:szCs w:val="32"/>
        </w:rPr>
        <w:t>管理所属全市性各社会科学学会、协会、研究会，对本市的社会科学研究机构进行业务指导。</w:t>
      </w:r>
    </w:p>
    <w:p>
      <w:pPr>
        <w:keepNext w:val="0"/>
        <w:keepLines w:val="0"/>
        <w:pageBreakBefore w:val="0"/>
        <w:widowControl/>
        <w:numPr>
          <w:ilvl w:val="-1"/>
          <w:numId w:val="0"/>
        </w:numPr>
        <w:kinsoku/>
        <w:wordWrap/>
        <w:overflowPunct/>
        <w:topLinePunct w:val="0"/>
        <w:autoSpaceDE/>
        <w:autoSpaceDN/>
        <w:bidi w:val="0"/>
        <w:adjustRightInd/>
        <w:snapToGrid/>
        <w:spacing w:line="240" w:lineRule="atLeast"/>
        <w:ind w:left="0" w:firstLine="640" w:firstLineChars="200"/>
        <w:jc w:val="left"/>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eastAsia="zh-CN"/>
        </w:rPr>
        <w:t>（二）</w:t>
      </w:r>
      <w:r>
        <w:rPr>
          <w:rFonts w:hint="eastAsia" w:ascii="仿宋_GB2312" w:hAnsi="仿宋_GB2312" w:eastAsia="仿宋_GB2312" w:cs="仿宋_GB2312"/>
          <w:color w:val="auto"/>
          <w:kern w:val="2"/>
          <w:sz w:val="32"/>
          <w:szCs w:val="32"/>
        </w:rPr>
        <w:t>开展社科研究和学术交流，承担市委市政府交办和有关单位部门委托的重点课题研究，促进学科发展，为市委、市政府的科学决策服务，为三亚的经济社会发展服务。</w:t>
      </w:r>
    </w:p>
    <w:p>
      <w:pPr>
        <w:keepNext w:val="0"/>
        <w:keepLines w:val="0"/>
        <w:pageBreakBefore w:val="0"/>
        <w:widowControl/>
        <w:numPr>
          <w:ilvl w:val="-1"/>
          <w:numId w:val="0"/>
        </w:numPr>
        <w:kinsoku/>
        <w:wordWrap/>
        <w:overflowPunct/>
        <w:topLinePunct w:val="0"/>
        <w:autoSpaceDE/>
        <w:autoSpaceDN/>
        <w:bidi w:val="0"/>
        <w:adjustRightInd/>
        <w:snapToGrid/>
        <w:spacing w:line="240" w:lineRule="atLeast"/>
        <w:ind w:left="0" w:firstLine="640" w:firstLineChars="200"/>
        <w:jc w:val="left"/>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eastAsia="zh-CN"/>
        </w:rPr>
        <w:t>（三）</w:t>
      </w:r>
      <w:r>
        <w:rPr>
          <w:rFonts w:hint="eastAsia" w:ascii="仿宋_GB2312" w:hAnsi="仿宋_GB2312" w:eastAsia="仿宋_GB2312" w:cs="仿宋_GB2312"/>
          <w:color w:val="auto"/>
          <w:kern w:val="2"/>
          <w:sz w:val="32"/>
          <w:szCs w:val="32"/>
        </w:rPr>
        <w:t>组织制订三亚市哲学社会科学事业发展规划，负责制定、管理和协调全市的社会科学研究课题。</w:t>
      </w:r>
    </w:p>
    <w:p>
      <w:pPr>
        <w:keepNext w:val="0"/>
        <w:keepLines w:val="0"/>
        <w:pageBreakBefore w:val="0"/>
        <w:widowControl/>
        <w:numPr>
          <w:ilvl w:val="-1"/>
          <w:numId w:val="0"/>
        </w:numPr>
        <w:kinsoku/>
        <w:wordWrap/>
        <w:overflowPunct/>
        <w:topLinePunct w:val="0"/>
        <w:autoSpaceDE/>
        <w:autoSpaceDN/>
        <w:bidi w:val="0"/>
        <w:adjustRightInd/>
        <w:snapToGrid/>
        <w:spacing w:line="240" w:lineRule="atLeast"/>
        <w:ind w:left="0" w:firstLine="640" w:firstLineChars="200"/>
        <w:jc w:val="left"/>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eastAsia="zh-CN"/>
        </w:rPr>
        <w:t>（四）</w:t>
      </w:r>
      <w:r>
        <w:rPr>
          <w:rFonts w:hint="eastAsia" w:ascii="仿宋_GB2312" w:hAnsi="仿宋_GB2312" w:eastAsia="仿宋_GB2312" w:cs="仿宋_GB2312"/>
          <w:color w:val="auto"/>
          <w:kern w:val="2"/>
          <w:sz w:val="32"/>
          <w:szCs w:val="32"/>
        </w:rPr>
        <w:t>开展社会科学知识的普及和培训工作；进行社会科学咨询服务，促进社会科学研究成果的推广应用，推动三亚学习型社会的建设。</w:t>
      </w:r>
    </w:p>
    <w:p>
      <w:pPr>
        <w:keepNext w:val="0"/>
        <w:keepLines w:val="0"/>
        <w:pageBreakBefore w:val="0"/>
        <w:widowControl/>
        <w:numPr>
          <w:ilvl w:val="-1"/>
          <w:numId w:val="0"/>
        </w:numPr>
        <w:kinsoku/>
        <w:wordWrap/>
        <w:overflowPunct/>
        <w:topLinePunct w:val="0"/>
        <w:autoSpaceDE/>
        <w:autoSpaceDN/>
        <w:bidi w:val="0"/>
        <w:adjustRightInd/>
        <w:snapToGrid/>
        <w:spacing w:line="240" w:lineRule="atLeast"/>
        <w:ind w:left="0" w:firstLine="640" w:firstLineChars="200"/>
        <w:jc w:val="left"/>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eastAsia="zh-CN"/>
        </w:rPr>
        <w:t>（五）</w:t>
      </w:r>
      <w:r>
        <w:rPr>
          <w:rFonts w:hint="eastAsia" w:ascii="仿宋_GB2312" w:hAnsi="仿宋_GB2312" w:eastAsia="仿宋_GB2312" w:cs="仿宋_GB2312"/>
          <w:color w:val="auto"/>
          <w:kern w:val="2"/>
          <w:sz w:val="32"/>
          <w:szCs w:val="32"/>
        </w:rPr>
        <w:t>负责建立和加强社会科学界同社会各界、自然科学界的联系与合作，促进科学研究与实践相结合。</w:t>
      </w:r>
    </w:p>
    <w:p>
      <w:pPr>
        <w:keepNext w:val="0"/>
        <w:keepLines w:val="0"/>
        <w:pageBreakBefore w:val="0"/>
        <w:widowControl/>
        <w:numPr>
          <w:ilvl w:val="-1"/>
          <w:numId w:val="0"/>
        </w:numPr>
        <w:kinsoku/>
        <w:wordWrap/>
        <w:overflowPunct/>
        <w:topLinePunct w:val="0"/>
        <w:autoSpaceDE/>
        <w:autoSpaceDN/>
        <w:bidi w:val="0"/>
        <w:adjustRightInd/>
        <w:snapToGrid/>
        <w:spacing w:line="240" w:lineRule="atLeast"/>
        <w:ind w:left="0" w:firstLine="640" w:firstLineChars="200"/>
        <w:jc w:val="left"/>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eastAsia="zh-CN"/>
        </w:rPr>
        <w:t>（六）</w:t>
      </w:r>
      <w:r>
        <w:rPr>
          <w:rFonts w:hint="eastAsia" w:ascii="仿宋_GB2312" w:hAnsi="仿宋_GB2312" w:eastAsia="仿宋_GB2312" w:cs="仿宋_GB2312"/>
          <w:color w:val="auto"/>
          <w:kern w:val="2"/>
          <w:sz w:val="32"/>
          <w:szCs w:val="32"/>
        </w:rPr>
        <w:t>负责建立全市社会科学优秀研究成果评选、社科课题立项、社会科学先进学会评奖及表彰优秀社会科学工作者。</w:t>
      </w:r>
    </w:p>
    <w:p>
      <w:pPr>
        <w:keepNext w:val="0"/>
        <w:keepLines w:val="0"/>
        <w:pageBreakBefore w:val="0"/>
        <w:widowControl/>
        <w:numPr>
          <w:ilvl w:val="-1"/>
          <w:numId w:val="0"/>
        </w:numPr>
        <w:kinsoku/>
        <w:wordWrap/>
        <w:overflowPunct/>
        <w:topLinePunct w:val="0"/>
        <w:autoSpaceDE/>
        <w:autoSpaceDN/>
        <w:bidi w:val="0"/>
        <w:adjustRightInd/>
        <w:snapToGrid/>
        <w:spacing w:line="240" w:lineRule="atLeast"/>
        <w:ind w:left="0" w:firstLine="640" w:firstLineChars="200"/>
        <w:jc w:val="left"/>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eastAsia="zh-CN"/>
        </w:rPr>
        <w:t>（七）</w:t>
      </w:r>
      <w:r>
        <w:rPr>
          <w:rFonts w:hint="eastAsia" w:ascii="仿宋_GB2312" w:hAnsi="仿宋_GB2312" w:eastAsia="仿宋_GB2312" w:cs="仿宋_GB2312"/>
          <w:color w:val="auto"/>
          <w:kern w:val="2"/>
          <w:sz w:val="32"/>
          <w:szCs w:val="32"/>
        </w:rPr>
        <w:t>贯彻党的尊重知识、尊重人才和政策，密切联系广大社会科学工作者，听取和反映他们的意见和要求，关心和维护他们的正当权益。</w:t>
      </w:r>
    </w:p>
    <w:p>
      <w:pPr>
        <w:keepNext w:val="0"/>
        <w:keepLines w:val="0"/>
        <w:pageBreakBefore w:val="0"/>
        <w:numPr>
          <w:ilvl w:val="-1"/>
          <w:numId w:val="0"/>
        </w:numPr>
        <w:kinsoku/>
        <w:wordWrap/>
        <w:overflowPunct/>
        <w:topLinePunct w:val="0"/>
        <w:autoSpaceDE/>
        <w:autoSpaceDN/>
        <w:bidi w:val="0"/>
        <w:adjustRightInd/>
        <w:snapToGrid/>
        <w:spacing w:line="240" w:lineRule="atLeast"/>
        <w:ind w:left="420" w:leftChars="200" w:firstLine="0" w:firstLineChars="0"/>
        <w:jc w:val="left"/>
        <w:textAlignment w:val="auto"/>
        <w:rPr>
          <w:rFonts w:ascii="黑体" w:hAnsi="黑体" w:eastAsia="黑体" w:cs="仿宋_GB2312"/>
          <w:color w:val="auto"/>
          <w:sz w:val="32"/>
          <w:szCs w:val="32"/>
        </w:rPr>
      </w:pPr>
      <w:r>
        <w:rPr>
          <w:rFonts w:hint="eastAsia" w:ascii="仿宋_GB2312" w:hAnsi="仿宋_GB2312" w:eastAsia="仿宋_GB2312" w:cs="仿宋_GB2312"/>
          <w:color w:val="auto"/>
          <w:kern w:val="2"/>
          <w:sz w:val="32"/>
          <w:szCs w:val="32"/>
          <w:lang w:eastAsia="zh-CN"/>
        </w:rPr>
        <w:t>（八）</w:t>
      </w:r>
      <w:r>
        <w:rPr>
          <w:rFonts w:hint="eastAsia" w:ascii="仿宋_GB2312" w:hAnsi="仿宋_GB2312" w:eastAsia="仿宋_GB2312" w:cs="仿宋_GB2312"/>
          <w:color w:val="auto"/>
          <w:kern w:val="2"/>
          <w:sz w:val="32"/>
          <w:szCs w:val="32"/>
        </w:rPr>
        <w:t>承办市委、市政府和上级部门交办的工作；检查指导各区与社科联相关的工作。</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200" w:firstLine="640" w:firstLineChars="200"/>
        <w:jc w:val="left"/>
        <w:textAlignment w:val="auto"/>
        <w:rPr>
          <w:rFonts w:ascii="黑体" w:hAnsi="黑体" w:eastAsia="黑体" w:cs="仿宋_GB2312"/>
          <w:color w:val="auto"/>
          <w:sz w:val="32"/>
          <w:szCs w:val="32"/>
        </w:rPr>
      </w:pPr>
      <w:r>
        <w:rPr>
          <w:rFonts w:hint="eastAsia" w:ascii="黑体" w:hAnsi="黑体" w:eastAsia="黑体" w:cs="仿宋_GB2312"/>
          <w:color w:val="auto"/>
          <w:sz w:val="32"/>
          <w:szCs w:val="32"/>
          <w:lang w:eastAsia="zh-CN"/>
        </w:rPr>
        <w:t>二、</w:t>
      </w:r>
      <w:r>
        <w:rPr>
          <w:rFonts w:hint="eastAsia" w:ascii="黑体" w:hAnsi="黑体" w:eastAsia="黑体" w:cs="仿宋_GB2312"/>
          <w:color w:val="auto"/>
          <w:sz w:val="32"/>
          <w:szCs w:val="32"/>
        </w:rPr>
        <w:t>部门预算单位构成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640" w:firstLineChars="200"/>
        <w:jc w:val="left"/>
        <w:textAlignment w:val="auto"/>
        <w:rPr>
          <w:rFonts w:hint="eastAsia" w:ascii="仿宋_GB2312" w:hAnsi="黑体" w:eastAsia="仿宋_GB2312" w:cs="黑体"/>
          <w:color w:val="auto"/>
          <w:sz w:val="32"/>
          <w:szCs w:val="32"/>
        </w:rPr>
      </w:pPr>
      <w:r>
        <w:rPr>
          <w:rFonts w:hint="eastAsia" w:ascii="仿宋_GB2312" w:hAnsi="黑体" w:eastAsia="仿宋_GB2312" w:cs="黑体"/>
          <w:color w:val="auto"/>
          <w:kern w:val="2"/>
          <w:sz w:val="32"/>
          <w:szCs w:val="32"/>
        </w:rPr>
        <w:t>市社科联机关事业编制6名。其中</w:t>
      </w:r>
      <w:r>
        <w:rPr>
          <w:rFonts w:hint="eastAsia" w:ascii="仿宋_GB2312" w:hAnsi="黑体" w:eastAsia="仿宋_GB2312" w:cs="黑体"/>
          <w:color w:val="auto"/>
          <w:kern w:val="2"/>
          <w:sz w:val="32"/>
          <w:szCs w:val="32"/>
          <w:lang w:eastAsia="zh-CN"/>
        </w:rPr>
        <w:t>党组书记</w:t>
      </w:r>
      <w:r>
        <w:rPr>
          <w:rFonts w:hint="eastAsia" w:ascii="仿宋_GB2312" w:hAnsi="黑体" w:eastAsia="仿宋_GB2312" w:cs="黑体"/>
          <w:color w:val="auto"/>
          <w:kern w:val="2"/>
          <w:sz w:val="32"/>
          <w:szCs w:val="32"/>
        </w:rPr>
        <w:t>1名</w:t>
      </w:r>
      <w:r>
        <w:rPr>
          <w:rFonts w:hint="eastAsia" w:ascii="仿宋_GB2312" w:hAnsi="黑体" w:eastAsia="仿宋_GB2312" w:cs="黑体"/>
          <w:color w:val="auto"/>
          <w:kern w:val="2"/>
          <w:sz w:val="32"/>
          <w:szCs w:val="32"/>
          <w:lang w:eastAsia="zh-CN"/>
        </w:rPr>
        <w:t>，副主席</w:t>
      </w:r>
      <w:r>
        <w:rPr>
          <w:rFonts w:hint="eastAsia" w:ascii="仿宋_GB2312" w:hAnsi="黑体" w:eastAsia="仿宋_GB2312" w:cs="黑体"/>
          <w:color w:val="auto"/>
          <w:kern w:val="2"/>
          <w:sz w:val="32"/>
          <w:szCs w:val="32"/>
          <w:lang w:val="en-US" w:eastAsia="zh-CN"/>
        </w:rPr>
        <w:t>1名；</w:t>
      </w:r>
      <w:r>
        <w:rPr>
          <w:rFonts w:hint="eastAsia" w:ascii="仿宋_GB2312" w:hAnsi="黑体" w:eastAsia="仿宋_GB2312" w:cs="黑体"/>
          <w:color w:val="auto"/>
          <w:kern w:val="2"/>
          <w:sz w:val="32"/>
          <w:szCs w:val="32"/>
        </w:rPr>
        <w:t>科级领导职数1名；工勤技能岗位1名。市社科联机关设置办公室1个科级内设机构。纳入</w:t>
      </w:r>
      <w:r>
        <w:rPr>
          <w:rFonts w:hint="eastAsia" w:ascii="仿宋_GB2312" w:hAnsi="黑体" w:eastAsia="仿宋_GB2312" w:cs="黑体"/>
          <w:color w:val="auto"/>
          <w:sz w:val="32"/>
          <w:szCs w:val="32"/>
        </w:rPr>
        <w:t>市社科联</w:t>
      </w:r>
      <w:r>
        <w:rPr>
          <w:rFonts w:hint="eastAsia" w:ascii="仿宋_GB2312" w:hAnsi="黑体" w:eastAsia="仿宋_GB2312" w:cs="黑体"/>
          <w:color w:val="auto"/>
          <w:kern w:val="2"/>
          <w:sz w:val="32"/>
          <w:szCs w:val="32"/>
        </w:rPr>
        <w:t>部门202</w:t>
      </w:r>
      <w:r>
        <w:rPr>
          <w:rFonts w:hint="eastAsia" w:ascii="仿宋_GB2312" w:hAnsi="黑体" w:eastAsia="仿宋_GB2312" w:cs="黑体"/>
          <w:color w:val="auto"/>
          <w:kern w:val="2"/>
          <w:sz w:val="32"/>
          <w:szCs w:val="32"/>
          <w:lang w:val="en-US" w:eastAsia="zh-CN"/>
        </w:rPr>
        <w:t>4</w:t>
      </w:r>
      <w:r>
        <w:rPr>
          <w:rFonts w:hint="eastAsia" w:ascii="仿宋_GB2312" w:hAnsi="黑体" w:eastAsia="仿宋_GB2312" w:cs="黑体"/>
          <w:color w:val="auto"/>
          <w:kern w:val="2"/>
          <w:sz w:val="32"/>
          <w:szCs w:val="32"/>
        </w:rPr>
        <w:t>年部门预算编制范围的只有部门本级，没有二级预算单位。</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hint="eastAsia"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黑体" w:hAnsi="黑体" w:eastAsia="黑体" w:cs="黑体"/>
          <w:color w:val="auto"/>
          <w:sz w:val="32"/>
          <w:szCs w:val="32"/>
          <w:lang w:eastAsia="zh-CN"/>
        </w:rPr>
        <w:t>三亚市社会科学界联合会</w:t>
      </w:r>
      <w:r>
        <w:rPr>
          <w:rFonts w:hint="eastAsia" w:ascii="仿宋_GB2312" w:hAnsi="黑体" w:eastAsia="仿宋_GB2312" w:cs="仿宋_GB2312"/>
          <w:color w:val="auto"/>
          <w:sz w:val="32"/>
          <w:szCs w:val="32"/>
          <w:lang w:val="en-US" w:eastAsia="zh-CN"/>
        </w:rPr>
        <w:t>2024</w:t>
      </w:r>
      <w:r>
        <w:rPr>
          <w:rFonts w:hint="eastAsia" w:ascii="黑体" w:hAnsi="黑体" w:eastAsia="黑体"/>
          <w:color w:val="auto"/>
          <w:sz w:val="32"/>
          <w:szCs w:val="32"/>
        </w:rPr>
        <w:t>年部门预算表</w:t>
      </w:r>
    </w:p>
    <w:p>
      <w:pPr>
        <w:keepNext w:val="0"/>
        <w:keepLines w:val="0"/>
        <w:pageBreakBefore w:val="0"/>
        <w:kinsoku/>
        <w:wordWrap/>
        <w:overflowPunct/>
        <w:topLinePunct w:val="0"/>
        <w:autoSpaceDE/>
        <w:autoSpaceDN/>
        <w:bidi w:val="0"/>
        <w:adjustRightInd/>
        <w:snapToGrid/>
        <w:spacing w:line="240" w:lineRule="atLeast"/>
        <w:ind w:left="800"/>
        <w:jc w:val="left"/>
        <w:textAlignment w:val="auto"/>
        <w:rPr>
          <w:rFonts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240" w:lineRule="atLeast"/>
        <w:ind w:left="800"/>
        <w:jc w:val="center"/>
        <w:textAlignment w:val="auto"/>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（此部分内容即为部门预算公开表）</w:t>
      </w:r>
    </w:p>
    <w:p>
      <w:pPr>
        <w:keepNext w:val="0"/>
        <w:keepLines w:val="0"/>
        <w:pageBreakBefore w:val="0"/>
        <w:kinsoku/>
        <w:wordWrap/>
        <w:overflowPunct/>
        <w:topLinePunct w:val="0"/>
        <w:autoSpaceDE/>
        <w:autoSpaceDN/>
        <w:bidi w:val="0"/>
        <w:adjustRightInd/>
        <w:snapToGrid/>
        <w:spacing w:line="240" w:lineRule="atLeast"/>
        <w:textAlignment w:val="auto"/>
        <w:rPr>
          <w:rFonts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240" w:lineRule="atLeast"/>
        <w:ind w:firstLine="480" w:firstLineChars="150"/>
        <w:textAlignment w:val="auto"/>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s="黑体"/>
          <w:color w:val="auto"/>
          <w:sz w:val="32"/>
          <w:szCs w:val="32"/>
          <w:lang w:eastAsia="zh-CN"/>
        </w:rPr>
        <w:t>三亚市社会科学界联合会</w:t>
      </w:r>
      <w:r>
        <w:rPr>
          <w:rFonts w:hint="eastAsia" w:ascii="仿宋_GB2312" w:hAnsi="黑体" w:eastAsia="仿宋_GB2312" w:cs="仿宋_GB2312"/>
          <w:color w:val="auto"/>
          <w:sz w:val="32"/>
          <w:szCs w:val="32"/>
          <w:lang w:val="en-US" w:eastAsia="zh-CN"/>
        </w:rPr>
        <w:t>2024</w:t>
      </w:r>
      <w:r>
        <w:rPr>
          <w:rFonts w:hint="eastAsia" w:ascii="黑体" w:hAnsi="黑体" w:eastAsia="黑体"/>
          <w:color w:val="auto"/>
          <w:sz w:val="32"/>
          <w:szCs w:val="32"/>
        </w:rPr>
        <w:t>年部门预算情况说明</w:t>
      </w:r>
    </w:p>
    <w:p>
      <w:pPr>
        <w:keepNext w:val="0"/>
        <w:keepLines w:val="0"/>
        <w:pageBreakBefore w:val="0"/>
        <w:kinsoku/>
        <w:wordWrap/>
        <w:overflowPunct/>
        <w:topLinePunct w:val="0"/>
        <w:autoSpaceDE/>
        <w:autoSpaceDN/>
        <w:bidi w:val="0"/>
        <w:adjustRightInd/>
        <w:snapToGrid/>
        <w:spacing w:line="240" w:lineRule="atLeast"/>
        <w:jc w:val="center"/>
        <w:textAlignment w:val="auto"/>
        <w:rPr>
          <w:rFonts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240" w:lineRule="atLeast"/>
        <w:ind w:firstLine="640" w:firstLineChars="200"/>
        <w:jc w:val="left"/>
        <w:textAlignment w:val="auto"/>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eastAsia="zh-CN"/>
        </w:rPr>
        <w:t>三亚市社会科学界联合会部门</w:t>
      </w:r>
      <w:r>
        <w:rPr>
          <w:rFonts w:hint="eastAsia" w:ascii="仿宋_GB2312" w:hAnsi="黑体" w:eastAsia="仿宋_GB2312" w:cs="仿宋_GB2312"/>
          <w:color w:val="auto"/>
          <w:sz w:val="32"/>
          <w:szCs w:val="32"/>
          <w:lang w:val="en-US" w:eastAsia="zh-CN"/>
        </w:rPr>
        <w:t>2024</w:t>
      </w:r>
      <w:r>
        <w:rPr>
          <w:rFonts w:hint="eastAsia" w:ascii="黑体" w:hAnsi="黑体" w:eastAsia="黑体"/>
          <w:color w:val="auto"/>
          <w:sz w:val="32"/>
          <w:szCs w:val="32"/>
        </w:rPr>
        <w:t>年财政拨款收支预算情况的总体说明</w:t>
      </w:r>
    </w:p>
    <w:p>
      <w:pPr>
        <w:keepNext w:val="0"/>
        <w:keepLines w:val="0"/>
        <w:pageBreakBefore w:val="0"/>
        <w:kinsoku/>
        <w:wordWrap/>
        <w:overflowPunct/>
        <w:topLinePunct w:val="0"/>
        <w:autoSpaceDE/>
        <w:autoSpaceDN/>
        <w:bidi w:val="0"/>
        <w:adjustRightInd/>
        <w:snapToGrid/>
        <w:spacing w:line="240" w:lineRule="atLeast"/>
        <w:ind w:firstLine="640" w:firstLineChars="200"/>
        <w:jc w:val="left"/>
        <w:textAlignment w:val="auto"/>
        <w:rPr>
          <w:rFonts w:ascii="仿宋_GB2312" w:hAnsi="黑体" w:eastAsia="仿宋_GB2312"/>
          <w:color w:val="auto"/>
          <w:sz w:val="32"/>
          <w:szCs w:val="32"/>
        </w:rPr>
      </w:pPr>
      <w:r>
        <w:rPr>
          <w:rFonts w:hint="eastAsia" w:ascii="仿宋_GB2312" w:hAnsi="黑体" w:eastAsia="仿宋_GB2312"/>
          <w:color w:val="auto"/>
          <w:sz w:val="32"/>
          <w:szCs w:val="32"/>
        </w:rPr>
        <w:t>关于三亚市社会科学界联合会2024年财政拨款收支总预算495.90万元。其中，收入总计</w:t>
      </w:r>
      <w:r>
        <w:rPr>
          <w:rFonts w:hint="eastAsia" w:ascii="仿宋_GB2312" w:hAnsi="黑体" w:eastAsia="仿宋_GB2312" w:cs="仿宋_GB2312"/>
          <w:color w:val="auto"/>
          <w:sz w:val="32"/>
          <w:szCs w:val="32"/>
        </w:rPr>
        <w:t>495.90</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rPr>
        <w:t>495.90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rPr>
        <w:t>495.90</w:t>
      </w:r>
      <w:r>
        <w:rPr>
          <w:rFonts w:hint="eastAsia" w:ascii="仿宋_GB2312" w:hAnsi="黑体" w:eastAsia="仿宋_GB2312"/>
          <w:color w:val="auto"/>
          <w:sz w:val="32"/>
          <w:szCs w:val="32"/>
        </w:rPr>
        <w:t>万元，包括一般公共服务支出</w:t>
      </w:r>
      <w:r>
        <w:rPr>
          <w:rFonts w:hint="eastAsia" w:ascii="仿宋_GB2312" w:hAnsi="黑体" w:eastAsia="仿宋_GB2312" w:cs="仿宋_GB2312"/>
          <w:color w:val="auto"/>
          <w:sz w:val="32"/>
          <w:szCs w:val="32"/>
        </w:rPr>
        <w:t>234.31</w:t>
      </w:r>
      <w:r>
        <w:rPr>
          <w:rFonts w:hint="eastAsia" w:ascii="仿宋_GB2312" w:hAnsi="黑体" w:eastAsia="仿宋_GB2312"/>
          <w:color w:val="auto"/>
          <w:sz w:val="32"/>
          <w:szCs w:val="32"/>
        </w:rPr>
        <w:t>万元、 科学技术支出166.60元、 社会保障和就业支出57.30万元、 卫生健康支出22.29</w:t>
      </w:r>
      <w:r>
        <w:rPr>
          <w:rFonts w:hint="eastAsia" w:ascii="仿宋_GB2312" w:hAnsi="黑体" w:eastAsia="仿宋_GB2312"/>
          <w:color w:val="auto"/>
          <w:sz w:val="32"/>
          <w:szCs w:val="32"/>
          <w:lang w:eastAsia="zh-CN"/>
        </w:rPr>
        <w:t>万元、住房保障支出15.40万元、</w:t>
      </w:r>
      <w:r>
        <w:rPr>
          <w:rFonts w:hint="eastAsia" w:ascii="仿宋_GB2312" w:hAnsi="黑体" w:eastAsia="仿宋_GB2312"/>
          <w:color w:val="auto"/>
          <w:sz w:val="32"/>
          <w:szCs w:val="32"/>
        </w:rPr>
        <w:t>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keepNext w:val="0"/>
        <w:keepLines w:val="0"/>
        <w:pageBreakBefore w:val="0"/>
        <w:kinsoku/>
        <w:wordWrap/>
        <w:overflowPunct/>
        <w:topLinePunct w:val="0"/>
        <w:autoSpaceDE/>
        <w:autoSpaceDN/>
        <w:bidi w:val="0"/>
        <w:adjustRightInd/>
        <w:snapToGrid/>
        <w:spacing w:line="240" w:lineRule="atLeast"/>
        <w:ind w:firstLine="640"/>
        <w:jc w:val="left"/>
        <w:textAlignment w:val="auto"/>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eastAsia="zh-CN"/>
        </w:rPr>
        <w:t>三亚市社会科学界联合会部门</w:t>
      </w:r>
      <w:r>
        <w:rPr>
          <w:rFonts w:hint="eastAsia" w:ascii="仿宋_GB2312" w:hAnsi="黑体" w:eastAsia="仿宋_GB2312" w:cs="仿宋_GB2312"/>
          <w:color w:val="auto"/>
          <w:sz w:val="32"/>
          <w:szCs w:val="32"/>
          <w:lang w:val="en-US" w:eastAsia="zh-CN"/>
        </w:rPr>
        <w:t>2024</w:t>
      </w:r>
      <w:r>
        <w:rPr>
          <w:rFonts w:hint="eastAsia" w:ascii="黑体" w:hAnsi="黑体" w:eastAsia="黑体"/>
          <w:color w:val="auto"/>
          <w:sz w:val="32"/>
          <w:szCs w:val="32"/>
        </w:rPr>
        <w:t>年一般公共预算当年拨款情况说明</w:t>
      </w:r>
    </w:p>
    <w:p>
      <w:pPr>
        <w:keepNext w:val="0"/>
        <w:keepLines w:val="0"/>
        <w:pageBreakBefore w:val="0"/>
        <w:kinsoku/>
        <w:wordWrap/>
        <w:overflowPunct/>
        <w:topLinePunct w:val="0"/>
        <w:autoSpaceDE/>
        <w:autoSpaceDN/>
        <w:bidi w:val="0"/>
        <w:adjustRightInd/>
        <w:snapToGrid/>
        <w:spacing w:line="240" w:lineRule="atLeast"/>
        <w:ind w:firstLine="640"/>
        <w:jc w:val="left"/>
        <w:textAlignment w:val="auto"/>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rPr>
        <w:t>三亚市社会科学界联合会部门2024年一般公共预算当年拨款</w:t>
      </w:r>
      <w:r>
        <w:rPr>
          <w:rFonts w:hint="eastAsia" w:ascii="仿宋_GB2312" w:hAnsi="黑体" w:eastAsia="仿宋_GB2312" w:cs="仿宋_GB2312"/>
          <w:color w:val="auto"/>
          <w:sz w:val="32"/>
          <w:szCs w:val="32"/>
        </w:rPr>
        <w:t>495.9</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64.17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：一是新调入一名在职人员，其工资、社保、公积金费用相应增加；二是单位</w:t>
      </w:r>
      <w:r>
        <w:rPr>
          <w:rFonts w:hint="eastAsia" w:ascii="仿宋_GB2312" w:hAnsi="黑体" w:eastAsia="仿宋_GB2312"/>
          <w:color w:val="auto"/>
          <w:sz w:val="32"/>
          <w:szCs w:val="32"/>
          <w:lang w:val="en-US" w:eastAsia="zh-CN"/>
        </w:rPr>
        <w:t>聘用人员工资、社保、公积金基数调整，</w:t>
      </w:r>
      <w:r>
        <w:rPr>
          <w:rFonts w:ascii="Times New Roman" w:hAnsi="Times New Roman" w:eastAsia="仿宋_GB2312" w:cs="Times New Roman"/>
          <w:color w:val="auto"/>
          <w:sz w:val="32"/>
          <w:szCs w:val="32"/>
        </w:rPr>
        <w:t>造成相关费用增加</w:t>
      </w:r>
      <w:r>
        <w:rPr>
          <w:rFonts w:hint="eastAsia" w:ascii="仿宋_GB2312" w:hAnsi="黑体" w:eastAsia="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240" w:lineRule="atLeast"/>
        <w:ind w:firstLine="640"/>
        <w:jc w:val="left"/>
        <w:textAlignment w:val="auto"/>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keepNext w:val="0"/>
        <w:keepLines w:val="0"/>
        <w:pageBreakBefore w:val="0"/>
        <w:kinsoku/>
        <w:wordWrap/>
        <w:overflowPunct/>
        <w:topLinePunct w:val="0"/>
        <w:autoSpaceDE/>
        <w:autoSpaceDN/>
        <w:bidi w:val="0"/>
        <w:adjustRightInd/>
        <w:snapToGrid/>
        <w:spacing w:line="240" w:lineRule="atLeast"/>
        <w:ind w:firstLine="800" w:firstLineChars="250"/>
        <w:textAlignment w:val="auto"/>
        <w:rPr>
          <w:rFonts w:ascii="仿宋_GB2312" w:hAnsi="黑体" w:eastAsia="仿宋_GB2312"/>
          <w:color w:val="auto"/>
          <w:sz w:val="32"/>
          <w:szCs w:val="32"/>
        </w:rPr>
      </w:pPr>
      <w:r>
        <w:rPr>
          <w:rFonts w:hint="eastAsia" w:ascii="仿宋_GB2312" w:hAnsi="黑体" w:eastAsia="仿宋_GB2312" w:cs="仿宋_GB2312"/>
          <w:color w:val="auto"/>
          <w:sz w:val="32"/>
          <w:szCs w:val="32"/>
        </w:rPr>
        <w:t>一般公共服务（类）支出234.31</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47.25</w:t>
      </w:r>
      <w:r>
        <w:rPr>
          <w:rFonts w:hint="eastAsia" w:ascii="仿宋_GB2312" w:hAnsi="黑体" w:eastAsia="仿宋_GB2312"/>
          <w:color w:val="auto"/>
          <w:sz w:val="32"/>
          <w:szCs w:val="32"/>
        </w:rPr>
        <w:t>%；科学技术（类）</w:t>
      </w:r>
      <w:r>
        <w:rPr>
          <w:rFonts w:hint="eastAsia" w:ascii="仿宋_GB2312" w:hAnsi="黑体" w:eastAsia="仿宋_GB2312" w:cs="仿宋_GB2312"/>
          <w:color w:val="auto"/>
          <w:sz w:val="32"/>
          <w:szCs w:val="32"/>
        </w:rPr>
        <w:t>支出166.60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33.59</w:t>
      </w:r>
      <w:r>
        <w:rPr>
          <w:rFonts w:hint="eastAsia" w:ascii="仿宋_GB2312" w:hAnsi="黑体" w:eastAsia="仿宋_GB2312"/>
          <w:color w:val="auto"/>
          <w:sz w:val="32"/>
          <w:szCs w:val="32"/>
        </w:rPr>
        <w:t>%；社会保障和就业（类）</w:t>
      </w:r>
      <w:r>
        <w:rPr>
          <w:rFonts w:hint="eastAsia" w:ascii="仿宋_GB2312" w:hAnsi="黑体" w:eastAsia="仿宋_GB2312" w:cs="仿宋_GB2312"/>
          <w:color w:val="auto"/>
          <w:sz w:val="32"/>
          <w:szCs w:val="32"/>
        </w:rPr>
        <w:t>支出57.30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11.55</w:t>
      </w:r>
      <w:r>
        <w:rPr>
          <w:rFonts w:hint="eastAsia" w:ascii="仿宋_GB2312" w:hAnsi="黑体" w:eastAsia="仿宋_GB2312"/>
          <w:color w:val="auto"/>
          <w:sz w:val="32"/>
          <w:szCs w:val="32"/>
        </w:rPr>
        <w:t>%；卫生健康（类）</w:t>
      </w:r>
      <w:r>
        <w:rPr>
          <w:rFonts w:hint="eastAsia" w:ascii="仿宋_GB2312" w:hAnsi="黑体" w:eastAsia="仿宋_GB2312" w:cs="仿宋_GB2312"/>
          <w:color w:val="auto"/>
          <w:sz w:val="32"/>
          <w:szCs w:val="32"/>
        </w:rPr>
        <w:t>支出22.29</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4.50</w:t>
      </w:r>
      <w:r>
        <w:rPr>
          <w:rFonts w:hint="eastAsia" w:ascii="仿宋_GB2312" w:hAnsi="黑体" w:eastAsia="仿宋_GB2312"/>
          <w:color w:val="auto"/>
          <w:sz w:val="32"/>
          <w:szCs w:val="32"/>
        </w:rPr>
        <w:t>%；住房保障（类）</w:t>
      </w:r>
      <w:r>
        <w:rPr>
          <w:rFonts w:hint="eastAsia" w:ascii="仿宋_GB2312" w:hAnsi="黑体" w:eastAsia="仿宋_GB2312" w:cs="仿宋_GB2312"/>
          <w:color w:val="auto"/>
          <w:sz w:val="32"/>
          <w:szCs w:val="32"/>
        </w:rPr>
        <w:t>支出15.40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3.11</w:t>
      </w:r>
      <w:r>
        <w:rPr>
          <w:rFonts w:hint="eastAsia" w:ascii="仿宋_GB2312" w:hAnsi="黑体" w:eastAsia="仿宋_GB2312"/>
          <w:color w:val="auto"/>
          <w:sz w:val="32"/>
          <w:szCs w:val="32"/>
        </w:rPr>
        <w:t>%</w:t>
      </w:r>
    </w:p>
    <w:p>
      <w:pPr>
        <w:keepNext w:val="0"/>
        <w:keepLines w:val="0"/>
        <w:pageBreakBefore w:val="0"/>
        <w:kinsoku/>
        <w:wordWrap/>
        <w:overflowPunct/>
        <w:topLinePunct w:val="0"/>
        <w:autoSpaceDE/>
        <w:autoSpaceDN/>
        <w:bidi w:val="0"/>
        <w:adjustRightInd/>
        <w:snapToGrid/>
        <w:spacing w:line="240" w:lineRule="atLeast"/>
        <w:ind w:firstLine="640"/>
        <w:jc w:val="left"/>
        <w:textAlignment w:val="auto"/>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hint="default"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rPr>
        <w:t>1.一般公共服务（类）群众团体事务（款）行政运行（项）</w:t>
      </w:r>
      <w:r>
        <w:rPr>
          <w:rFonts w:hint="eastAsia" w:ascii="仿宋_GB2312" w:hAnsi="黑体" w:eastAsia="仿宋_GB2312" w:cs="仿宋_GB2312"/>
          <w:color w:val="auto"/>
          <w:sz w:val="32"/>
          <w:szCs w:val="32"/>
          <w:lang w:val="en-US" w:eastAsia="zh-CN"/>
        </w:rPr>
        <w:t>2024</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rPr>
        <w:t>184.31</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32.73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：一是新调入一名在职人员，其工资、社保、公积金费用相应增加；二是单位</w:t>
      </w:r>
      <w:r>
        <w:rPr>
          <w:rFonts w:hint="eastAsia" w:ascii="仿宋_GB2312" w:hAnsi="黑体" w:eastAsia="仿宋_GB2312"/>
          <w:color w:val="auto"/>
          <w:sz w:val="32"/>
          <w:szCs w:val="32"/>
          <w:lang w:val="en-US" w:eastAsia="zh-CN"/>
        </w:rPr>
        <w:t>聘用人员工资、社保、公积金基数调整，</w:t>
      </w:r>
      <w:r>
        <w:rPr>
          <w:rFonts w:ascii="Times New Roman" w:hAnsi="Times New Roman" w:eastAsia="仿宋_GB2312" w:cs="Times New Roman"/>
          <w:color w:val="auto"/>
          <w:sz w:val="32"/>
          <w:szCs w:val="32"/>
        </w:rPr>
        <w:t>造成相关费用增加</w:t>
      </w:r>
      <w:r>
        <w:rPr>
          <w:rFonts w:hint="eastAsia" w:ascii="仿宋_GB2312" w:hAnsi="黑体" w:eastAsia="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一般公共服务（类）群众团体事务（款）一般行政管理事务（项）</w:t>
      </w:r>
      <w:r>
        <w:rPr>
          <w:rFonts w:hint="eastAsia" w:ascii="仿宋_GB2312" w:hAnsi="黑体" w:eastAsia="仿宋_GB2312" w:cs="仿宋_GB2312"/>
          <w:color w:val="auto"/>
          <w:sz w:val="32"/>
          <w:szCs w:val="32"/>
          <w:lang w:val="en-US" w:eastAsia="zh-CN"/>
        </w:rPr>
        <w:t>2024</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rPr>
        <w:t>50.00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2.8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厉行节约，支出经费减少。</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3.科学技术（类）社会科学（款）其他社会科学支出（项）2024</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rPr>
        <w:t>166.6</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2.5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厉行节约，支出经费减少。</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4.社会保障和就业（类）行政事业单位养老（款）机关事业单位基本养老保险缴费（项）</w:t>
      </w:r>
      <w:r>
        <w:rPr>
          <w:rFonts w:hint="eastAsia" w:ascii="仿宋_GB2312" w:hAnsi="黑体" w:eastAsia="仿宋_GB2312" w:cs="仿宋_GB2312"/>
          <w:color w:val="auto"/>
          <w:sz w:val="32"/>
          <w:szCs w:val="32"/>
          <w:lang w:val="en-US" w:eastAsia="zh-CN"/>
        </w:rPr>
        <w:t>2024</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rPr>
        <w:t>17.53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3.7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：一</w:t>
      </w:r>
      <w:r>
        <w:rPr>
          <w:rFonts w:hint="eastAsia" w:ascii="仿宋_GB2312" w:hAnsi="黑体" w:eastAsia="仿宋_GB2312"/>
          <w:color w:val="auto"/>
          <w:sz w:val="32"/>
          <w:szCs w:val="32"/>
          <w:lang w:val="en-US" w:eastAsia="zh-CN"/>
        </w:rPr>
        <w:t>是新调入一名在职人员；</w:t>
      </w:r>
      <w:r>
        <w:rPr>
          <w:rFonts w:hint="eastAsia" w:ascii="仿宋_GB2312" w:hAnsi="黑体" w:eastAsia="仿宋_GB2312"/>
          <w:color w:val="auto"/>
          <w:sz w:val="32"/>
          <w:szCs w:val="32"/>
          <w:lang w:eastAsia="zh-CN"/>
        </w:rPr>
        <w:t>二是单位</w:t>
      </w:r>
      <w:r>
        <w:rPr>
          <w:rFonts w:hint="eastAsia" w:ascii="仿宋_GB2312" w:hAnsi="黑体" w:eastAsia="仿宋_GB2312"/>
          <w:color w:val="auto"/>
          <w:sz w:val="32"/>
          <w:szCs w:val="32"/>
          <w:lang w:val="en-US" w:eastAsia="zh-CN"/>
        </w:rPr>
        <w:t>在职人员养老基数调整，所以造成相应缴纳养老费用增加。</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5.</w:t>
      </w:r>
      <w:r>
        <w:rPr>
          <w:rFonts w:ascii="Times New Roman" w:hAnsi="Times New Roman" w:eastAsia="仿宋_GB2312" w:cs="Times New Roman"/>
          <w:color w:val="auto"/>
          <w:sz w:val="32"/>
          <w:szCs w:val="32"/>
        </w:rPr>
        <w:t>社会保障和就业支出（类）行政事业单位养老（款）</w:t>
      </w:r>
      <w:r>
        <w:rPr>
          <w:rFonts w:hint="eastAsia" w:ascii="Times New Roman" w:hAnsi="Times New Roman" w:eastAsia="仿宋_GB2312" w:cs="Times New Roman"/>
          <w:color w:val="auto"/>
          <w:sz w:val="32"/>
          <w:szCs w:val="32"/>
        </w:rPr>
        <w:t>机关事业单位职业年金缴费支出</w:t>
      </w:r>
      <w:r>
        <w:rPr>
          <w:rFonts w:hint="eastAsia" w:ascii="Times New Roman" w:hAnsi="Times New Roman" w:eastAsia="仿宋_GB2312" w:cs="Times New Roman"/>
          <w:color w:val="auto"/>
          <w:sz w:val="32"/>
          <w:szCs w:val="32"/>
          <w:lang w:eastAsia="zh-CN"/>
        </w:rPr>
        <w:t>（项）</w:t>
      </w:r>
      <w:r>
        <w:rPr>
          <w:rFonts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4</w:t>
      </w:r>
      <w:r>
        <w:rPr>
          <w:rFonts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rPr>
        <w:t>39.77</w:t>
      </w:r>
      <w:r>
        <w:rPr>
          <w:rFonts w:hint="eastAsia" w:ascii="Times New Roman" w:hAnsi="Times New Roman" w:eastAsia="仿宋_GB2312" w:cs="Times New Roman"/>
          <w:color w:val="auto"/>
          <w:sz w:val="32"/>
          <w:szCs w:val="32"/>
          <w:lang w:eastAsia="zh-CN"/>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20.5万元，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：一是记实在职人员2017年至2019年度职业年金虚账部分；二是其中一名在职人员因从其他市县调入我单位，且由我单位记实其2021年1月-2022年12月职业年金虚账部分的职业年金虚账部分，所以造成相应费用增加。</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6.</w:t>
      </w:r>
      <w:r>
        <w:rPr>
          <w:rFonts w:ascii="Times New Roman" w:hAnsi="Times New Roman" w:eastAsia="仿宋_GB2312" w:cs="Times New Roman"/>
          <w:color w:val="auto"/>
          <w:sz w:val="32"/>
          <w:szCs w:val="32"/>
        </w:rPr>
        <w:t>卫生健康支出（类）行政事业单位医疗（款）行政单位医疗（项）202</w:t>
      </w:r>
      <w:r>
        <w:rPr>
          <w:rFonts w:hint="eastAsia" w:ascii="Times New Roman" w:hAnsi="Times New Roman" w:eastAsia="仿宋_GB2312" w:cs="Times New Roman"/>
          <w:color w:val="auto"/>
          <w:sz w:val="32"/>
          <w:szCs w:val="32"/>
          <w:lang w:val="en-US" w:eastAsia="zh-CN"/>
        </w:rPr>
        <w:t>4</w:t>
      </w:r>
      <w:r>
        <w:rPr>
          <w:rFonts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val="en-US" w:eastAsia="zh-CN"/>
        </w:rPr>
        <w:t>7.95</w:t>
      </w:r>
      <w:r>
        <w:rPr>
          <w:rFonts w:ascii="Times New Roman" w:hAnsi="Times New Roman" w:eastAsia="仿宋_GB2312" w:cs="Times New Roman"/>
          <w:color w:val="auto"/>
          <w:sz w:val="32"/>
          <w:szCs w:val="32"/>
        </w:rPr>
        <w:t>万元，比上年预算数增加</w:t>
      </w:r>
      <w:r>
        <w:rPr>
          <w:rFonts w:hint="eastAsia" w:ascii="Times New Roman" w:hAnsi="Times New Roman" w:eastAsia="仿宋_GB2312" w:cs="Times New Roman"/>
          <w:color w:val="auto"/>
          <w:sz w:val="32"/>
          <w:szCs w:val="32"/>
          <w:lang w:val="en-US" w:eastAsia="zh-CN"/>
        </w:rPr>
        <w:t>1.96</w:t>
      </w:r>
      <w:r>
        <w:rPr>
          <w:rFonts w:ascii="Times New Roman" w:hAnsi="Times New Roman" w:eastAsia="仿宋_GB2312" w:cs="Times New Roman"/>
          <w:color w:val="auto"/>
          <w:sz w:val="32"/>
          <w:szCs w:val="32"/>
        </w:rPr>
        <w:t>万元，</w:t>
      </w:r>
      <w:r>
        <w:rPr>
          <w:rFonts w:hint="eastAsia" w:ascii="仿宋_GB2312" w:hAnsi="黑体" w:eastAsia="仿宋_GB2312"/>
          <w:color w:val="auto"/>
          <w:sz w:val="32"/>
          <w:szCs w:val="32"/>
          <w:lang w:eastAsia="zh-CN"/>
        </w:rPr>
        <w:t>主要</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eastAsia="zh-CN"/>
        </w:rPr>
        <w:t>：一</w:t>
      </w:r>
      <w:r>
        <w:rPr>
          <w:rFonts w:hint="eastAsia" w:ascii="仿宋_GB2312" w:hAnsi="黑体" w:eastAsia="仿宋_GB2312"/>
          <w:color w:val="auto"/>
          <w:sz w:val="32"/>
          <w:szCs w:val="32"/>
          <w:lang w:val="en-US" w:eastAsia="zh-CN"/>
        </w:rPr>
        <w:t>是新调入一名在职人员；二是单位在职人员社保基数调整，所以造成相应费用增加。</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7.</w:t>
      </w:r>
      <w:r>
        <w:rPr>
          <w:rFonts w:ascii="Times New Roman" w:hAnsi="Times New Roman" w:eastAsia="仿宋_GB2312" w:cs="Times New Roman"/>
          <w:color w:val="auto"/>
          <w:sz w:val="32"/>
          <w:szCs w:val="32"/>
        </w:rPr>
        <w:t>卫生健康支出（类）行政事业单位医疗（款）公务员医疗补助（项）202</w:t>
      </w:r>
      <w:r>
        <w:rPr>
          <w:rFonts w:hint="eastAsia" w:ascii="Times New Roman" w:hAnsi="Times New Roman" w:eastAsia="仿宋_GB2312" w:cs="Times New Roman"/>
          <w:color w:val="auto"/>
          <w:sz w:val="32"/>
          <w:szCs w:val="32"/>
          <w:lang w:val="en-US" w:eastAsia="zh-CN"/>
        </w:rPr>
        <w:t>4</w:t>
      </w:r>
      <w:r>
        <w:rPr>
          <w:rFonts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rPr>
        <w:t>14.33</w:t>
      </w:r>
      <w:r>
        <w:rPr>
          <w:rFonts w:ascii="Times New Roman" w:hAnsi="Times New Roman" w:eastAsia="仿宋_GB2312" w:cs="Times New Roman"/>
          <w:color w:val="auto"/>
          <w:sz w:val="32"/>
          <w:szCs w:val="32"/>
        </w:rPr>
        <w:t>万元，比上年预算数增加</w:t>
      </w:r>
      <w:r>
        <w:rPr>
          <w:rFonts w:hint="eastAsia" w:ascii="Times New Roman" w:hAnsi="Times New Roman" w:eastAsia="仿宋_GB2312" w:cs="Times New Roman"/>
          <w:color w:val="auto"/>
          <w:sz w:val="32"/>
          <w:szCs w:val="32"/>
          <w:lang w:val="en-US" w:eastAsia="zh-CN"/>
        </w:rPr>
        <w:t>2.59</w:t>
      </w:r>
      <w:r>
        <w:rPr>
          <w:rFonts w:ascii="Times New Roman" w:hAnsi="Times New Roman" w:eastAsia="仿宋_GB2312" w:cs="Times New Roman"/>
          <w:color w:val="auto"/>
          <w:sz w:val="32"/>
          <w:szCs w:val="32"/>
        </w:rPr>
        <w:t>万元，</w:t>
      </w:r>
      <w:r>
        <w:rPr>
          <w:rFonts w:hint="eastAsia" w:ascii="仿宋_GB2312" w:hAnsi="黑体" w:eastAsia="仿宋_GB2312"/>
          <w:color w:val="auto"/>
          <w:sz w:val="32"/>
          <w:szCs w:val="32"/>
          <w:lang w:eastAsia="zh-CN"/>
        </w:rPr>
        <w:t>主要</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eastAsia="zh-CN"/>
        </w:rPr>
        <w:t>：一</w:t>
      </w:r>
      <w:r>
        <w:rPr>
          <w:rFonts w:hint="eastAsia" w:ascii="仿宋_GB2312" w:hAnsi="黑体" w:eastAsia="仿宋_GB2312"/>
          <w:color w:val="auto"/>
          <w:sz w:val="32"/>
          <w:szCs w:val="32"/>
          <w:lang w:val="en-US" w:eastAsia="zh-CN"/>
        </w:rPr>
        <w:t>是新调入一名在职人员；二是单位在职人员公补基数调整，所以造成相应费用增加。</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仿宋_GB2312" w:hAnsi="黑体" w:eastAsia="仿宋_GB2312"/>
          <w:color w:val="auto"/>
          <w:sz w:val="32"/>
          <w:szCs w:val="32"/>
          <w:lang w:val="en-US" w:eastAsia="zh-CN"/>
        </w:rPr>
        <w:t>8.</w:t>
      </w:r>
      <w:r>
        <w:rPr>
          <w:rFonts w:ascii="Times New Roman" w:hAnsi="Times New Roman" w:eastAsia="仿宋_GB2312" w:cs="Times New Roman"/>
          <w:color w:val="auto"/>
          <w:sz w:val="32"/>
          <w:szCs w:val="32"/>
        </w:rPr>
        <w:t>住房保障支出（类）住房改革支出（款）住房公积金（项）202</w:t>
      </w:r>
      <w:r>
        <w:rPr>
          <w:rFonts w:hint="eastAsia" w:ascii="Times New Roman" w:hAnsi="Times New Roman" w:eastAsia="仿宋_GB2312" w:cs="Times New Roman"/>
          <w:color w:val="auto"/>
          <w:sz w:val="32"/>
          <w:szCs w:val="32"/>
          <w:lang w:val="en-US" w:eastAsia="zh-CN"/>
        </w:rPr>
        <w:t>4</w:t>
      </w:r>
      <w:r>
        <w:rPr>
          <w:rFonts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rPr>
        <w:t>15.40</w:t>
      </w:r>
      <w:r>
        <w:rPr>
          <w:rFonts w:ascii="Times New Roman" w:hAnsi="Times New Roman" w:eastAsia="仿宋_GB2312" w:cs="Times New Roman"/>
          <w:color w:val="auto"/>
          <w:sz w:val="32"/>
          <w:szCs w:val="32"/>
        </w:rPr>
        <w:t>万元，比上年预算数增加</w:t>
      </w:r>
      <w:r>
        <w:rPr>
          <w:rFonts w:hint="eastAsia" w:ascii="Times New Roman" w:hAnsi="Times New Roman" w:eastAsia="仿宋_GB2312" w:cs="Times New Roman"/>
          <w:color w:val="auto"/>
          <w:sz w:val="32"/>
          <w:szCs w:val="32"/>
          <w:lang w:val="en-US" w:eastAsia="zh-CN"/>
        </w:rPr>
        <w:t>2.99</w:t>
      </w:r>
      <w:r>
        <w:rPr>
          <w:rFonts w:ascii="Times New Roman" w:hAnsi="Times New Roman" w:eastAsia="仿宋_GB2312" w:cs="Times New Roman"/>
          <w:color w:val="auto"/>
          <w:sz w:val="32"/>
          <w:szCs w:val="32"/>
        </w:rPr>
        <w:t>万元，主要是</w:t>
      </w:r>
      <w:r>
        <w:rPr>
          <w:rFonts w:hint="eastAsia" w:ascii="Times New Roman" w:hAnsi="Times New Roman" w:eastAsia="仿宋_GB2312" w:cs="Times New Roman"/>
          <w:color w:val="auto"/>
          <w:sz w:val="32"/>
          <w:szCs w:val="32"/>
          <w:lang w:eastAsia="zh-CN"/>
        </w:rPr>
        <w:t>：</w:t>
      </w:r>
      <w:r>
        <w:rPr>
          <w:rFonts w:hint="eastAsia" w:ascii="仿宋_GB2312" w:hAnsi="黑体" w:eastAsia="仿宋_GB2312"/>
          <w:color w:val="auto"/>
          <w:sz w:val="32"/>
          <w:szCs w:val="32"/>
          <w:lang w:eastAsia="zh-CN"/>
        </w:rPr>
        <w:t>一</w:t>
      </w:r>
      <w:r>
        <w:rPr>
          <w:rFonts w:hint="eastAsia" w:ascii="仿宋_GB2312" w:hAnsi="黑体" w:eastAsia="仿宋_GB2312"/>
          <w:color w:val="auto"/>
          <w:sz w:val="32"/>
          <w:szCs w:val="32"/>
          <w:lang w:val="en-US" w:eastAsia="zh-CN"/>
        </w:rPr>
        <w:t>是新调入一名在职人员；二是单位在职人员住房公积金基数调整，所以造成相应费用增加。</w:t>
      </w:r>
    </w:p>
    <w:p>
      <w:pPr>
        <w:keepNext w:val="0"/>
        <w:keepLines w:val="0"/>
        <w:pageBreakBefore w:val="0"/>
        <w:kinsoku/>
        <w:wordWrap/>
        <w:overflowPunct/>
        <w:topLinePunct w:val="0"/>
        <w:autoSpaceDE/>
        <w:autoSpaceDN/>
        <w:bidi w:val="0"/>
        <w:adjustRightInd/>
        <w:snapToGrid/>
        <w:spacing w:line="240" w:lineRule="atLeast"/>
        <w:ind w:firstLine="640"/>
        <w:textAlignment w:val="auto"/>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s="黑体"/>
          <w:color w:val="auto"/>
          <w:sz w:val="32"/>
          <w:szCs w:val="32"/>
          <w:lang w:eastAsia="zh-CN"/>
        </w:rPr>
        <w:t>三亚市社会科学界联合会部门</w:t>
      </w:r>
      <w:r>
        <w:rPr>
          <w:rFonts w:hint="eastAsia" w:ascii="仿宋_GB2312" w:hAnsi="黑体" w:eastAsia="仿宋_GB2312" w:cs="仿宋_GB2312"/>
          <w:color w:val="auto"/>
          <w:sz w:val="32"/>
          <w:szCs w:val="32"/>
          <w:lang w:val="en-US" w:eastAsia="zh-CN"/>
        </w:rPr>
        <w:t>2024</w:t>
      </w:r>
      <w:r>
        <w:rPr>
          <w:rFonts w:hint="eastAsia" w:ascii="黑体" w:hAnsi="黑体" w:eastAsia="黑体"/>
          <w:color w:val="auto"/>
          <w:sz w:val="32"/>
          <w:szCs w:val="32"/>
        </w:rPr>
        <w:t>年一般公共预算基本支出情况说明</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仿宋_GB2312" w:hAnsi="黑体" w:eastAsia="仿宋_GB2312"/>
          <w:color w:val="auto"/>
          <w:sz w:val="32"/>
          <w:szCs w:val="32"/>
        </w:rPr>
      </w:pPr>
      <w:r>
        <w:rPr>
          <w:rFonts w:hint="eastAsia" w:ascii="仿宋_GB2312" w:hAnsi="黑体" w:eastAsia="仿宋_GB2312"/>
          <w:color w:val="auto"/>
          <w:sz w:val="32"/>
          <w:szCs w:val="32"/>
        </w:rPr>
        <w:t>三亚市社会科学界联合会部门2024年一般公共预算基本支出为</w:t>
      </w:r>
      <w:r>
        <w:rPr>
          <w:rFonts w:hint="eastAsia" w:ascii="仿宋_GB2312" w:hAnsi="黑体" w:eastAsia="仿宋_GB2312" w:cs="仿宋_GB2312"/>
          <w:color w:val="auto"/>
          <w:sz w:val="32"/>
          <w:szCs w:val="32"/>
        </w:rPr>
        <w:t>279.30</w:t>
      </w:r>
      <w:r>
        <w:rPr>
          <w:rFonts w:hint="eastAsia" w:ascii="仿宋_GB2312" w:hAnsi="黑体" w:eastAsia="仿宋_GB2312"/>
          <w:color w:val="auto"/>
          <w:sz w:val="32"/>
          <w:szCs w:val="32"/>
        </w:rPr>
        <w:t>万元，其中：</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rPr>
        <w:t>260.60</w:t>
      </w:r>
      <w:r>
        <w:rPr>
          <w:rFonts w:hint="eastAsia" w:ascii="仿宋_GB2312" w:hAnsi="黑体" w:eastAsia="仿宋_GB2312"/>
          <w:color w:val="auto"/>
          <w:sz w:val="32"/>
          <w:szCs w:val="32"/>
        </w:rPr>
        <w:t>万元，主要包括：基本工资、津贴补贴、奖金、社会保障缴费、住房公积金</w:t>
      </w:r>
      <w:r>
        <w:rPr>
          <w:rFonts w:hint="eastAsia" w:ascii="仿宋_GB2312" w:hAnsi="黑体" w:eastAsia="仿宋_GB2312"/>
          <w:color w:val="auto"/>
          <w:sz w:val="32"/>
          <w:szCs w:val="32"/>
          <w:lang w:eastAsia="zh-CN"/>
        </w:rPr>
        <w:t>、医疗费、其他工资福利支出。</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rPr>
        <w:t>18.70</w:t>
      </w:r>
      <w:r>
        <w:rPr>
          <w:rFonts w:hint="eastAsia" w:ascii="仿宋_GB2312" w:hAnsi="黑体" w:eastAsia="仿宋_GB2312"/>
          <w:color w:val="auto"/>
          <w:sz w:val="32"/>
          <w:szCs w:val="32"/>
        </w:rPr>
        <w:t>万元，主要包括：办公费、会议费</w:t>
      </w:r>
      <w:r>
        <w:rPr>
          <w:rFonts w:hint="eastAsia" w:ascii="仿宋_GB2312" w:hAnsi="黑体" w:eastAsia="仿宋_GB2312"/>
          <w:color w:val="auto"/>
          <w:sz w:val="32"/>
          <w:szCs w:val="32"/>
          <w:lang w:eastAsia="zh-CN"/>
        </w:rPr>
        <w:t>、培训费、工会经费、福利费、公务用车运行维护费、其他商品和服务支出、生活补助、其他社会保障缴费</w:t>
      </w:r>
      <w:r>
        <w:rPr>
          <w:rFonts w:hint="eastAsia" w:ascii="仿宋_GB2312" w:hAnsi="黑体" w:eastAsia="仿宋_GB2312"/>
          <w:color w:val="auto"/>
          <w:sz w:val="32"/>
          <w:szCs w:val="32"/>
        </w:rPr>
        <w:t>。</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lang w:eastAsia="zh-CN"/>
        </w:rPr>
        <w:t>三亚市社会科学界联合会部门</w:t>
      </w:r>
      <w:r>
        <w:rPr>
          <w:rFonts w:hint="eastAsia" w:ascii="仿宋_GB2312" w:hAnsi="黑体" w:eastAsia="仿宋_GB2312" w:cs="仿宋_GB2312"/>
          <w:color w:val="auto"/>
          <w:sz w:val="32"/>
          <w:szCs w:val="32"/>
          <w:lang w:val="en-US" w:eastAsia="zh-CN"/>
        </w:rPr>
        <w:t>2024</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仿宋_GB2312" w:hAnsi="黑体" w:eastAsia="仿宋_GB2312" w:cs="Times New Roman"/>
          <w:color w:val="auto"/>
          <w:sz w:val="32"/>
          <w:szCs w:val="32"/>
        </w:rPr>
      </w:pPr>
      <w:r>
        <w:rPr>
          <w:rFonts w:hint="eastAsia" w:ascii="仿宋_GB2312" w:hAnsi="黑体" w:eastAsia="仿宋_GB2312"/>
          <w:color w:val="auto"/>
          <w:sz w:val="32"/>
          <w:szCs w:val="32"/>
        </w:rPr>
        <w:t>（一）三亚市社会科学界联合会部门2024年一般公共预算“三公”经费预算数为</w:t>
      </w:r>
      <w:r>
        <w:rPr>
          <w:rFonts w:hint="eastAsia" w:ascii="仿宋_GB2312" w:hAnsi="黑体" w:eastAsia="仿宋_GB2312" w:cs="仿宋_GB2312"/>
          <w:color w:val="auto"/>
          <w:sz w:val="32"/>
          <w:szCs w:val="32"/>
        </w:rPr>
        <w:t>2.31</w:t>
      </w:r>
      <w:r>
        <w:rPr>
          <w:rFonts w:hint="eastAsia" w:ascii="仿宋_GB2312" w:hAnsi="黑体" w:eastAsia="仿宋_GB2312"/>
          <w:color w:val="auto"/>
          <w:sz w:val="32"/>
          <w:szCs w:val="32"/>
        </w:rPr>
        <w:t>万元，其中：</w:t>
      </w:r>
    </w:p>
    <w:p>
      <w:pPr>
        <w:keepNext w:val="0"/>
        <w:keepLines w:val="0"/>
        <w:pageBreakBefore w:val="0"/>
        <w:kinsoku/>
        <w:wordWrap/>
        <w:overflowPunct/>
        <w:topLinePunct w:val="0"/>
        <w:autoSpaceDE/>
        <w:autoSpaceDN/>
        <w:bidi w:val="0"/>
        <w:adjustRightInd/>
        <w:snapToGrid/>
        <w:spacing w:line="240" w:lineRule="atLeast"/>
        <w:ind w:firstLine="630"/>
        <w:textAlignment w:val="auto"/>
        <w:rPr>
          <w:rFonts w:hint="default" w:ascii="Times New Roman" w:hAnsi="Times New Roman" w:eastAsia="仿宋_GB2312" w:cs="Times New Roman"/>
          <w:color w:val="auto"/>
          <w:sz w:val="32"/>
          <w:shd w:val="clear" w:color="auto" w:fill="FFFFFF"/>
          <w:lang w:val="en-US" w:eastAsia="zh-CN"/>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w:t>
      </w:r>
      <w:r>
        <w:rPr>
          <w:rFonts w:ascii="Times New Roman" w:hAnsi="Times New Roman" w:eastAsia="仿宋_GB2312" w:cs="Times New Roman"/>
          <w:color w:val="auto"/>
          <w:sz w:val="32"/>
          <w:shd w:val="clear" w:color="auto" w:fill="FFFFFF"/>
        </w:rPr>
        <w:t>公务用车购置及运行费</w:t>
      </w:r>
      <w:r>
        <w:rPr>
          <w:rFonts w:hint="eastAsia" w:ascii="仿宋_GB2312" w:hAnsi="黑体" w:eastAsia="仿宋_GB2312" w:cs="仿宋_GB2312"/>
          <w:color w:val="auto"/>
          <w:sz w:val="32"/>
          <w:szCs w:val="32"/>
        </w:rPr>
        <w:t>1.81</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w:t>
      </w:r>
      <w:r>
        <w:rPr>
          <w:rFonts w:hint="eastAsia" w:ascii="Times New Roman" w:hAnsi="Times New Roman" w:eastAsia="仿宋_GB2312" w:cs="Times New Roman"/>
          <w:color w:val="auto"/>
          <w:sz w:val="32"/>
          <w:shd w:val="clear" w:color="auto" w:fill="FFFFFF"/>
          <w:lang w:eastAsia="zh-CN"/>
        </w:rPr>
        <w:t>维护</w:t>
      </w:r>
      <w:r>
        <w:rPr>
          <w:rFonts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rPr>
        <w:t>1.81</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rPr>
        <w:t>0.50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计划接待</w:t>
      </w:r>
      <w:r>
        <w:rPr>
          <w:rFonts w:hint="eastAsia" w:ascii="Times New Roman" w:hAnsi="Times New Roman" w:eastAsia="仿宋_GB2312" w:cs="Times New Roman"/>
          <w:color w:val="auto"/>
          <w:sz w:val="32"/>
          <w:shd w:val="clear" w:color="auto" w:fill="FFFFFF"/>
          <w:lang w:val="en-US" w:eastAsia="zh-CN"/>
        </w:rPr>
        <w:t>5批152人。</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仿宋_GB2312" w:hAnsi="黑体" w:eastAsia="仿宋_GB2312" w:cs="Times New Roman"/>
          <w:color w:val="auto"/>
          <w:sz w:val="32"/>
          <w:szCs w:val="32"/>
        </w:rPr>
      </w:pPr>
      <w:r>
        <w:rPr>
          <w:rFonts w:hint="eastAsia" w:ascii="仿宋_GB2312" w:hAnsi="黑体" w:eastAsia="仿宋_GB2312"/>
          <w:color w:val="auto"/>
          <w:sz w:val="32"/>
          <w:szCs w:val="32"/>
        </w:rPr>
        <w:t>（二）三亚市社会科学界联合会部门2024年政府性基金预算“三公”经费预算数为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keepNext w:val="0"/>
        <w:keepLines w:val="0"/>
        <w:pageBreakBefore w:val="0"/>
        <w:kinsoku/>
        <w:wordWrap/>
        <w:overflowPunct/>
        <w:topLinePunct w:val="0"/>
        <w:autoSpaceDE/>
        <w:autoSpaceDN/>
        <w:bidi w:val="0"/>
        <w:adjustRightInd/>
        <w:snapToGrid/>
        <w:spacing w:line="240" w:lineRule="atLeast"/>
        <w:textAlignment w:val="auto"/>
        <w:rPr>
          <w:rFonts w:hint="default" w:ascii="Times New Roman" w:hAnsi="Times New Roman" w:eastAsia="仿宋_GB2312" w:cs="Times New Roman"/>
          <w:color w:val="auto"/>
          <w:sz w:val="32"/>
          <w:shd w:val="clear" w:color="auto" w:fill="FFFFFF"/>
          <w:lang w:val="en-US" w:eastAsia="zh-CN"/>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w:t>
      </w:r>
      <w:r>
        <w:rPr>
          <w:rFonts w:hint="eastAsia" w:ascii="Times New Roman" w:hAnsi="Times New Roman" w:eastAsia="仿宋_GB2312" w:cs="Times New Roman"/>
          <w:color w:val="auto"/>
          <w:sz w:val="32"/>
          <w:shd w:val="clear" w:color="auto" w:fill="FFFFFF"/>
          <w:lang w:eastAsia="zh-CN"/>
        </w:rPr>
        <w:t>维护</w:t>
      </w:r>
      <w:r>
        <w:rPr>
          <w:rFonts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计划接待</w:t>
      </w:r>
      <w:r>
        <w:rPr>
          <w:rFonts w:hint="eastAsia" w:ascii="Times New Roman" w:hAnsi="Times New Roman" w:eastAsia="仿宋_GB2312" w:cs="Times New Roman"/>
          <w:color w:val="auto"/>
          <w:sz w:val="32"/>
          <w:shd w:val="clear" w:color="auto" w:fill="FFFFFF"/>
          <w:lang w:val="en-US" w:eastAsia="zh-CN"/>
        </w:rPr>
        <w:t>0批0人。</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黑体"/>
          <w:color w:val="auto"/>
          <w:sz w:val="32"/>
          <w:szCs w:val="32"/>
          <w:lang w:eastAsia="zh-CN"/>
        </w:rPr>
        <w:t>三亚市社会科学界联合会部门</w:t>
      </w:r>
      <w:r>
        <w:rPr>
          <w:rFonts w:hint="eastAsia" w:ascii="仿宋_GB2312" w:hAnsi="黑体" w:eastAsia="仿宋_GB2312" w:cs="仿宋_GB2312"/>
          <w:color w:val="auto"/>
          <w:sz w:val="32"/>
          <w:szCs w:val="32"/>
          <w:lang w:val="en-US" w:eastAsia="zh-CN"/>
        </w:rPr>
        <w:t>2024</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keepNext w:val="0"/>
        <w:keepLines w:val="0"/>
        <w:pageBreakBefore w:val="0"/>
        <w:kinsoku/>
        <w:wordWrap/>
        <w:overflowPunct/>
        <w:topLinePunct w:val="0"/>
        <w:autoSpaceDE/>
        <w:autoSpaceDN/>
        <w:bidi w:val="0"/>
        <w:adjustRightInd/>
        <w:snapToGrid/>
        <w:spacing w:line="240" w:lineRule="atLeast"/>
        <w:ind w:firstLine="640"/>
        <w:jc w:val="left"/>
        <w:textAlignment w:val="auto"/>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仿宋_GB2312" w:hAnsi="黑体" w:eastAsia="仿宋_GB2312"/>
          <w:color w:val="auto"/>
          <w:sz w:val="32"/>
          <w:szCs w:val="32"/>
        </w:rPr>
      </w:pPr>
      <w:r>
        <w:rPr>
          <w:rFonts w:hint="eastAsia" w:ascii="仿宋_GB2312" w:hAnsi="黑体" w:eastAsia="仿宋_GB2312"/>
          <w:color w:val="auto"/>
          <w:sz w:val="32"/>
          <w:szCs w:val="32"/>
        </w:rPr>
        <w:t>三亚市社会科学界联合会部门2024年政府性基金预算当年拨款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keepNext w:val="0"/>
        <w:keepLines w:val="0"/>
        <w:pageBreakBefore w:val="0"/>
        <w:kinsoku/>
        <w:wordWrap/>
        <w:overflowPunct/>
        <w:topLinePunct w:val="0"/>
        <w:autoSpaceDE/>
        <w:autoSpaceDN/>
        <w:bidi w:val="0"/>
        <w:adjustRightInd/>
        <w:snapToGrid/>
        <w:spacing w:line="240" w:lineRule="atLeast"/>
        <w:ind w:firstLine="640"/>
        <w:jc w:val="left"/>
        <w:textAlignment w:val="auto"/>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keepNext w:val="0"/>
        <w:keepLines w:val="0"/>
        <w:pageBreakBefore w:val="0"/>
        <w:kinsoku/>
        <w:wordWrap/>
        <w:overflowPunct/>
        <w:topLinePunct w:val="0"/>
        <w:autoSpaceDE/>
        <w:autoSpaceDN/>
        <w:bidi w:val="0"/>
        <w:adjustRightInd/>
        <w:snapToGrid/>
        <w:spacing w:line="240" w:lineRule="atLeast"/>
        <w:ind w:firstLine="800" w:firstLineChars="250"/>
        <w:textAlignment w:val="auto"/>
        <w:rPr>
          <w:rFonts w:ascii="仿宋_GB2312" w:hAnsi="黑体" w:eastAsia="仿宋_GB2312"/>
          <w:color w:val="auto"/>
          <w:sz w:val="32"/>
          <w:szCs w:val="32"/>
        </w:rPr>
      </w:pPr>
      <w:r>
        <w:rPr>
          <w:rFonts w:hint="eastAsia" w:ascii="仿宋_GB2312" w:hAnsi="黑体" w:eastAsia="仿宋_GB2312" w:cs="仿宋_GB2312"/>
          <w:color w:val="auto"/>
          <w:sz w:val="32"/>
          <w:szCs w:val="32"/>
        </w:rPr>
        <w:t>科学技术支出（类）支出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%；文化体育与传媒支出（类）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%；社会保障和就业支出（类）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%；节能环保（类）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p>
    <w:p>
      <w:pPr>
        <w:keepNext w:val="0"/>
        <w:keepLines w:val="0"/>
        <w:pageBreakBefore w:val="0"/>
        <w:kinsoku/>
        <w:wordWrap/>
        <w:overflowPunct/>
        <w:topLinePunct w:val="0"/>
        <w:autoSpaceDE/>
        <w:autoSpaceDN/>
        <w:bidi w:val="0"/>
        <w:adjustRightInd/>
        <w:snapToGrid/>
        <w:spacing w:line="240" w:lineRule="atLeast"/>
        <w:ind w:firstLine="640"/>
        <w:jc w:val="left"/>
        <w:textAlignment w:val="auto"/>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仿宋_GB2312" w:hAnsi="黑体" w:eastAsia="仿宋_GB2312"/>
          <w:color w:val="auto"/>
          <w:sz w:val="32"/>
          <w:szCs w:val="32"/>
        </w:rPr>
      </w:pPr>
      <w:r>
        <w:rPr>
          <w:rFonts w:hint="eastAsia" w:ascii="仿宋_GB2312" w:hAnsi="黑体" w:eastAsia="仿宋_GB2312" w:cs="仿宋_GB2312"/>
          <w:color w:val="auto"/>
          <w:sz w:val="32"/>
          <w:szCs w:val="32"/>
        </w:rPr>
        <w:t>1. 科学技术支出（类）核电站乏燃料处理处置基金支出（款）乏燃料运输（项）</w:t>
      </w:r>
      <w:r>
        <w:rPr>
          <w:rFonts w:hint="eastAsia" w:ascii="仿宋_GB2312" w:hAnsi="黑体" w:eastAsia="仿宋_GB2312" w:cs="仿宋_GB2312"/>
          <w:color w:val="auto"/>
          <w:sz w:val="32"/>
          <w:szCs w:val="32"/>
          <w:lang w:val="en-US" w:eastAsia="zh-CN"/>
        </w:rPr>
        <w:t>2024</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仿宋_GB2312" w:hAnsi="黑体" w:eastAsia="仿宋_GB2312"/>
          <w:color w:val="auto"/>
          <w:sz w:val="32"/>
          <w:szCs w:val="32"/>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科学技术支出（类）核电站乏燃料处理处置基金支出（款）乏燃料离堆贮存（项）</w:t>
      </w:r>
      <w:r>
        <w:rPr>
          <w:rFonts w:hint="eastAsia" w:ascii="仿宋_GB2312" w:hAnsi="黑体" w:eastAsia="仿宋_GB2312" w:cs="仿宋_GB2312"/>
          <w:color w:val="auto"/>
          <w:sz w:val="32"/>
          <w:szCs w:val="32"/>
          <w:lang w:val="en-US" w:eastAsia="zh-CN"/>
        </w:rPr>
        <w:t>2024</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黑体"/>
          <w:color w:val="auto"/>
          <w:sz w:val="32"/>
          <w:szCs w:val="32"/>
          <w:lang w:eastAsia="zh-CN"/>
        </w:rPr>
        <w:t>三亚市社会科学界联合会部门</w:t>
      </w:r>
      <w:r>
        <w:rPr>
          <w:rFonts w:hint="eastAsia" w:ascii="仿宋_GB2312" w:hAnsi="黑体" w:eastAsia="仿宋_GB2312" w:cs="仿宋_GB2312"/>
          <w:color w:val="auto"/>
          <w:sz w:val="32"/>
          <w:szCs w:val="32"/>
          <w:lang w:val="en-US" w:eastAsia="zh-CN"/>
        </w:rPr>
        <w:t>2024</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按照综合预算原则，三亚市社会科学界联合会部门所有收入和支出均纳入部门预算管理。收入包括：一般公共预算收入</w:t>
      </w:r>
      <w:r>
        <w:rPr>
          <w:rFonts w:hint="eastAsia" w:ascii="仿宋_GB2312" w:hAnsi="黑体" w:eastAsia="仿宋_GB2312"/>
          <w:color w:val="auto"/>
          <w:sz w:val="32"/>
          <w:szCs w:val="32"/>
        </w:rPr>
        <w:t>；支出包括：一般公共服务支出、科学技术支出</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社会保障和就业支出</w:t>
      </w:r>
      <w:r>
        <w:rPr>
          <w:rFonts w:hint="eastAsia" w:ascii="仿宋_GB2312" w:hAnsi="黑体" w:eastAsia="仿宋_GB2312"/>
          <w:color w:val="auto"/>
          <w:sz w:val="32"/>
          <w:szCs w:val="32"/>
          <w:lang w:eastAsia="zh-CN"/>
        </w:rPr>
        <w:t>、卫生健康支出</w:t>
      </w:r>
      <w:r>
        <w:rPr>
          <w:rFonts w:hint="eastAsia" w:ascii="仿宋_GB2312" w:hAnsi="黑体" w:eastAsia="仿宋_GB2312"/>
          <w:color w:val="auto"/>
          <w:sz w:val="32"/>
          <w:szCs w:val="32"/>
        </w:rPr>
        <w:t>、住房保障支出。三亚市社会科学界联合会部门2024年收支总预算</w:t>
      </w:r>
      <w:r>
        <w:rPr>
          <w:rFonts w:hint="eastAsia" w:ascii="仿宋_GB2312" w:hAnsi="黑体" w:eastAsia="仿宋_GB2312" w:cs="仿宋_GB2312"/>
          <w:color w:val="auto"/>
          <w:sz w:val="32"/>
          <w:szCs w:val="32"/>
        </w:rPr>
        <w:t>495.90</w:t>
      </w:r>
      <w:r>
        <w:rPr>
          <w:rFonts w:hint="eastAsia" w:ascii="仿宋_GB2312" w:hAnsi="黑体" w:eastAsia="仿宋_GB2312"/>
          <w:color w:val="auto"/>
          <w:sz w:val="32"/>
          <w:szCs w:val="32"/>
        </w:rPr>
        <w:t>万元。</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黑体"/>
          <w:color w:val="auto"/>
          <w:sz w:val="32"/>
          <w:szCs w:val="32"/>
          <w:lang w:eastAsia="zh-CN"/>
        </w:rPr>
        <w:t>三亚市社会科学界联合会部门</w:t>
      </w:r>
      <w:r>
        <w:rPr>
          <w:rFonts w:hint="eastAsia" w:ascii="仿宋_GB2312" w:hAnsi="黑体" w:eastAsia="仿宋_GB2312" w:cs="仿宋_GB2312"/>
          <w:color w:val="auto"/>
          <w:sz w:val="32"/>
          <w:szCs w:val="32"/>
          <w:lang w:val="en-US" w:eastAsia="zh-CN"/>
        </w:rPr>
        <w:t>2024</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hint="default"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rPr>
        <w:t>三亚市社会科学界联合会部门</w:t>
      </w:r>
      <w:r>
        <w:rPr>
          <w:rFonts w:hint="eastAsia" w:ascii="仿宋_GB2312" w:hAnsi="黑体" w:eastAsia="仿宋_GB2312" w:cs="仿宋_GB2312"/>
          <w:color w:val="auto"/>
          <w:sz w:val="32"/>
          <w:szCs w:val="32"/>
          <w:lang w:val="en-US" w:eastAsia="zh-CN"/>
        </w:rPr>
        <w:t>2024</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rPr>
        <w:t>495.90</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rPr>
        <w:t>495.90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100</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59.17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：一是新调入一名在职人员，其工资、社保、公积金费用相应增加；二是单位</w:t>
      </w:r>
      <w:r>
        <w:rPr>
          <w:rFonts w:hint="eastAsia" w:ascii="仿宋_GB2312" w:hAnsi="黑体" w:eastAsia="仿宋_GB2312"/>
          <w:color w:val="auto"/>
          <w:sz w:val="32"/>
          <w:szCs w:val="32"/>
          <w:lang w:val="en-US" w:eastAsia="zh-CN"/>
        </w:rPr>
        <w:t>聘用人员工资、社保、公积金基数调整，</w:t>
      </w:r>
      <w:r>
        <w:rPr>
          <w:rFonts w:ascii="Times New Roman" w:hAnsi="Times New Roman" w:eastAsia="仿宋_GB2312" w:cs="Times New Roman"/>
          <w:color w:val="auto"/>
          <w:sz w:val="32"/>
          <w:szCs w:val="32"/>
        </w:rPr>
        <w:t>造成相关费用增加</w:t>
      </w:r>
      <w:r>
        <w:rPr>
          <w:rFonts w:hint="eastAsia" w:ascii="仿宋_GB2312" w:hAnsi="黑体" w:eastAsia="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黑体"/>
          <w:color w:val="auto"/>
          <w:sz w:val="32"/>
          <w:szCs w:val="32"/>
          <w:lang w:eastAsia="zh-CN"/>
        </w:rPr>
        <w:t>三亚市社会科学界联合会部门</w:t>
      </w:r>
      <w:r>
        <w:rPr>
          <w:rFonts w:hint="eastAsia" w:ascii="仿宋_GB2312" w:hAnsi="黑体" w:eastAsia="仿宋_GB2312" w:cs="仿宋_GB2312"/>
          <w:color w:val="auto"/>
          <w:sz w:val="32"/>
          <w:szCs w:val="32"/>
          <w:lang w:val="en-US" w:eastAsia="zh-CN"/>
        </w:rPr>
        <w:t>2024</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hint="default"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rPr>
        <w:t>三亚市社会科学界联合会部门</w:t>
      </w:r>
      <w:r>
        <w:rPr>
          <w:rFonts w:hint="eastAsia" w:ascii="仿宋_GB2312" w:hAnsi="黑体" w:eastAsia="仿宋_GB2312" w:cs="仿宋_GB2312"/>
          <w:color w:val="auto"/>
          <w:sz w:val="32"/>
          <w:szCs w:val="32"/>
          <w:lang w:val="en-US" w:eastAsia="zh-CN"/>
        </w:rPr>
        <w:t>2024</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rPr>
        <w:t>495.90</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279.3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56.32</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rPr>
        <w:t>216.60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43.68</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59.17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：一是新调入一名在职人员，其工资、社保、公积金费用相应增加；二是单位</w:t>
      </w:r>
      <w:r>
        <w:rPr>
          <w:rFonts w:hint="eastAsia" w:ascii="仿宋_GB2312" w:hAnsi="黑体" w:eastAsia="仿宋_GB2312"/>
          <w:color w:val="auto"/>
          <w:sz w:val="32"/>
          <w:szCs w:val="32"/>
          <w:lang w:val="en-US" w:eastAsia="zh-CN"/>
        </w:rPr>
        <w:t>聘用人员工资、社保、公积金基数调整，</w:t>
      </w:r>
      <w:r>
        <w:rPr>
          <w:rFonts w:ascii="Times New Roman" w:hAnsi="Times New Roman" w:eastAsia="仿宋_GB2312" w:cs="Times New Roman"/>
          <w:color w:val="auto"/>
          <w:sz w:val="32"/>
          <w:szCs w:val="32"/>
        </w:rPr>
        <w:t>造成相关费用增加</w:t>
      </w:r>
      <w:r>
        <w:rPr>
          <w:rFonts w:hint="eastAsia" w:ascii="仿宋_GB2312" w:hAnsi="黑体" w:eastAsia="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楷体" w:hAnsi="楷体" w:eastAsia="楷体"/>
          <w:color w:val="auto"/>
          <w:sz w:val="32"/>
          <w:szCs w:val="32"/>
        </w:rPr>
      </w:pPr>
      <w:r>
        <w:rPr>
          <w:rFonts w:hint="eastAsia" w:ascii="楷体" w:hAnsi="楷体" w:eastAsia="楷体"/>
          <w:color w:val="auto"/>
          <w:sz w:val="32"/>
          <w:szCs w:val="32"/>
        </w:rPr>
        <w:t>（一）机关运行经费</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2024</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三亚市社会科学界联合会部门的机关运行经费预算</w:t>
      </w:r>
      <w:r>
        <w:rPr>
          <w:rFonts w:hint="eastAsia" w:ascii="仿宋_GB2312" w:hAnsi="黑体" w:eastAsia="仿宋_GB2312" w:cs="仿宋_GB2312"/>
          <w:color w:val="auto"/>
          <w:sz w:val="32"/>
          <w:szCs w:val="32"/>
          <w:lang w:val="en-US" w:eastAsia="zh-CN"/>
        </w:rPr>
        <w:t>36.18</w:t>
      </w:r>
      <w:r>
        <w:rPr>
          <w:rFonts w:hint="eastAsia" w:ascii="仿宋_GB2312" w:hAnsi="黑体" w:eastAsia="仿宋_GB2312"/>
          <w:color w:val="auto"/>
          <w:sz w:val="32"/>
          <w:szCs w:val="32"/>
        </w:rPr>
        <w:t>万元。</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楷体" w:hAnsi="楷体" w:eastAsia="楷体"/>
          <w:color w:val="auto"/>
          <w:sz w:val="32"/>
          <w:szCs w:val="32"/>
        </w:rPr>
      </w:pPr>
      <w:r>
        <w:rPr>
          <w:rFonts w:hint="eastAsia" w:ascii="楷体" w:hAnsi="楷体" w:eastAsia="楷体"/>
          <w:color w:val="auto"/>
          <w:sz w:val="32"/>
          <w:szCs w:val="32"/>
        </w:rPr>
        <w:t>（二）政府采购情况</w:t>
      </w:r>
    </w:p>
    <w:p>
      <w:pPr>
        <w:keepNext w:val="0"/>
        <w:keepLines w:val="0"/>
        <w:pageBreakBefore w:val="0"/>
        <w:kinsoku/>
        <w:wordWrap/>
        <w:overflowPunct/>
        <w:topLinePunct w:val="0"/>
        <w:autoSpaceDE/>
        <w:autoSpaceDN/>
        <w:bidi w:val="0"/>
        <w:adjustRightInd/>
        <w:snapToGrid/>
        <w:spacing w:line="240" w:lineRule="atLeast"/>
        <w:ind w:firstLine="640"/>
        <w:textAlignment w:val="auto"/>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2024</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三亚市社会科学界联合会部门政府采购预算总额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楷体" w:hAnsi="楷体" w:eastAsia="楷体"/>
          <w:color w:val="auto"/>
          <w:sz w:val="32"/>
          <w:szCs w:val="32"/>
        </w:rPr>
      </w:pPr>
      <w:r>
        <w:rPr>
          <w:rFonts w:hint="eastAsia" w:ascii="楷体" w:hAnsi="楷体" w:eastAsia="楷体"/>
          <w:color w:val="auto"/>
          <w:sz w:val="32"/>
          <w:szCs w:val="32"/>
        </w:rPr>
        <w:t>（三）国有资产占有使用情况</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rPr>
        <w:t>三亚市社会科学界联合会部门本级共有车辆</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ascii="楷体" w:hAnsi="楷体" w:eastAsia="楷体"/>
          <w:color w:val="auto"/>
          <w:sz w:val="32"/>
          <w:szCs w:val="32"/>
        </w:rPr>
      </w:pPr>
      <w:r>
        <w:rPr>
          <w:rFonts w:hint="eastAsia" w:ascii="楷体" w:hAnsi="楷体" w:eastAsia="楷体"/>
          <w:color w:val="auto"/>
          <w:sz w:val="32"/>
          <w:szCs w:val="32"/>
        </w:rPr>
        <w:t>（四）绩效目标设置情况</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hint="eastAsia"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2024</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三亚市社会科学界联合会部门</w:t>
      </w:r>
      <w:r>
        <w:rPr>
          <w:rFonts w:hint="eastAsia" w:ascii="仿宋_GB2312" w:hAnsi="黑体" w:eastAsia="仿宋_GB2312" w:cs="仿宋_GB2312"/>
          <w:color w:val="auto"/>
          <w:sz w:val="32"/>
          <w:szCs w:val="32"/>
          <w:lang w:val="en-US" w:eastAsia="zh-CN"/>
        </w:rPr>
        <w:t>16</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495.9</w:t>
      </w:r>
      <w:r>
        <w:rPr>
          <w:rFonts w:hint="eastAsia" w:ascii="仿宋_GB2312" w:hAnsi="黑体" w:eastAsia="仿宋_GB2312"/>
          <w:color w:val="auto"/>
          <w:sz w:val="32"/>
          <w:szCs w:val="32"/>
        </w:rPr>
        <w:t>万元。</w:t>
      </w:r>
    </w:p>
    <w:p>
      <w:pPr>
        <w:keepNext w:val="0"/>
        <w:keepLines w:val="0"/>
        <w:pageBreakBefore w:val="0"/>
        <w:kinsoku/>
        <w:wordWrap/>
        <w:overflowPunct/>
        <w:topLinePunct w:val="0"/>
        <w:autoSpaceDE/>
        <w:autoSpaceDN/>
        <w:bidi w:val="0"/>
        <w:adjustRightInd/>
        <w:snapToGrid/>
        <w:spacing w:line="240" w:lineRule="atLeast"/>
        <w:ind w:firstLine="640" w:firstLineChars="200"/>
        <w:textAlignment w:val="auto"/>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其中，重点项目预算绩效情况：</w:t>
      </w:r>
    </w:p>
    <w:p>
      <w:pPr>
        <w:keepNext w:val="0"/>
        <w:keepLines w:val="0"/>
        <w:pageBreakBefore w:val="0"/>
        <w:numPr>
          <w:ilvl w:val="-1"/>
          <w:numId w:val="0"/>
        </w:numPr>
        <w:kinsoku/>
        <w:wordWrap/>
        <w:overflowPunct/>
        <w:topLinePunct w:val="0"/>
        <w:autoSpaceDE/>
        <w:autoSpaceDN/>
        <w:bidi w:val="0"/>
        <w:adjustRightInd/>
        <w:snapToGrid/>
        <w:spacing w:line="240" w:lineRule="atLeast"/>
        <w:ind w:firstLine="640" w:firstLineChars="200"/>
        <w:textAlignment w:val="auto"/>
        <w:rPr>
          <w:rFonts w:hint="default" w:ascii="仿宋_GB2312" w:hAnsi="黑体" w:eastAsia="仿宋_GB2312"/>
          <w:color w:val="FF0000"/>
          <w:sz w:val="32"/>
          <w:szCs w:val="32"/>
          <w:lang w:val="en-US" w:eastAsia="zh-CN"/>
        </w:rPr>
      </w:pPr>
      <w:r>
        <w:rPr>
          <w:rFonts w:hint="eastAsia" w:ascii="仿宋_GB2312" w:hAnsi="黑体" w:eastAsia="仿宋_GB2312"/>
          <w:color w:val="auto"/>
          <w:sz w:val="32"/>
          <w:szCs w:val="32"/>
          <w:lang w:val="en-US" w:eastAsia="zh-CN"/>
        </w:rPr>
        <w:t>1.社会科学规划课题与成果管理项目，预算安排65万元，主要</w:t>
      </w:r>
      <w:r>
        <w:rPr>
          <w:rFonts w:hint="eastAsia" w:ascii="仿宋_GB2312" w:hAnsi="仿宋_GB2312" w:eastAsia="仿宋_GB2312" w:cs="仿宋_GB2312"/>
          <w:sz w:val="32"/>
          <w:szCs w:val="32"/>
        </w:rPr>
        <w:t>为了充分调动好、发挥好、利用好、激活好我市广大社科工作者的工作热情,更直接、快捷、有效、最大化参与我市课题研究，推出更多、更好、更贴合我市经济社会发展需要的优秀社科研究成果，服务我市和海南自贸区（港）建设</w:t>
      </w:r>
      <w:r>
        <w:rPr>
          <w:rFonts w:hint="eastAsia" w:ascii="仿宋_GB2312" w:hAnsi="仿宋_GB2312" w:eastAsia="仿宋_GB2312" w:cs="仿宋_GB2312"/>
          <w:sz w:val="32"/>
          <w:szCs w:val="32"/>
          <w:lang w:eastAsia="zh-CN"/>
        </w:rPr>
        <w:t>。</w:t>
      </w:r>
      <w:r>
        <w:rPr>
          <w:rFonts w:hint="eastAsia" w:ascii="仿宋_GB2312" w:hAnsi="黑体" w:eastAsia="仿宋_GB2312"/>
          <w:color w:val="auto"/>
          <w:sz w:val="32"/>
          <w:szCs w:val="32"/>
          <w:lang w:val="en-US" w:eastAsia="zh-CN"/>
        </w:rPr>
        <w:t>绩效目标：一是评选出被立项的重点课题6个左右、每项资助2.5万元左右；一般课题19个左右、每项资助1.5万元；</w:t>
      </w:r>
      <w:r>
        <w:rPr>
          <w:rFonts w:hint="eastAsia" w:ascii="仿宋_GB2312" w:hAnsi="黑体" w:eastAsia="仿宋_GB2312"/>
          <w:color w:val="FF0000"/>
          <w:sz w:val="32"/>
          <w:szCs w:val="32"/>
          <w:lang w:val="en-US" w:eastAsia="zh-CN"/>
        </w:rPr>
        <w:t>二是</w:t>
      </w:r>
      <w:r>
        <w:rPr>
          <w:rFonts w:hint="eastAsia" w:ascii="仿宋_GB2312" w:hAnsi="黑体" w:eastAsia="仿宋_GB2312"/>
          <w:color w:val="auto"/>
          <w:sz w:val="32"/>
          <w:szCs w:val="32"/>
          <w:lang w:val="en-US" w:eastAsia="zh-CN"/>
        </w:rPr>
        <w:t>评选出一等奖2名、奖金1万元左右；二等奖5名、奖金各8000元左右；三等奖10名、奖金各6000元左右。</w:t>
      </w:r>
    </w:p>
    <w:p>
      <w:pPr>
        <w:keepNext w:val="0"/>
        <w:keepLines w:val="0"/>
        <w:pageBreakBefore w:val="0"/>
        <w:numPr>
          <w:ilvl w:val="-1"/>
          <w:numId w:val="0"/>
        </w:numPr>
        <w:kinsoku/>
        <w:wordWrap/>
        <w:overflowPunct/>
        <w:topLinePunct w:val="0"/>
        <w:autoSpaceDE/>
        <w:autoSpaceDN/>
        <w:bidi w:val="0"/>
        <w:adjustRightInd/>
        <w:snapToGrid/>
        <w:spacing w:line="240" w:lineRule="atLeast"/>
        <w:ind w:firstLine="640" w:firstLineChars="200"/>
        <w:textAlignment w:val="auto"/>
        <w:rPr>
          <w:rFonts w:hint="default" w:ascii="仿宋_GB2312" w:hAnsi="黑体" w:eastAsia="仿宋_GB2312"/>
          <w:color w:val="FF0000"/>
          <w:sz w:val="32"/>
          <w:szCs w:val="32"/>
          <w:lang w:val="en-US" w:eastAsia="zh-CN"/>
        </w:rPr>
      </w:pPr>
      <w:r>
        <w:rPr>
          <w:rFonts w:hint="eastAsia" w:ascii="仿宋_GB2312" w:hAnsi="黑体" w:eastAsia="仿宋_GB2312"/>
          <w:color w:val="auto"/>
          <w:sz w:val="32"/>
          <w:szCs w:val="32"/>
          <w:lang w:val="en-US" w:eastAsia="zh-CN"/>
        </w:rPr>
        <w:t>2.</w:t>
      </w:r>
      <w:r>
        <w:rPr>
          <w:rFonts w:hint="default" w:ascii="仿宋_GB2312" w:hAnsi="黑体" w:eastAsia="仿宋_GB2312"/>
          <w:color w:val="auto"/>
          <w:sz w:val="32"/>
          <w:szCs w:val="32"/>
          <w:lang w:val="en-US" w:eastAsia="zh-CN"/>
        </w:rPr>
        <w:t>社科类社会组织建设与管理</w:t>
      </w:r>
      <w:r>
        <w:rPr>
          <w:rFonts w:hint="eastAsia" w:ascii="仿宋_GB2312" w:hAnsi="黑体" w:eastAsia="仿宋_GB2312"/>
          <w:color w:val="auto"/>
          <w:sz w:val="32"/>
          <w:szCs w:val="32"/>
          <w:lang w:val="en-US" w:eastAsia="zh-CN"/>
        </w:rPr>
        <w:t>项目，预算安排43万元，主要</w:t>
      </w:r>
      <w:r>
        <w:rPr>
          <w:rFonts w:hint="eastAsia" w:ascii="仿宋_GB2312" w:hAnsi="仿宋_GB2312" w:eastAsia="仿宋_GB2312" w:cs="仿宋_GB2312"/>
          <w:color w:val="000000"/>
          <w:sz w:val="32"/>
          <w:szCs w:val="32"/>
          <w:shd w:val="clear" w:color="auto" w:fill="FFFFFF"/>
        </w:rPr>
        <w:t>为了更好地整合全市社会科学普及资源利用，不断完善社科普及教育平台建设，推进我市社科普及工作</w:t>
      </w:r>
      <w:r>
        <w:rPr>
          <w:rFonts w:hint="eastAsia" w:ascii="仿宋_GB2312" w:hAnsi="仿宋_GB2312" w:eastAsia="仿宋_GB2312" w:cs="仿宋_GB2312"/>
          <w:color w:val="000000"/>
          <w:sz w:val="32"/>
          <w:szCs w:val="32"/>
          <w:shd w:val="clear" w:color="auto" w:fill="FFFFFF"/>
          <w:lang w:eastAsia="zh-CN"/>
        </w:rPr>
        <w:t>走向</w:t>
      </w:r>
      <w:r>
        <w:rPr>
          <w:rFonts w:hint="eastAsia" w:ascii="仿宋_GB2312" w:hAnsi="仿宋_GB2312" w:eastAsia="仿宋_GB2312" w:cs="仿宋_GB2312"/>
          <w:color w:val="000000"/>
          <w:sz w:val="32"/>
          <w:szCs w:val="32"/>
          <w:shd w:val="clear" w:color="auto" w:fill="FFFFFF"/>
        </w:rPr>
        <w:t>社会化、常</w:t>
      </w:r>
      <w:del w:id="0" w:author="user" w:date="2024-11-20T17:25:24Z">
        <w:bookmarkStart w:id="0" w:name="_GoBack"/>
        <w:r>
          <w:rPr>
            <w:rFonts w:hint="eastAsia" w:ascii="仿宋_GB2312" w:hAnsi="仿宋_GB2312" w:eastAsia="仿宋_GB2312" w:cs="仿宋_GB2312"/>
            <w:color w:val="000000"/>
            <w:sz w:val="32"/>
            <w:szCs w:val="32"/>
            <w:shd w:val="clear" w:color="auto" w:fill="FFFFFF"/>
          </w:rPr>
          <w:delText>规化</w:delText>
        </w:r>
        <w:bookmarkEnd w:id="0"/>
      </w:del>
      <w:ins w:id="1" w:author="user" w:date="2024-11-20T17:25:24Z">
        <w:r>
          <w:rPr>
            <w:rFonts w:hint="default" w:ascii="仿宋_GB2312" w:hAnsi="仿宋_GB2312" w:eastAsia="仿宋_GB2312" w:cs="仿宋_GB2312"/>
            <w:color w:val="000000"/>
            <w:sz w:val="32"/>
            <w:szCs w:val="32"/>
            <w:shd w:val="clear" w:color="auto" w:fill="FFFFFF"/>
            <w:lang w:val="en"/>
          </w:rPr>
          <w:t>规划</w:t>
        </w:r>
      </w:ins>
      <w:r>
        <w:rPr>
          <w:rFonts w:hint="eastAsia" w:ascii="仿宋_GB2312" w:hAnsi="仿宋_GB2312" w:eastAsia="仿宋_GB2312" w:cs="仿宋_GB2312"/>
          <w:color w:val="000000"/>
          <w:sz w:val="32"/>
          <w:szCs w:val="32"/>
          <w:shd w:val="clear" w:color="auto" w:fill="FFFFFF"/>
        </w:rPr>
        <w:t>、制度化</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黑体" w:eastAsia="仿宋_GB2312"/>
          <w:color w:val="auto"/>
          <w:sz w:val="32"/>
          <w:szCs w:val="32"/>
          <w:lang w:val="en-US" w:eastAsia="zh-CN"/>
        </w:rPr>
        <w:t>绩效目标是根据已成立的</w:t>
      </w:r>
      <w:r>
        <w:rPr>
          <w:rFonts w:hint="eastAsia" w:ascii="仿宋_GB2312" w:hAnsi="黑体" w:eastAsia="仿宋_GB2312"/>
          <w:color w:val="FF0000"/>
          <w:sz w:val="32"/>
          <w:szCs w:val="32"/>
          <w:lang w:val="en-US" w:eastAsia="zh-CN"/>
        </w:rPr>
        <w:t>15</w:t>
      </w:r>
      <w:r>
        <w:rPr>
          <w:rFonts w:hint="eastAsia" w:ascii="仿宋_GB2312" w:hAnsi="黑体" w:eastAsia="仿宋_GB2312"/>
          <w:color w:val="auto"/>
          <w:sz w:val="32"/>
          <w:szCs w:val="32"/>
          <w:lang w:val="en-US" w:eastAsia="zh-CN"/>
        </w:rPr>
        <w:t>个三亚市社科普及基地活动开展情况，择优选择，分别扶持4万元左右经费，用于开展相关社科普及活动。</w:t>
      </w:r>
    </w:p>
    <w:p>
      <w:pPr>
        <w:spacing w:line="578" w:lineRule="exact"/>
        <w:jc w:val="center"/>
        <w:rPr>
          <w:rFonts w:ascii="黑体" w:hAnsi="黑体" w:eastAsia="黑体"/>
          <w:color w:val="auto"/>
          <w:sz w:val="32"/>
          <w:szCs w:val="32"/>
        </w:rPr>
      </w:pPr>
    </w:p>
    <w:p>
      <w:pPr>
        <w:spacing w:line="578" w:lineRule="exact"/>
        <w:jc w:val="left"/>
        <w:rPr>
          <w:rFonts w:ascii="仿宋_GB2312" w:hAnsi="宋体" w:eastAsia="仿宋_GB2312" w:cs="宋体"/>
          <w:color w:val="auto"/>
          <w:kern w:val="0"/>
          <w:sz w:val="32"/>
          <w:szCs w:val="30"/>
        </w:rPr>
      </w:pPr>
    </w:p>
    <w:p>
      <w:pPr>
        <w:spacing w:line="578" w:lineRule="exact"/>
        <w:jc w:val="center"/>
        <w:rPr>
          <w:rFonts w:hint="eastAsia" w:ascii="黑体" w:hAnsi="黑体" w:eastAsia="黑体"/>
          <w:b/>
          <w:color w:val="auto"/>
          <w:sz w:val="32"/>
          <w:szCs w:val="32"/>
        </w:rPr>
      </w:pPr>
    </w:p>
    <w:p>
      <w:pPr>
        <w:spacing w:line="578" w:lineRule="exact"/>
        <w:jc w:val="center"/>
        <w:rPr>
          <w:rFonts w:hint="eastAsia" w:ascii="黑体" w:hAnsi="黑体" w:eastAsia="黑体"/>
          <w:b/>
          <w:color w:val="auto"/>
          <w:sz w:val="32"/>
          <w:szCs w:val="32"/>
        </w:rPr>
      </w:pPr>
    </w:p>
    <w:p>
      <w:pPr>
        <w:spacing w:line="578" w:lineRule="exact"/>
        <w:jc w:val="both"/>
        <w:rPr>
          <w:rFonts w:hint="eastAsia" w:ascii="黑体" w:hAnsi="黑体" w:eastAsia="黑体"/>
          <w:b/>
          <w:color w:val="auto"/>
          <w:sz w:val="32"/>
          <w:szCs w:val="32"/>
        </w:rPr>
      </w:pPr>
    </w:p>
    <w:p>
      <w:pPr>
        <w:spacing w:line="578" w:lineRule="exact"/>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spacing w:line="578" w:lineRule="exact"/>
        <w:ind w:firstLine="640" w:firstLineChars="200"/>
        <w:jc w:val="left"/>
        <w:rPr>
          <w:rFonts w:ascii="仿宋_GB2312" w:eastAsia="仿宋_GB2312" w:cs="宋体"/>
          <w:bCs/>
          <w:color w:val="auto"/>
          <w:kern w:val="0"/>
          <w:sz w:val="32"/>
          <w:szCs w:val="32"/>
          <w:lang w:val="zh-CN"/>
        </w:rPr>
      </w:pPr>
    </w:p>
    <w:p>
      <w:pPr>
        <w:spacing w:line="578" w:lineRule="exact"/>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spacing w:line="578" w:lineRule="exact"/>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spacing w:line="578" w:lineRule="exact"/>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spacing w:line="578" w:lineRule="exact"/>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spacing w:line="578" w:lineRule="exact"/>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spacing w:line="578" w:lineRule="exact"/>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spacing w:line="578" w:lineRule="exact"/>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spacing w:line="578" w:lineRule="exact"/>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auto"/>
          <w:kern w:val="0"/>
          <w:sz w:val="32"/>
          <w:szCs w:val="30"/>
          <w:lang w:eastAsia="zh-CN"/>
        </w:rPr>
        <w:t>个人农业生产补贴、代缴社会保险费、</w:t>
      </w:r>
      <w:r>
        <w:rPr>
          <w:rFonts w:hint="eastAsia" w:ascii="仿宋_GB2312" w:hAnsi="宋体" w:eastAsia="仿宋_GB2312" w:cs="宋体"/>
          <w:color w:val="auto"/>
          <w:kern w:val="0"/>
          <w:sz w:val="32"/>
          <w:szCs w:val="30"/>
        </w:rPr>
        <w:t>其他等。</w:t>
      </w:r>
    </w:p>
    <w:p>
      <w:pPr>
        <w:spacing w:line="578" w:lineRule="exact"/>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w:t>
      </w:r>
      <w:r>
        <w:rPr>
          <w:rFonts w:hint="eastAsia" w:ascii="仿宋_GB2312" w:hAnsi="宋体" w:eastAsia="仿宋_GB2312" w:cs="宋体"/>
          <w:color w:val="auto"/>
          <w:kern w:val="0"/>
          <w:sz w:val="32"/>
          <w:szCs w:val="30"/>
          <w:lang w:eastAsia="zh-CN"/>
        </w:rPr>
        <w:t>印刷费、咨询费、手续费、</w:t>
      </w:r>
      <w:r>
        <w:rPr>
          <w:rFonts w:hint="eastAsia" w:ascii="仿宋_GB2312" w:hAnsi="宋体" w:eastAsia="仿宋_GB2312" w:cs="宋体"/>
          <w:color w:val="auto"/>
          <w:kern w:val="0"/>
          <w:sz w:val="32"/>
          <w:szCs w:val="30"/>
        </w:rPr>
        <w:t>水费、电费、邮电费、</w:t>
      </w:r>
      <w:r>
        <w:rPr>
          <w:rFonts w:hint="eastAsia" w:ascii="仿宋_GB2312" w:hAnsi="宋体" w:eastAsia="仿宋_GB2312" w:cs="宋体"/>
          <w:color w:val="auto"/>
          <w:kern w:val="0"/>
          <w:sz w:val="32"/>
          <w:szCs w:val="30"/>
          <w:lang w:eastAsia="zh-CN"/>
        </w:rPr>
        <w:t>取暖费、物业管理费、</w:t>
      </w:r>
      <w:r>
        <w:rPr>
          <w:rFonts w:hint="eastAsia" w:ascii="仿宋_GB2312" w:hAnsi="宋体" w:eastAsia="仿宋_GB2312" w:cs="宋体"/>
          <w:color w:val="auto"/>
          <w:kern w:val="0"/>
          <w:sz w:val="32"/>
          <w:szCs w:val="30"/>
        </w:rPr>
        <w:t>差旅费</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因公出国（境）费用</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维修（护）费、</w:t>
      </w:r>
      <w:r>
        <w:rPr>
          <w:rFonts w:hint="eastAsia" w:ascii="仿宋_GB2312" w:hAnsi="宋体" w:eastAsia="仿宋_GB2312" w:cs="宋体"/>
          <w:color w:val="auto"/>
          <w:kern w:val="0"/>
          <w:sz w:val="32"/>
          <w:szCs w:val="30"/>
          <w:lang w:eastAsia="zh-CN"/>
        </w:rPr>
        <w:t>租赁费、</w:t>
      </w:r>
      <w:r>
        <w:rPr>
          <w:rFonts w:hint="eastAsia" w:ascii="仿宋_GB2312" w:hAnsi="宋体" w:eastAsia="仿宋_GB2312" w:cs="宋体"/>
          <w:color w:val="auto"/>
          <w:kern w:val="0"/>
          <w:sz w:val="32"/>
          <w:szCs w:val="30"/>
        </w:rPr>
        <w:t>会议费、培训费、公务接待费、</w:t>
      </w:r>
      <w:r>
        <w:rPr>
          <w:rFonts w:hint="eastAsia" w:ascii="仿宋_GB2312" w:hAnsi="宋体" w:eastAsia="仿宋_GB2312" w:cs="宋体"/>
          <w:color w:val="auto"/>
          <w:kern w:val="0"/>
          <w:sz w:val="32"/>
          <w:szCs w:val="30"/>
          <w:lang w:eastAsia="zh-CN"/>
        </w:rPr>
        <w:t>专用材料费、被装购置费、专用燃料费、劳务费、委托业务费</w:t>
      </w:r>
      <w:r>
        <w:rPr>
          <w:rFonts w:hint="eastAsia" w:ascii="仿宋_GB2312" w:hAnsi="宋体" w:eastAsia="仿宋_GB2312" w:cs="宋体"/>
          <w:color w:val="auto"/>
          <w:kern w:val="0"/>
          <w:sz w:val="32"/>
          <w:szCs w:val="30"/>
        </w:rPr>
        <w:t>、工会经费</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福利费、公务用车运行维护费、</w:t>
      </w:r>
      <w:r>
        <w:rPr>
          <w:rFonts w:hint="eastAsia" w:ascii="仿宋_GB2312" w:hAnsi="宋体" w:eastAsia="仿宋_GB2312" w:cs="宋体"/>
          <w:color w:val="auto"/>
          <w:kern w:val="0"/>
          <w:sz w:val="32"/>
          <w:szCs w:val="30"/>
          <w:lang w:eastAsia="zh-CN"/>
        </w:rPr>
        <w:t>其他交通费用、税金及附加费用、</w:t>
      </w:r>
      <w:r>
        <w:rPr>
          <w:rFonts w:hint="eastAsia" w:ascii="仿宋_GB2312" w:hAnsi="宋体" w:eastAsia="仿宋_GB2312" w:cs="宋体"/>
          <w:color w:val="auto"/>
          <w:kern w:val="0"/>
          <w:sz w:val="32"/>
          <w:szCs w:val="30"/>
        </w:rPr>
        <w:t>其他</w:t>
      </w:r>
      <w:r>
        <w:rPr>
          <w:rFonts w:hint="eastAsia" w:ascii="仿宋_GB2312" w:hAnsi="宋体" w:eastAsia="仿宋_GB2312" w:cs="宋体"/>
          <w:color w:val="auto"/>
          <w:kern w:val="0"/>
          <w:sz w:val="32"/>
          <w:szCs w:val="30"/>
          <w:lang w:eastAsia="zh-CN"/>
        </w:rPr>
        <w:t>商品和服务支出</w:t>
      </w:r>
      <w:r>
        <w:rPr>
          <w:rFonts w:hint="eastAsia" w:ascii="仿宋_GB2312" w:hAnsi="宋体" w:eastAsia="仿宋_GB2312" w:cs="宋体"/>
          <w:color w:val="auto"/>
          <w:kern w:val="0"/>
          <w:sz w:val="32"/>
          <w:szCs w:val="30"/>
        </w:rPr>
        <w:t>等。</w:t>
      </w:r>
    </w:p>
    <w:p>
      <w:pPr>
        <w:spacing w:line="578" w:lineRule="exact"/>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spacing w:line="578" w:lineRule="exact"/>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auto"/>
          <w:kern w:val="0"/>
          <w:sz w:val="32"/>
          <w:szCs w:val="30"/>
          <w:lang w:eastAsia="zh-CN"/>
        </w:rPr>
        <w:t>、牌照费</w:t>
      </w:r>
      <w:r>
        <w:rPr>
          <w:rFonts w:hint="eastAsia" w:ascii="仿宋_GB2312" w:hAnsi="宋体" w:eastAsia="仿宋_GB2312" w:cs="宋体"/>
          <w:color w:val="auto"/>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auto"/>
          <w:kern w:val="0"/>
          <w:sz w:val="32"/>
          <w:szCs w:val="30"/>
          <w:lang w:eastAsia="zh-CN"/>
        </w:rPr>
        <w:t>费用等支出</w:t>
      </w:r>
      <w:r>
        <w:rPr>
          <w:rFonts w:hint="eastAsia" w:ascii="仿宋_GB2312" w:hAnsi="宋体" w:eastAsia="仿宋_GB2312" w:cs="宋体"/>
          <w:color w:val="auto"/>
          <w:kern w:val="0"/>
          <w:sz w:val="32"/>
          <w:szCs w:val="30"/>
        </w:rPr>
        <w:t>。</w:t>
      </w:r>
    </w:p>
    <w:p>
      <w:pPr>
        <w:spacing w:line="578" w:lineRule="exact"/>
        <w:ind w:firstLine="640" w:firstLineChars="200"/>
        <w:jc w:val="left"/>
        <w:rPr>
          <w:color w:val="auto"/>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3"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3237C9"/>
    <w:rsid w:val="00310494"/>
    <w:rsid w:val="00B80CD7"/>
    <w:rsid w:val="01B05F12"/>
    <w:rsid w:val="01D6526C"/>
    <w:rsid w:val="01F77492"/>
    <w:rsid w:val="02A8674D"/>
    <w:rsid w:val="02AC1242"/>
    <w:rsid w:val="02FC4CF7"/>
    <w:rsid w:val="033923EC"/>
    <w:rsid w:val="035B0BB6"/>
    <w:rsid w:val="03A262DC"/>
    <w:rsid w:val="046E6892"/>
    <w:rsid w:val="04910058"/>
    <w:rsid w:val="04A31E82"/>
    <w:rsid w:val="04E16583"/>
    <w:rsid w:val="04E748D1"/>
    <w:rsid w:val="05213D48"/>
    <w:rsid w:val="05707F32"/>
    <w:rsid w:val="05C22B28"/>
    <w:rsid w:val="05D62C87"/>
    <w:rsid w:val="060725E8"/>
    <w:rsid w:val="069563D1"/>
    <w:rsid w:val="06AF437B"/>
    <w:rsid w:val="06B62039"/>
    <w:rsid w:val="06B87AF6"/>
    <w:rsid w:val="07444A6B"/>
    <w:rsid w:val="07E814AB"/>
    <w:rsid w:val="089D7E89"/>
    <w:rsid w:val="08A86D9E"/>
    <w:rsid w:val="09386245"/>
    <w:rsid w:val="09625AD2"/>
    <w:rsid w:val="09667AD4"/>
    <w:rsid w:val="096B6D9C"/>
    <w:rsid w:val="097E2812"/>
    <w:rsid w:val="09E0005D"/>
    <w:rsid w:val="0A107D7A"/>
    <w:rsid w:val="0A2C1741"/>
    <w:rsid w:val="0AB87745"/>
    <w:rsid w:val="0AD56855"/>
    <w:rsid w:val="0C2E7C09"/>
    <w:rsid w:val="0C8E3759"/>
    <w:rsid w:val="0D1D14A7"/>
    <w:rsid w:val="0D4A2ED3"/>
    <w:rsid w:val="0DA32EB9"/>
    <w:rsid w:val="0DA47C5D"/>
    <w:rsid w:val="0DB76678"/>
    <w:rsid w:val="0DE571A0"/>
    <w:rsid w:val="0E093CCB"/>
    <w:rsid w:val="0E284B7A"/>
    <w:rsid w:val="0E5250CD"/>
    <w:rsid w:val="0E635E69"/>
    <w:rsid w:val="0EA90DEE"/>
    <w:rsid w:val="0EBF1F29"/>
    <w:rsid w:val="0F5A66D3"/>
    <w:rsid w:val="0F8B507B"/>
    <w:rsid w:val="0F975A6F"/>
    <w:rsid w:val="0F992835"/>
    <w:rsid w:val="101F4D58"/>
    <w:rsid w:val="10285BBB"/>
    <w:rsid w:val="1037117A"/>
    <w:rsid w:val="10B41FBF"/>
    <w:rsid w:val="112F392C"/>
    <w:rsid w:val="11551595"/>
    <w:rsid w:val="119F6B81"/>
    <w:rsid w:val="11DF72B2"/>
    <w:rsid w:val="11E34B46"/>
    <w:rsid w:val="11FE5333"/>
    <w:rsid w:val="128670DA"/>
    <w:rsid w:val="12EC2A7E"/>
    <w:rsid w:val="13025665"/>
    <w:rsid w:val="134C6B8D"/>
    <w:rsid w:val="1363733D"/>
    <w:rsid w:val="139372C6"/>
    <w:rsid w:val="144C3CA3"/>
    <w:rsid w:val="14584910"/>
    <w:rsid w:val="14FE1B85"/>
    <w:rsid w:val="15396EE1"/>
    <w:rsid w:val="155D4981"/>
    <w:rsid w:val="156D1534"/>
    <w:rsid w:val="15BB0E5C"/>
    <w:rsid w:val="160B064A"/>
    <w:rsid w:val="16A37421"/>
    <w:rsid w:val="16B34542"/>
    <w:rsid w:val="184858C4"/>
    <w:rsid w:val="19044F27"/>
    <w:rsid w:val="19117747"/>
    <w:rsid w:val="1915295A"/>
    <w:rsid w:val="19155773"/>
    <w:rsid w:val="191A2B56"/>
    <w:rsid w:val="1A2020BE"/>
    <w:rsid w:val="1B2A4C38"/>
    <w:rsid w:val="1B386E21"/>
    <w:rsid w:val="1C906A41"/>
    <w:rsid w:val="1D8A75FF"/>
    <w:rsid w:val="1D96112E"/>
    <w:rsid w:val="1DC12029"/>
    <w:rsid w:val="1E2D5873"/>
    <w:rsid w:val="1E4F377E"/>
    <w:rsid w:val="1E654C3A"/>
    <w:rsid w:val="1E660EDA"/>
    <w:rsid w:val="1E772444"/>
    <w:rsid w:val="1EAB7617"/>
    <w:rsid w:val="1EDE2722"/>
    <w:rsid w:val="201254AA"/>
    <w:rsid w:val="210A3A26"/>
    <w:rsid w:val="213378FD"/>
    <w:rsid w:val="213F68F4"/>
    <w:rsid w:val="21544A9A"/>
    <w:rsid w:val="219055A9"/>
    <w:rsid w:val="21C85AA1"/>
    <w:rsid w:val="221B1F07"/>
    <w:rsid w:val="225F6885"/>
    <w:rsid w:val="23E10B1E"/>
    <w:rsid w:val="23FE453B"/>
    <w:rsid w:val="23FE6814"/>
    <w:rsid w:val="241149D5"/>
    <w:rsid w:val="24573924"/>
    <w:rsid w:val="247B6200"/>
    <w:rsid w:val="248F0FA0"/>
    <w:rsid w:val="249A4410"/>
    <w:rsid w:val="24AA724C"/>
    <w:rsid w:val="253834B4"/>
    <w:rsid w:val="253B3B26"/>
    <w:rsid w:val="2581759A"/>
    <w:rsid w:val="25DC31EA"/>
    <w:rsid w:val="264C4566"/>
    <w:rsid w:val="26DD4DA5"/>
    <w:rsid w:val="288C3360"/>
    <w:rsid w:val="288C517B"/>
    <w:rsid w:val="28AC703B"/>
    <w:rsid w:val="28BC07A6"/>
    <w:rsid w:val="28CE0876"/>
    <w:rsid w:val="28DC6745"/>
    <w:rsid w:val="28F201E8"/>
    <w:rsid w:val="294A6994"/>
    <w:rsid w:val="298C2A7F"/>
    <w:rsid w:val="2A4C11B8"/>
    <w:rsid w:val="2AF8748E"/>
    <w:rsid w:val="2B81194B"/>
    <w:rsid w:val="2B911ABE"/>
    <w:rsid w:val="2BBB6C46"/>
    <w:rsid w:val="2BDB2904"/>
    <w:rsid w:val="2D0663A1"/>
    <w:rsid w:val="2D6D6447"/>
    <w:rsid w:val="2D705E5E"/>
    <w:rsid w:val="2ECE21C3"/>
    <w:rsid w:val="2F2E7149"/>
    <w:rsid w:val="2F683A01"/>
    <w:rsid w:val="2FB727AE"/>
    <w:rsid w:val="2FDA6F5A"/>
    <w:rsid w:val="2FE34875"/>
    <w:rsid w:val="2FEA08B7"/>
    <w:rsid w:val="2FF90AA9"/>
    <w:rsid w:val="306A5EA4"/>
    <w:rsid w:val="30B434B4"/>
    <w:rsid w:val="30CC58E7"/>
    <w:rsid w:val="31111057"/>
    <w:rsid w:val="31493444"/>
    <w:rsid w:val="32176326"/>
    <w:rsid w:val="32771E2F"/>
    <w:rsid w:val="32A310FD"/>
    <w:rsid w:val="32C3346A"/>
    <w:rsid w:val="33957C2F"/>
    <w:rsid w:val="33DC2153"/>
    <w:rsid w:val="341227DB"/>
    <w:rsid w:val="34927F72"/>
    <w:rsid w:val="34932EA6"/>
    <w:rsid w:val="34ED0BBE"/>
    <w:rsid w:val="358B4380"/>
    <w:rsid w:val="35AE2A26"/>
    <w:rsid w:val="35CC09F8"/>
    <w:rsid w:val="366C6E01"/>
    <w:rsid w:val="367301B0"/>
    <w:rsid w:val="3697766B"/>
    <w:rsid w:val="36C655FE"/>
    <w:rsid w:val="377A6B03"/>
    <w:rsid w:val="37C6597C"/>
    <w:rsid w:val="37E0177B"/>
    <w:rsid w:val="37FC0A25"/>
    <w:rsid w:val="38765FA8"/>
    <w:rsid w:val="389558DB"/>
    <w:rsid w:val="38D01125"/>
    <w:rsid w:val="38D57436"/>
    <w:rsid w:val="38E504EB"/>
    <w:rsid w:val="392A7525"/>
    <w:rsid w:val="3933584A"/>
    <w:rsid w:val="396A1E58"/>
    <w:rsid w:val="3A2B1D1F"/>
    <w:rsid w:val="3A2C3093"/>
    <w:rsid w:val="3A526870"/>
    <w:rsid w:val="3AC2246B"/>
    <w:rsid w:val="3AD56812"/>
    <w:rsid w:val="3AF22B95"/>
    <w:rsid w:val="3B667EF9"/>
    <w:rsid w:val="3BAE4157"/>
    <w:rsid w:val="3BB36DD7"/>
    <w:rsid w:val="3D0849AD"/>
    <w:rsid w:val="3D5A1995"/>
    <w:rsid w:val="3D8F76A1"/>
    <w:rsid w:val="3E1A0F77"/>
    <w:rsid w:val="3E554DF7"/>
    <w:rsid w:val="3E836B66"/>
    <w:rsid w:val="3ED37DAE"/>
    <w:rsid w:val="3F0C76C3"/>
    <w:rsid w:val="3F463186"/>
    <w:rsid w:val="3F526427"/>
    <w:rsid w:val="3F5A77AA"/>
    <w:rsid w:val="3FC25D34"/>
    <w:rsid w:val="3FDE5AC6"/>
    <w:rsid w:val="3FF266BE"/>
    <w:rsid w:val="4016196E"/>
    <w:rsid w:val="415E40FB"/>
    <w:rsid w:val="41C27C88"/>
    <w:rsid w:val="41CA6C81"/>
    <w:rsid w:val="42844C0D"/>
    <w:rsid w:val="42CD43EE"/>
    <w:rsid w:val="43200FF7"/>
    <w:rsid w:val="43274DC7"/>
    <w:rsid w:val="43723D36"/>
    <w:rsid w:val="43FF50CC"/>
    <w:rsid w:val="44485A8B"/>
    <w:rsid w:val="44794520"/>
    <w:rsid w:val="44A83950"/>
    <w:rsid w:val="45043276"/>
    <w:rsid w:val="455D3349"/>
    <w:rsid w:val="45945C90"/>
    <w:rsid w:val="45EF295D"/>
    <w:rsid w:val="463074B4"/>
    <w:rsid w:val="46333FE9"/>
    <w:rsid w:val="465B66E5"/>
    <w:rsid w:val="47571D46"/>
    <w:rsid w:val="475F5262"/>
    <w:rsid w:val="49765BDE"/>
    <w:rsid w:val="497A0089"/>
    <w:rsid w:val="49BC161B"/>
    <w:rsid w:val="49C75F7E"/>
    <w:rsid w:val="49D43E73"/>
    <w:rsid w:val="4A1B0FF0"/>
    <w:rsid w:val="4A412025"/>
    <w:rsid w:val="4A8C792E"/>
    <w:rsid w:val="4AC56DAE"/>
    <w:rsid w:val="4ACA7FC0"/>
    <w:rsid w:val="4B036EB5"/>
    <w:rsid w:val="4B450DFF"/>
    <w:rsid w:val="4C12476B"/>
    <w:rsid w:val="4C80423B"/>
    <w:rsid w:val="4C8D3D25"/>
    <w:rsid w:val="4D144C00"/>
    <w:rsid w:val="4D3F380F"/>
    <w:rsid w:val="4D6B37A0"/>
    <w:rsid w:val="4D6E1D73"/>
    <w:rsid w:val="4E003C56"/>
    <w:rsid w:val="4E1D396D"/>
    <w:rsid w:val="4E984284"/>
    <w:rsid w:val="4F5E445F"/>
    <w:rsid w:val="4F6B194B"/>
    <w:rsid w:val="4FBF728A"/>
    <w:rsid w:val="4FC625E5"/>
    <w:rsid w:val="50162600"/>
    <w:rsid w:val="50DD40F1"/>
    <w:rsid w:val="514F5E04"/>
    <w:rsid w:val="51CD7D14"/>
    <w:rsid w:val="51ED5E63"/>
    <w:rsid w:val="51FF6DDC"/>
    <w:rsid w:val="52313D6F"/>
    <w:rsid w:val="52704896"/>
    <w:rsid w:val="527B6E09"/>
    <w:rsid w:val="53157506"/>
    <w:rsid w:val="535F2BCA"/>
    <w:rsid w:val="536C7197"/>
    <w:rsid w:val="539B33FC"/>
    <w:rsid w:val="53D200ED"/>
    <w:rsid w:val="541B43FC"/>
    <w:rsid w:val="542E43EF"/>
    <w:rsid w:val="542F2EB7"/>
    <w:rsid w:val="54D61027"/>
    <w:rsid w:val="55557DD1"/>
    <w:rsid w:val="55BA4EF7"/>
    <w:rsid w:val="560C0F37"/>
    <w:rsid w:val="568523F8"/>
    <w:rsid w:val="56F003DA"/>
    <w:rsid w:val="570A598E"/>
    <w:rsid w:val="576666C1"/>
    <w:rsid w:val="57B0315B"/>
    <w:rsid w:val="58007672"/>
    <w:rsid w:val="580D3005"/>
    <w:rsid w:val="583B5C60"/>
    <w:rsid w:val="59064646"/>
    <w:rsid w:val="592E0F2E"/>
    <w:rsid w:val="5933059F"/>
    <w:rsid w:val="59562AF2"/>
    <w:rsid w:val="59882DC0"/>
    <w:rsid w:val="59BA6918"/>
    <w:rsid w:val="59BE4B56"/>
    <w:rsid w:val="59D427D6"/>
    <w:rsid w:val="59D844D7"/>
    <w:rsid w:val="5A7D234C"/>
    <w:rsid w:val="5A8124BB"/>
    <w:rsid w:val="5B405A8E"/>
    <w:rsid w:val="5B7456AF"/>
    <w:rsid w:val="5B896CC6"/>
    <w:rsid w:val="5BDB650F"/>
    <w:rsid w:val="5BEF7C39"/>
    <w:rsid w:val="5C721F55"/>
    <w:rsid w:val="5D012CFF"/>
    <w:rsid w:val="5D6E09D8"/>
    <w:rsid w:val="5D826838"/>
    <w:rsid w:val="5D931FDD"/>
    <w:rsid w:val="5D9625F6"/>
    <w:rsid w:val="5DC8299D"/>
    <w:rsid w:val="5E1E01C9"/>
    <w:rsid w:val="5E242D76"/>
    <w:rsid w:val="5E3274D7"/>
    <w:rsid w:val="5E504392"/>
    <w:rsid w:val="5EA2105B"/>
    <w:rsid w:val="5EDB7068"/>
    <w:rsid w:val="5EFE21BE"/>
    <w:rsid w:val="60282095"/>
    <w:rsid w:val="607E4012"/>
    <w:rsid w:val="60A21A9D"/>
    <w:rsid w:val="60D478DB"/>
    <w:rsid w:val="61A50860"/>
    <w:rsid w:val="61D73614"/>
    <w:rsid w:val="61DD01F6"/>
    <w:rsid w:val="62C21D3A"/>
    <w:rsid w:val="62C63E2F"/>
    <w:rsid w:val="633D7920"/>
    <w:rsid w:val="63A747A4"/>
    <w:rsid w:val="63F310C0"/>
    <w:rsid w:val="64056E1A"/>
    <w:rsid w:val="640D2E0A"/>
    <w:rsid w:val="644306F9"/>
    <w:rsid w:val="651D5861"/>
    <w:rsid w:val="65A914AD"/>
    <w:rsid w:val="65B70133"/>
    <w:rsid w:val="65F16F5D"/>
    <w:rsid w:val="66037595"/>
    <w:rsid w:val="66785EFC"/>
    <w:rsid w:val="668B5786"/>
    <w:rsid w:val="669B654A"/>
    <w:rsid w:val="669B7923"/>
    <w:rsid w:val="669F72E2"/>
    <w:rsid w:val="66C96A3E"/>
    <w:rsid w:val="66CE690D"/>
    <w:rsid w:val="674A551B"/>
    <w:rsid w:val="678D1620"/>
    <w:rsid w:val="67AD0583"/>
    <w:rsid w:val="67DD1816"/>
    <w:rsid w:val="67EC1187"/>
    <w:rsid w:val="68405C0C"/>
    <w:rsid w:val="684F04A3"/>
    <w:rsid w:val="6856074B"/>
    <w:rsid w:val="687D4CE4"/>
    <w:rsid w:val="6885304D"/>
    <w:rsid w:val="68F141A2"/>
    <w:rsid w:val="68F710D1"/>
    <w:rsid w:val="69CE5880"/>
    <w:rsid w:val="6A474B16"/>
    <w:rsid w:val="6A474F03"/>
    <w:rsid w:val="6A7B56DA"/>
    <w:rsid w:val="6A885328"/>
    <w:rsid w:val="6A926C27"/>
    <w:rsid w:val="6ADF213F"/>
    <w:rsid w:val="6B2E2FAC"/>
    <w:rsid w:val="6B3237C9"/>
    <w:rsid w:val="6B784A28"/>
    <w:rsid w:val="6B864FA4"/>
    <w:rsid w:val="6BB64870"/>
    <w:rsid w:val="6C0966FA"/>
    <w:rsid w:val="6C1D3991"/>
    <w:rsid w:val="6C3B00AC"/>
    <w:rsid w:val="6C4746D7"/>
    <w:rsid w:val="6CC326AE"/>
    <w:rsid w:val="6D1644D5"/>
    <w:rsid w:val="6D383EE2"/>
    <w:rsid w:val="6D686255"/>
    <w:rsid w:val="6D702C2B"/>
    <w:rsid w:val="6DE600BA"/>
    <w:rsid w:val="6E181AAA"/>
    <w:rsid w:val="6E3676E6"/>
    <w:rsid w:val="6E372BBB"/>
    <w:rsid w:val="6E564D69"/>
    <w:rsid w:val="6F064EFB"/>
    <w:rsid w:val="6F0A2FCC"/>
    <w:rsid w:val="6F601AFB"/>
    <w:rsid w:val="70723BE3"/>
    <w:rsid w:val="70DC64AA"/>
    <w:rsid w:val="70FA3D82"/>
    <w:rsid w:val="71BD2562"/>
    <w:rsid w:val="72990C31"/>
    <w:rsid w:val="72C24474"/>
    <w:rsid w:val="73055ABD"/>
    <w:rsid w:val="7363291B"/>
    <w:rsid w:val="738C20F7"/>
    <w:rsid w:val="73C664CA"/>
    <w:rsid w:val="74385E14"/>
    <w:rsid w:val="74486F55"/>
    <w:rsid w:val="74D65505"/>
    <w:rsid w:val="75037955"/>
    <w:rsid w:val="756702C0"/>
    <w:rsid w:val="758058B2"/>
    <w:rsid w:val="764D35D4"/>
    <w:rsid w:val="76D63DFF"/>
    <w:rsid w:val="76FA0B0F"/>
    <w:rsid w:val="77404FDC"/>
    <w:rsid w:val="77410738"/>
    <w:rsid w:val="778C7A52"/>
    <w:rsid w:val="77943CAC"/>
    <w:rsid w:val="77E50FA4"/>
    <w:rsid w:val="786C6969"/>
    <w:rsid w:val="78B50BF9"/>
    <w:rsid w:val="78F15F64"/>
    <w:rsid w:val="790076C0"/>
    <w:rsid w:val="79145CEA"/>
    <w:rsid w:val="794D4368"/>
    <w:rsid w:val="7986616E"/>
    <w:rsid w:val="79C9415C"/>
    <w:rsid w:val="79F57840"/>
    <w:rsid w:val="7A5F47AA"/>
    <w:rsid w:val="7A953B1A"/>
    <w:rsid w:val="7A9807D1"/>
    <w:rsid w:val="7B135EB8"/>
    <w:rsid w:val="7B2B4AB7"/>
    <w:rsid w:val="7B976116"/>
    <w:rsid w:val="7C033B0E"/>
    <w:rsid w:val="7C411B76"/>
    <w:rsid w:val="7C4226A9"/>
    <w:rsid w:val="7C6907D8"/>
    <w:rsid w:val="7C7778AE"/>
    <w:rsid w:val="7CE317F8"/>
    <w:rsid w:val="7DDF119B"/>
    <w:rsid w:val="7E0656DF"/>
    <w:rsid w:val="7F57034D"/>
    <w:rsid w:val="7F9365EB"/>
    <w:rsid w:val="7FB73584"/>
    <w:rsid w:val="7FB937F0"/>
    <w:rsid w:val="7FBF36DD"/>
    <w:rsid w:val="7FF858A0"/>
    <w:rsid w:val="9D7DCC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吉阳区</Company>
  <Pages>1</Pages>
  <Words>0</Words>
  <Characters>0</Characters>
  <Lines>0</Lines>
  <Paragraphs>0</Paragraphs>
  <TotalTime>3</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2024-01-26T16:14:00Z</dcterms:created>
  <dc:creator>Administrator</dc:creator>
  <cp:lastModifiedBy>user</cp:lastModifiedBy>
  <cp:lastPrinted>2024-02-02T09:54:00Z</cp:lastPrinted>
  <dcterms:modified xsi:type="dcterms:W3CDTF">2024-11-20T17:25:41Z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