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 w:eastAsia="黑体"/>
          <w:kern w:val="0"/>
          <w:sz w:val="44"/>
          <w:szCs w:val="44"/>
          <w:lang w:eastAsia="zh-CN"/>
        </w:rPr>
      </w:pPr>
      <w:r>
        <w:rPr>
          <w:rFonts w:hint="eastAsia" w:ascii="黑体" w:hAnsi="??" w:eastAsia="黑体"/>
          <w:kern w:val="0"/>
          <w:sz w:val="44"/>
          <w:szCs w:val="44"/>
          <w:lang w:eastAsia="zh-CN"/>
        </w:rPr>
        <w:t>三亚市南岛学校</w:t>
      </w:r>
    </w:p>
    <w:p>
      <w:pPr>
        <w:jc w:val="center"/>
        <w:rPr>
          <w:rFonts w:ascii="黑体" w:hAnsi="??" w:eastAsia="黑体"/>
          <w:sz w:val="44"/>
          <w:szCs w:val="44"/>
        </w:rPr>
      </w:pPr>
      <w:r>
        <w:rPr>
          <w:rFonts w:ascii="黑体" w:hAnsi="??" w:eastAsia="黑体"/>
          <w:sz w:val="44"/>
          <w:szCs w:val="44"/>
        </w:rPr>
        <w:t>2022</w:t>
      </w:r>
      <w:r>
        <w:rPr>
          <w:rFonts w:hint="eastAsia" w:ascii="黑体" w:hAnsi="??" w:eastAsia="黑体"/>
          <w:sz w:val="44"/>
          <w:szCs w:val="44"/>
        </w:rPr>
        <w:t>年度部门决算公开文字说明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lang w:eastAsia="zh-CN"/>
        </w:rPr>
        <w:t>三亚市南岛学校</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lang w:eastAsia="zh-CN"/>
        </w:rPr>
        <w:t>三亚市南岛学校</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 w:eastAsia="黑体"/>
          <w:kern w:val="0"/>
          <w:sz w:val="32"/>
          <w:szCs w:val="32"/>
          <w:lang w:eastAsia="zh-CN"/>
        </w:rPr>
        <w:t>三亚市南岛学校</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val="en-US"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10720_WPSOffice_Level1"/>
      <w:bookmarkStart w:id="3" w:name="_Toc22941_WPSOffice_Level1"/>
      <w:bookmarkStart w:id="4" w:name="_Toc32433_WPSOffice_Level1"/>
      <w:bookmarkStart w:id="5" w:name="_Toc10049_WPSOffice_Level1"/>
      <w:bookmarkStart w:id="6" w:name="_Toc23465_WPSOffice_Level1"/>
      <w:bookmarkStart w:id="7" w:name="_Toc1704_WPSOffice_Level1"/>
      <w:bookmarkStart w:id="8" w:name="_Toc24238_WPSOffice_Level2"/>
      <w:bookmarkStart w:id="9" w:name="_Toc26580_WPSOffice_Level2"/>
      <w:bookmarkStart w:id="10" w:name="_Toc32622_WPSOffice_Level2"/>
      <w:bookmarkStart w:id="11" w:name="_Toc20274_WPSOffice_Level2"/>
      <w:bookmarkStart w:id="12" w:name="_Toc14159_WPSOffice_Level2"/>
      <w:bookmarkStart w:id="13" w:name="_Toc20205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kern w:val="0"/>
          <w:sz w:val="32"/>
          <w:szCs w:val="32"/>
          <w:lang w:eastAsia="zh-CN"/>
        </w:rPr>
        <w:t>三亚市南岛学校</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24474_WPSOffice_Level2"/>
      <w:bookmarkStart w:id="15" w:name="_Toc6572_WPSOffice_Level2"/>
      <w:bookmarkStart w:id="16" w:name="_Toc24059_WPSOffice_Level2"/>
      <w:bookmarkStart w:id="17" w:name="_Toc17796_WPSOffice_Level2"/>
      <w:bookmarkStart w:id="18" w:name="_Toc4833_WPSOffice_Level2"/>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val="en-US" w:eastAsia="zh-CN"/>
        </w:rPr>
        <w:t>中</w:t>
      </w:r>
      <w:r>
        <w:rPr>
          <w:rFonts w:hint="eastAsia" w:ascii="仿宋_GB2312" w:eastAsia="仿宋_GB2312"/>
          <w:color w:val="000000"/>
          <w:sz w:val="32"/>
          <w:szCs w:val="32"/>
          <w:shd w:val="clear" w:color="auto" w:fill="FFFFFF"/>
        </w:rPr>
        <w:t>小学历教育，推动基础教育事业发展；贯彻执行国家教育方针政策，传播科学教育观念，促进农村事业发展，促进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val="en-US" w:eastAsia="zh-CN"/>
        </w:rPr>
        <w:t>学生</w:t>
      </w:r>
      <w:r>
        <w:rPr>
          <w:rFonts w:hint="eastAsia" w:ascii="仿宋_GB2312" w:eastAsia="仿宋_GB2312"/>
          <w:color w:val="000000"/>
          <w:sz w:val="32"/>
          <w:szCs w:val="32"/>
          <w:shd w:val="clear" w:color="auto" w:fill="FFFFFF"/>
        </w:rPr>
        <w:t>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30690_WPSOffice_Level1"/>
      <w:bookmarkStart w:id="20" w:name="_Toc15521_WPSOffice_Level1"/>
      <w:bookmarkStart w:id="21" w:name="_Toc6234_WPSOffice_Level1"/>
      <w:bookmarkStart w:id="22" w:name="_Toc28253_WPSOffice_Level1"/>
      <w:bookmarkStart w:id="23" w:name="_Toc8164_WPSOffice_Level1"/>
      <w:bookmarkStart w:id="24" w:name="_Toc30451_WPSOffice_Level1"/>
      <w:bookmarkStart w:id="25" w:name="_Toc6211_WPSOffice_Level2"/>
      <w:bookmarkStart w:id="26" w:name="_Toc32695_WPSOffice_Level2"/>
      <w:bookmarkStart w:id="27" w:name="_Toc8867_WPSOffice_Level2"/>
      <w:bookmarkStart w:id="28" w:name="_Toc4029_WPSOffice_Level2"/>
      <w:bookmarkStart w:id="29" w:name="_Toc32472_WPSOffice_Level2"/>
      <w:bookmarkStart w:id="30" w:name="_Toc11518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val="en-US" w:eastAsia="zh-CN"/>
        </w:rPr>
        <w:t>校长</w:t>
      </w:r>
      <w:r>
        <w:rPr>
          <w:rFonts w:hint="eastAsia" w:ascii="楷体" w:hAnsi="楷体" w:eastAsia="楷体" w:cs="楷体"/>
          <w:sz w:val="32"/>
          <w:szCs w:val="32"/>
        </w:rPr>
        <w:t>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hint="eastAsia" w:ascii="楷体" w:hAnsi="楷体" w:eastAsia="楷体" w:cs="楷体"/>
          <w:sz w:val="32"/>
          <w:szCs w:val="32"/>
          <w:lang w:eastAsia="zh-CN"/>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eastAsia="zh-CN"/>
        </w:rPr>
        <w:t>财务室</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kern w:val="0"/>
          <w:sz w:val="32"/>
          <w:szCs w:val="32"/>
          <w:lang w:eastAsia="zh-CN"/>
        </w:rPr>
        <w:t>三亚市南岛学校</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3139_WPSOffice_Level2"/>
      <w:bookmarkStart w:id="37" w:name="_Toc26621_WPSOffice_Level2"/>
      <w:bookmarkStart w:id="38" w:name="_Toc30334_WPSOffice_Level2"/>
      <w:bookmarkStart w:id="39" w:name="_Toc28622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626_WPSOffice_Level2"/>
      <w:bookmarkStart w:id="42" w:name="_Toc17858_WPSOffice_Level2"/>
      <w:bookmarkStart w:id="43" w:name="_Toc3262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23591_WPSOffice_Level2"/>
      <w:bookmarkStart w:id="49" w:name="_Toc1370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3829_WPSOffice_Level2"/>
      <w:bookmarkStart w:id="54" w:name="_Toc25166_WPSOffice_Level2"/>
      <w:bookmarkStart w:id="55" w:name="_Toc22783_WPSOffice_Level2"/>
      <w:bookmarkStart w:id="56" w:name="_Toc7879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632_WPSOffice_Level2"/>
      <w:bookmarkStart w:id="60" w:name="_Toc17833_WPSOffice_Level2"/>
      <w:bookmarkStart w:id="61" w:name="_Toc25362_WPSOffice_Level2"/>
      <w:bookmarkStart w:id="62" w:name="_Toc8373_WPSOffice_Level2"/>
      <w:bookmarkStart w:id="63" w:name="_Toc17283_WPSOffice_Level2"/>
      <w:bookmarkStart w:id="64" w:name="_Toc534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bookmarkStart w:id="65" w:name="_Toc6020_WPSOffice_Level2"/>
      <w:bookmarkStart w:id="66" w:name="_Toc11799_WPSOffice_Level2"/>
      <w:bookmarkStart w:id="67" w:name="_Toc1533_WPSOffice_Level2"/>
      <w:bookmarkStart w:id="68" w:name="_Toc5594_WPSOffice_Level2"/>
      <w:bookmarkStart w:id="69" w:name="_Toc13345_WPSOffice_Level2"/>
      <w:bookmarkStart w:id="70" w:name="_Toc21310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9377_WPSOffice_Level2"/>
      <w:bookmarkStart w:id="73" w:name="_Toc19961_WPSOffice_Level2"/>
      <w:bookmarkStart w:id="74" w:name="_Toc1820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4402_WPSOffice_Level1"/>
      <w:bookmarkStart w:id="76" w:name="_Toc16686_WPSOffice_Level1"/>
      <w:bookmarkStart w:id="77" w:name="_Toc29683_WPSOffice_Level1"/>
      <w:bookmarkStart w:id="78" w:name="_Toc31264_WPSOffice_Level1"/>
      <w:bookmarkStart w:id="79" w:name="_Toc27590_WPSOffice_Level1"/>
      <w:bookmarkStart w:id="80" w:name="_Toc28629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kern w:val="0"/>
          <w:sz w:val="32"/>
          <w:szCs w:val="32"/>
          <w:lang w:eastAsia="zh-CN"/>
        </w:rPr>
        <w:t>三亚市南岛学校</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一、收入支出决算总体情况说明</w:t>
      </w:r>
    </w:p>
    <w:p>
      <w:pPr>
        <w:ind w:firstLine="640" w:firstLineChars="200"/>
        <w:rPr>
          <w:rFonts w:hint="eastAsia" w:ascii="仿宋_GB2312" w:hAnsi="??" w:eastAsia="仿宋_GB2312"/>
          <w:sz w:val="32"/>
          <w:szCs w:val="32"/>
          <w:lang w:eastAsia="zh-CN"/>
        </w:rPr>
      </w:pPr>
      <w:r>
        <w:rPr>
          <w:rFonts w:hint="default" w:ascii="仿宋_GB2312" w:hAnsi="ˎ̥" w:eastAsia="仿宋_GB2312" w:cs="仿宋_GB2312"/>
          <w:kern w:val="0"/>
          <w:sz w:val="32"/>
          <w:szCs w:val="32"/>
          <w:shd w:val="clear" w:color="auto" w:fill="FFFFFF"/>
        </w:rPr>
        <w:t>2022年度收入总计</w:t>
      </w:r>
      <w:r>
        <w:rPr>
          <w:rFonts w:hint="eastAsia" w:ascii="仿宋_GB2312" w:hAnsi="ˎ̥" w:eastAsia="仿宋_GB2312" w:cs="仿宋_GB2312"/>
          <w:kern w:val="0"/>
          <w:sz w:val="32"/>
          <w:szCs w:val="32"/>
          <w:shd w:val="clear" w:color="auto" w:fill="FFFFFF"/>
          <w:lang w:val="en-US" w:eastAsia="zh-CN"/>
        </w:rPr>
        <w:t>1860.81</w:t>
      </w:r>
      <w:r>
        <w:rPr>
          <w:rFonts w:hint="default" w:ascii="仿宋_GB2312" w:hAnsi="ˎ̥" w:eastAsia="仿宋_GB2312" w:cs="仿宋_GB2312"/>
          <w:kern w:val="0"/>
          <w:sz w:val="32"/>
          <w:szCs w:val="32"/>
          <w:shd w:val="clear" w:color="auto" w:fill="FFFFFF"/>
        </w:rPr>
        <w:t>万元，支出总计</w:t>
      </w:r>
      <w:r>
        <w:rPr>
          <w:rFonts w:hint="eastAsia" w:ascii="仿宋_GB2312" w:hAnsi="ˎ̥" w:eastAsia="仿宋_GB2312" w:cs="仿宋_GB2312"/>
          <w:kern w:val="0"/>
          <w:sz w:val="32"/>
          <w:szCs w:val="32"/>
          <w:shd w:val="clear" w:color="auto" w:fill="FFFFFF"/>
          <w:lang w:val="en-US" w:eastAsia="zh-CN"/>
        </w:rPr>
        <w:t>1860.81</w:t>
      </w:r>
      <w:r>
        <w:rPr>
          <w:rFonts w:hint="default" w:ascii="仿宋_GB2312" w:hAnsi="ˎ̥" w:eastAsia="仿宋_GB2312" w:cs="仿宋_GB2312"/>
          <w:kern w:val="0"/>
          <w:sz w:val="32"/>
          <w:szCs w:val="32"/>
          <w:shd w:val="clear" w:color="auto" w:fill="FFFFFF"/>
        </w:rPr>
        <w:t>万元，与2021年度相比，收入、支出总计各增加</w:t>
      </w:r>
      <w:r>
        <w:rPr>
          <w:rFonts w:hint="eastAsia" w:ascii="仿宋_GB2312" w:hAnsi="ˎ̥" w:eastAsia="仿宋_GB2312" w:cs="仿宋_GB2312"/>
          <w:kern w:val="0"/>
          <w:sz w:val="32"/>
          <w:szCs w:val="32"/>
          <w:shd w:val="clear" w:color="auto" w:fill="FFFFFF"/>
          <w:lang w:val="en-US" w:eastAsia="zh-CN"/>
        </w:rPr>
        <w:t>28.03</w:t>
      </w:r>
      <w:r>
        <w:rPr>
          <w:rFonts w:hint="default"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lang w:val="en-US" w:eastAsia="zh-CN"/>
        </w:rPr>
        <w:t>1.5</w:t>
      </w:r>
      <w:r>
        <w:rPr>
          <w:rFonts w:hint="default" w:ascii="仿宋_GB2312" w:hAnsi="ˎ̥" w:eastAsia="仿宋_GB2312" w:cs="仿宋_GB2312"/>
          <w:kern w:val="0"/>
          <w:sz w:val="32"/>
          <w:szCs w:val="32"/>
          <w:shd w:val="clear" w:color="auto" w:fill="FFFFFF"/>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 w:eastAsia="仿宋_GB2312"/>
          <w:sz w:val="32"/>
          <w:szCs w:val="32"/>
        </w:rPr>
        <w:t>社会保障和就业（类）支出</w:t>
      </w:r>
      <w:r>
        <w:rPr>
          <w:rFonts w:hint="eastAsia" w:ascii="仿宋_GB2312" w:hAnsi="??" w:eastAsia="仿宋_GB2312"/>
          <w:sz w:val="32"/>
          <w:szCs w:val="32"/>
          <w:lang w:eastAsia="zh-CN"/>
        </w:rPr>
        <w:t>增加。</w:t>
      </w:r>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二、收入决算情况说明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本年收入合计</w:t>
      </w:r>
      <w:r>
        <w:rPr>
          <w:rFonts w:hint="eastAsia" w:ascii="仿宋_GB2312" w:hAnsi="??" w:eastAsia="仿宋_GB2312"/>
          <w:sz w:val="32"/>
          <w:szCs w:val="32"/>
          <w:lang w:val="en-US" w:eastAsia="zh-CN"/>
        </w:rPr>
        <w:t>1689.53</w:t>
      </w:r>
      <w:r>
        <w:rPr>
          <w:rFonts w:hint="eastAsia" w:ascii="仿宋_GB2312" w:hAnsi="??" w:eastAsia="仿宋_GB2312"/>
          <w:sz w:val="32"/>
          <w:szCs w:val="32"/>
        </w:rPr>
        <w:t>万元，其中：</w:t>
      </w:r>
      <w:bookmarkStart w:id="117" w:name="_GoBack"/>
      <w:bookmarkEnd w:id="117"/>
      <w:r>
        <w:rPr>
          <w:rFonts w:hint="eastAsia" w:ascii="仿宋_GB2312" w:hAnsi="??" w:eastAsia="仿宋_GB2312"/>
          <w:sz w:val="32"/>
          <w:szCs w:val="32"/>
        </w:rPr>
        <w:t>财政拨款收入</w:t>
      </w:r>
      <w:r>
        <w:rPr>
          <w:rFonts w:hint="eastAsia" w:ascii="仿宋_GB2312" w:hAnsi="??" w:eastAsia="仿宋_GB2312"/>
          <w:sz w:val="32"/>
          <w:szCs w:val="32"/>
          <w:lang w:val="en-US" w:eastAsia="zh-CN"/>
        </w:rPr>
        <w:t>1689.53</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1689.53</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1397.93</w:t>
      </w:r>
      <w:r>
        <w:rPr>
          <w:rFonts w:hint="eastAsia" w:ascii="仿宋_GB2312" w:hAnsi="??" w:eastAsia="仿宋_GB2312"/>
          <w:sz w:val="32"/>
          <w:szCs w:val="32"/>
        </w:rPr>
        <w:t>万元，占</w:t>
      </w:r>
      <w:r>
        <w:rPr>
          <w:rFonts w:hint="eastAsia" w:ascii="仿宋_GB2312" w:hAnsi="??" w:eastAsia="仿宋_GB2312"/>
          <w:sz w:val="32"/>
          <w:szCs w:val="32"/>
          <w:lang w:val="en-US" w:eastAsia="zh-CN"/>
        </w:rPr>
        <w:t>82.74</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88.26</w:t>
      </w:r>
      <w:r>
        <w:rPr>
          <w:rFonts w:hint="eastAsia" w:ascii="仿宋_GB2312" w:hAnsi="??" w:eastAsia="仿宋_GB2312"/>
          <w:sz w:val="32"/>
          <w:szCs w:val="32"/>
        </w:rPr>
        <w:t>万元，占</w:t>
      </w:r>
      <w:r>
        <w:rPr>
          <w:rFonts w:hint="eastAsia" w:ascii="仿宋_GB2312" w:hAnsi="??" w:eastAsia="仿宋_GB2312"/>
          <w:sz w:val="32"/>
          <w:szCs w:val="32"/>
          <w:lang w:val="en-US" w:eastAsia="zh-CN"/>
        </w:rPr>
        <w:t>5.22</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128.21</w:t>
      </w:r>
      <w:r>
        <w:rPr>
          <w:rFonts w:hint="eastAsia" w:ascii="仿宋_GB2312" w:hAnsi="??" w:eastAsia="仿宋_GB2312"/>
          <w:sz w:val="32"/>
          <w:szCs w:val="32"/>
        </w:rPr>
        <w:t>万元，占</w:t>
      </w:r>
      <w:r>
        <w:rPr>
          <w:rFonts w:hint="eastAsia" w:ascii="仿宋_GB2312" w:hAnsi="??" w:eastAsia="仿宋_GB2312"/>
          <w:sz w:val="32"/>
          <w:szCs w:val="32"/>
          <w:lang w:val="en-US" w:eastAsia="zh-CN"/>
        </w:rPr>
        <w:t>7.58</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75.12</w:t>
      </w:r>
      <w:r>
        <w:rPr>
          <w:rFonts w:hint="eastAsia" w:ascii="仿宋_GB2312" w:hAnsi="??" w:eastAsia="仿宋_GB2312"/>
          <w:sz w:val="32"/>
          <w:szCs w:val="32"/>
        </w:rPr>
        <w:t>万元，占</w:t>
      </w:r>
      <w:r>
        <w:rPr>
          <w:rFonts w:hint="eastAsia" w:ascii="仿宋_GB2312" w:hAnsi="??" w:eastAsia="仿宋_GB2312"/>
          <w:sz w:val="32"/>
          <w:szCs w:val="32"/>
          <w:lang w:val="en-US" w:eastAsia="zh-CN"/>
        </w:rPr>
        <w:t>4.44</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年度财政拨款收入、支出总</w:t>
      </w:r>
      <w:r>
        <w:rPr>
          <w:rFonts w:hint="eastAsia" w:ascii="仿宋_GB2312" w:hAnsi="??" w:eastAsia="仿宋_GB2312"/>
          <w:color w:val="000000"/>
          <w:sz w:val="32"/>
          <w:szCs w:val="32"/>
        </w:rPr>
        <w:t>计</w:t>
      </w:r>
      <w:r>
        <w:rPr>
          <w:rFonts w:hint="eastAsia" w:ascii="仿宋_GB2312" w:hAnsi="??" w:eastAsia="仿宋_GB2312"/>
          <w:color w:val="000000"/>
          <w:sz w:val="32"/>
          <w:szCs w:val="32"/>
          <w:lang w:val="en-US" w:eastAsia="zh-CN"/>
        </w:rPr>
        <w:t>1689.53</w:t>
      </w:r>
      <w:r>
        <w:rPr>
          <w:rFonts w:hint="eastAsia" w:ascii="仿宋_GB2312" w:hAnsi="??" w:eastAsia="仿宋_GB2312"/>
          <w:color w:val="000000"/>
          <w:sz w:val="32"/>
          <w:szCs w:val="32"/>
        </w:rPr>
        <w:t>万</w:t>
      </w:r>
      <w:r>
        <w:rPr>
          <w:rFonts w:hint="eastAsia" w:ascii="仿宋_GB2312" w:hAnsi="??" w:eastAsia="仿宋_GB2312"/>
          <w:sz w:val="32"/>
          <w:szCs w:val="32"/>
        </w:rPr>
        <w:t>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9989_WPSOffice_Level2"/>
      <w:bookmarkStart w:id="84" w:name="_Toc19665_WPSOffice_Level2"/>
      <w:bookmarkStart w:id="85" w:name="_Toc21737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1689.53</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80</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2711_WPSOffice_Level2"/>
      <w:bookmarkStart w:id="88" w:name="_Toc18793_WPSOffice_Level2"/>
      <w:bookmarkStart w:id="89" w:name="_Toc19535_WPSOffice_Level2"/>
      <w:bookmarkStart w:id="90" w:name="_Toc27767_WPSOffice_Level2"/>
      <w:bookmarkStart w:id="91" w:name="_Toc19075_WPSOffice_Level2"/>
      <w:bookmarkStart w:id="92" w:name="_Toc23864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1689.53</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1397.93</w:t>
      </w:r>
      <w:r>
        <w:rPr>
          <w:rFonts w:hint="eastAsia" w:ascii="仿宋_GB2312" w:hAnsi="??" w:eastAsia="仿宋_GB2312"/>
          <w:sz w:val="32"/>
          <w:szCs w:val="32"/>
        </w:rPr>
        <w:t>万元，占</w:t>
      </w:r>
      <w:r>
        <w:rPr>
          <w:rFonts w:hint="eastAsia" w:ascii="仿宋_GB2312" w:hAnsi="??" w:eastAsia="仿宋_GB2312"/>
          <w:sz w:val="32"/>
          <w:szCs w:val="32"/>
          <w:lang w:val="en-US" w:eastAsia="zh-CN"/>
        </w:rPr>
        <w:t>82.74</w:t>
      </w:r>
      <w:r>
        <w:rPr>
          <w:rFonts w:ascii="仿宋_GB2312" w:hAnsi="??" w:eastAsia="仿宋_GB2312"/>
          <w:sz w:val="32"/>
          <w:szCs w:val="32"/>
        </w:rPr>
        <w:t>%</w:t>
      </w:r>
      <w:r>
        <w:rPr>
          <w:rFonts w:hint="eastAsia" w:ascii="仿宋_GB2312" w:hAnsi="??" w:eastAsia="仿宋_GB2312"/>
          <w:sz w:val="32"/>
          <w:szCs w:val="32"/>
        </w:rPr>
        <w:t>；社会保障和就业（类）支出</w:t>
      </w:r>
      <w:r>
        <w:rPr>
          <w:rFonts w:hint="eastAsia" w:ascii="仿宋_GB2312" w:hAnsi="??" w:eastAsia="仿宋_GB2312"/>
          <w:sz w:val="32"/>
          <w:szCs w:val="32"/>
          <w:lang w:val="en-US" w:eastAsia="zh-CN"/>
        </w:rPr>
        <w:t>88.25</w:t>
      </w:r>
      <w:r>
        <w:rPr>
          <w:rFonts w:hint="eastAsia" w:ascii="仿宋_GB2312" w:hAnsi="??" w:eastAsia="仿宋_GB2312"/>
          <w:sz w:val="32"/>
          <w:szCs w:val="32"/>
        </w:rPr>
        <w:t>万元，占</w:t>
      </w:r>
      <w:r>
        <w:rPr>
          <w:rFonts w:hint="eastAsia" w:ascii="仿宋_GB2312" w:hAnsi="??" w:eastAsia="仿宋_GB2312"/>
          <w:sz w:val="32"/>
          <w:szCs w:val="32"/>
          <w:lang w:val="en-US" w:eastAsia="zh-CN"/>
        </w:rPr>
        <w:t>5.22</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75.12</w:t>
      </w:r>
      <w:r>
        <w:rPr>
          <w:rFonts w:hint="eastAsia" w:ascii="仿宋_GB2312" w:hAnsi="??" w:eastAsia="仿宋_GB2312"/>
          <w:sz w:val="32"/>
          <w:szCs w:val="32"/>
        </w:rPr>
        <w:t>万元，占</w:t>
      </w:r>
      <w:r>
        <w:rPr>
          <w:rFonts w:hint="eastAsia" w:ascii="仿宋_GB2312" w:hAnsi="??" w:eastAsia="仿宋_GB2312"/>
          <w:sz w:val="32"/>
          <w:szCs w:val="32"/>
          <w:lang w:val="en-US" w:eastAsia="zh-CN"/>
        </w:rPr>
        <w:t>0.79</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128.21</w:t>
      </w:r>
      <w:r>
        <w:rPr>
          <w:rFonts w:hint="eastAsia" w:ascii="仿宋_GB2312" w:hAnsi="??" w:eastAsia="仿宋_GB2312"/>
          <w:sz w:val="32"/>
          <w:szCs w:val="32"/>
        </w:rPr>
        <w:t>万元，占</w:t>
      </w:r>
      <w:r>
        <w:rPr>
          <w:rFonts w:hint="eastAsia" w:ascii="仿宋_GB2312" w:hAnsi="??" w:eastAsia="仿宋_GB2312"/>
          <w:sz w:val="32"/>
          <w:szCs w:val="32"/>
          <w:lang w:val="en-US" w:eastAsia="zh-CN"/>
        </w:rPr>
        <w:t>4.44</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15415_WPSOffice_Level2"/>
      <w:bookmarkStart w:id="94" w:name="_Toc9502_WPSOffice_Level2"/>
      <w:bookmarkStart w:id="95" w:name="_Toc25136_WPSOffice_Level2"/>
      <w:bookmarkStart w:id="96" w:name="_Toc21701_WPSOffice_Level2"/>
      <w:bookmarkStart w:id="97" w:name="_Toc22318_WPSOffice_Level2"/>
      <w:bookmarkStart w:id="98" w:name="_Toc29364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1689.53</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1689.53</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w:t>
      </w:r>
      <w:r>
        <w:rPr>
          <w:rFonts w:hint="eastAsia" w:ascii="仿宋_GB2312" w:hAnsi="??" w:eastAsia="仿宋_GB2312"/>
          <w:sz w:val="32"/>
          <w:szCs w:val="32"/>
          <w:lang w:eastAsia="zh-CN"/>
        </w:rPr>
        <w:t>普通</w:t>
      </w:r>
      <w:r>
        <w:rPr>
          <w:rFonts w:hint="eastAsia" w:ascii="仿宋_GB2312" w:hAnsi="??" w:eastAsia="仿宋_GB2312"/>
          <w:sz w:val="32"/>
          <w:szCs w:val="32"/>
        </w:rPr>
        <w:t>教育（款）</w:t>
      </w:r>
      <w:r>
        <w:rPr>
          <w:rFonts w:hint="eastAsia" w:ascii="仿宋_GB2312" w:hAnsi="??" w:eastAsia="仿宋_GB2312"/>
          <w:sz w:val="32"/>
          <w:szCs w:val="32"/>
          <w:lang w:eastAsia="zh-CN"/>
        </w:rPr>
        <w:t>学前</w:t>
      </w:r>
      <w:r>
        <w:rPr>
          <w:rFonts w:hint="eastAsia" w:ascii="仿宋_GB2312" w:hAnsi="??" w:eastAsia="仿宋_GB2312"/>
          <w:sz w:val="32"/>
          <w:szCs w:val="32"/>
        </w:rPr>
        <w:t>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1670.29</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1689.53</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2</w:t>
      </w:r>
      <w:r>
        <w:rPr>
          <w:rFonts w:ascii="仿宋_GB2312" w:hAnsi="??" w:eastAsia="仿宋_GB2312"/>
          <w:sz w:val="32"/>
          <w:szCs w:val="32"/>
        </w:rPr>
        <w:t>.</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123.77</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88.26</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71.30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3</w:t>
      </w:r>
      <w:r>
        <w:rPr>
          <w:rFonts w:ascii="仿宋_GB2312" w:hAnsi="??" w:eastAsia="仿宋_GB2312"/>
          <w:sz w:val="32"/>
          <w:szCs w:val="32"/>
        </w:rPr>
        <w:t>.</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128.21</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128.21</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4</w:t>
      </w:r>
      <w:r>
        <w:rPr>
          <w:rFonts w:ascii="仿宋_GB2312" w:hAnsi="??" w:eastAsia="仿宋_GB2312"/>
          <w:sz w:val="32"/>
          <w:szCs w:val="32"/>
        </w:rPr>
        <w:t>.</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79.69</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88.26</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5</w:t>
      </w:r>
      <w:r>
        <w:rPr>
          <w:rFonts w:ascii="仿宋_GB2312" w:hAnsi="??" w:eastAsia="仿宋_GB2312"/>
          <w:sz w:val="32"/>
          <w:szCs w:val="32"/>
        </w:rPr>
        <w:t>.</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95.63</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75.12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1689.53</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1057.69</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w:t>
      </w:r>
      <w:r>
        <w:rPr>
          <w:rFonts w:hint="eastAsia" w:ascii="仿宋_GB2312" w:hAnsi="??" w:eastAsia="仿宋_GB2312"/>
          <w:sz w:val="32"/>
          <w:szCs w:val="32"/>
          <w:lang w:eastAsia="zh-CN"/>
        </w:rPr>
        <w:t>、人才引进、教育教学管理</w:t>
      </w:r>
      <w:r>
        <w:rPr>
          <w:rFonts w:hint="eastAsia" w:ascii="仿宋_GB2312" w:hAnsi="??" w:eastAsia="仿宋_GB2312"/>
          <w:sz w:val="32"/>
          <w:szCs w:val="32"/>
        </w:rPr>
        <w:t>等。公用经费</w:t>
      </w:r>
      <w:r>
        <w:rPr>
          <w:rFonts w:hint="eastAsia" w:ascii="仿宋_GB2312" w:hAnsi="??" w:eastAsia="仿宋_GB2312"/>
          <w:sz w:val="32"/>
          <w:szCs w:val="32"/>
          <w:lang w:val="en-US" w:eastAsia="zh-CN"/>
        </w:rPr>
        <w:t>30.73</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w:t>
      </w:r>
      <w:r>
        <w:rPr>
          <w:rFonts w:hint="eastAsia" w:ascii="仿宋_GB2312" w:hAnsi="Times New Roman" w:eastAsia="仿宋_GB2312"/>
          <w:sz w:val="32"/>
          <w:szCs w:val="32"/>
          <w:lang w:eastAsia="zh-CN"/>
        </w:rPr>
        <w:t>三亚市南岛学校</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hint="eastAsia" w:ascii="仿宋_GB2312" w:hAnsi="Times New Roman" w:eastAsia="仿宋_GB2312"/>
          <w:sz w:val="32"/>
          <w:szCs w:val="32"/>
          <w:lang w:val="en-US" w:eastAsia="zh-CN"/>
        </w:rPr>
        <w:t>1689.53</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hint="eastAsia" w:ascii="仿宋_GB2312" w:hAnsi="Times New Roman" w:eastAsia="仿宋_GB2312"/>
          <w:sz w:val="32"/>
          <w:szCs w:val="32"/>
          <w:lang w:val="en-US" w:eastAsia="zh-CN"/>
        </w:rPr>
        <w:t>1689.53</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hint="eastAsia" w:ascii="仿宋_GB2312" w:hAnsi="Times New Roman" w:eastAsia="仿宋_GB2312"/>
          <w:sz w:val="32"/>
          <w:szCs w:val="32"/>
          <w:lang w:val="en-US" w:eastAsia="zh-CN"/>
        </w:rPr>
        <w:t>1689.53</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8325_WPSOffice_Level2"/>
      <w:bookmarkStart w:id="100" w:name="_Toc5978_WPSOffice_Level2"/>
      <w:bookmarkStart w:id="101" w:name="_Toc15565_WPSOffice_Level2"/>
      <w:bookmarkStart w:id="102" w:name="_Toc23598_WPSOffice_Level2"/>
      <w:bookmarkStart w:id="103" w:name="_Toc32639_WPSOffice_Level2"/>
      <w:bookmarkStart w:id="104" w:name="_Toc15262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w:t>
      </w:r>
      <w:r>
        <w:rPr>
          <w:rFonts w:hint="eastAsia" w:ascii="仿宋_GB2312" w:hAnsi="??" w:eastAsia="仿宋_GB2312"/>
          <w:color w:val="000000"/>
          <w:sz w:val="32"/>
          <w:szCs w:val="32"/>
          <w:lang w:eastAsia="zh-CN"/>
        </w:rPr>
        <w:t>三亚市南岛学校</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0383_WPSOffice_Level2"/>
      <w:bookmarkStart w:id="106" w:name="_Toc3131_WPSOffice_Level2"/>
      <w:bookmarkStart w:id="107" w:name="_Toc13084_WPSOffice_Level2"/>
      <w:bookmarkStart w:id="108" w:name="_Toc23966_WPSOffice_Level2"/>
      <w:bookmarkStart w:id="109" w:name="_Toc25333_WPSOffice_Level2"/>
      <w:bookmarkStart w:id="110" w:name="_Toc32689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w:t>
      </w:r>
      <w:r>
        <w:rPr>
          <w:rFonts w:hint="eastAsia" w:ascii="仿宋_GB2312" w:hAnsi="??" w:eastAsia="仿宋_GB2312"/>
          <w:color w:val="000000"/>
          <w:sz w:val="32"/>
          <w:szCs w:val="32"/>
          <w:lang w:eastAsia="zh-CN"/>
        </w:rPr>
        <w:t>三亚市南岛学校</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6016_WPSOffice_Level2"/>
      <w:bookmarkStart w:id="112" w:name="_Toc15129_WPSOffice_Level2"/>
      <w:bookmarkStart w:id="113" w:name="_Toc19989_WPSOffice_Level2"/>
      <w:bookmarkStart w:id="114" w:name="_Toc10902_WPSOffice_Level2"/>
      <w:bookmarkStart w:id="115" w:name="_Toc527_WPSOffice_Level2"/>
      <w:bookmarkStart w:id="116" w:name="_Toc29584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hint="eastAsia" w:ascii="仿宋_GB2312" w:hAnsi="??" w:eastAsia="仿宋_GB2312"/>
          <w:color w:val="000000"/>
          <w:sz w:val="32"/>
          <w:szCs w:val="32"/>
          <w:lang w:val="en-US" w:eastAsia="zh-CN"/>
        </w:rPr>
        <w:t>29091.64</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1090</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 w:eastAsia="黑体"/>
          <w:sz w:val="32"/>
          <w:szCs w:val="32"/>
        </w:rPr>
      </w:pPr>
      <w:r>
        <w:rPr>
          <w:rFonts w:hint="eastAsia" w:ascii="黑体" w:hAnsi="宋体" w:eastAsia="黑体" w:cs="黑体"/>
          <w:kern w:val="0"/>
          <w:sz w:val="32"/>
          <w:szCs w:val="32"/>
          <w:shd w:val="clear" w:color="auto" w:fill="FFFFFF"/>
          <w:lang w:bidi="ar"/>
        </w:rPr>
        <w:t>第四部分  名词解释</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lang w:val="en-US" w:eastAsia="zh-CN"/>
        </w:rPr>
        <w:t>一、</w:t>
      </w:r>
      <w:r>
        <w:rPr>
          <w:rFonts w:hint="eastAsia" w:ascii="仿宋_GB2312" w:hAnsi="??" w:eastAsia="仿宋_GB2312"/>
          <w:sz w:val="32"/>
          <w:szCs w:val="32"/>
        </w:rPr>
        <w:t>财政拨款收入：指同级政府财政部门当年拨付的各类财政拨款。</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二、上级补助收入：指事业单位从主管部门和上级单位取得的非财政补助收入。</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三、事业收入：指事业单位开展专业业务活动及辅助活动取得的收入。</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四、经营收入：指事业单位在专业业务活动及其辅助活动之外开展非独立核算经营活动取得的收入。</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五、附属单位上缴收入：指事业单位取得附属独立核算单位根据有关规定上缴的收入。</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六、其他收入：指除上述“财政拨款收入”“事业收入”“上级补助收入”“经营收入”“附属单位上缴收入”等以外的收入。</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八、年初结转和结余：指以前年度尚未完成、结转到本年按有关规定继续使用的资金，或项目已完成等产生的结余资金。</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九、结余分配：指事业单位缴纳企业所得税以及从非财政拨款结余或经营结余中提取各类结余的情况。</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十一、基本支出：指为保障机构正常运转、完成日常工作任务而发生的人员支出和公用支出。</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十二、项目支出：指在基本支出之外为完成特定行政任务和事业发展目标所发生的支出。</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十三、经营支出：指事业单位在专业业务活动及其辅助活动之外开展非独立核算经营活动发生的支出。</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 xml:space="preserve">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1">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3N2Y0NGI1ZDBhZjA2ZDEyMDI0ZTQzNjJmZGMwZWQifQ=="/>
  </w:docVars>
  <w:rsids>
    <w:rsidRoot w:val="00000000"/>
    <w:rsid w:val="006F1E2E"/>
    <w:rsid w:val="00B566FA"/>
    <w:rsid w:val="01E742AE"/>
    <w:rsid w:val="062210AC"/>
    <w:rsid w:val="0C5C59B5"/>
    <w:rsid w:val="2024799C"/>
    <w:rsid w:val="20324734"/>
    <w:rsid w:val="2FAF6379"/>
    <w:rsid w:val="3B373388"/>
    <w:rsid w:val="40AC2C77"/>
    <w:rsid w:val="42597448"/>
    <w:rsid w:val="46E378C2"/>
    <w:rsid w:val="4EA93499"/>
    <w:rsid w:val="60383F77"/>
    <w:rsid w:val="65A07F66"/>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99"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qFormat/>
    <w:uiPriority w:val="99"/>
  </w:style>
  <w:style w:type="table" w:default="1" w:styleId="7">
    <w:name w:val="Normal Table"/>
    <w:qFormat/>
    <w:uiPriority w:val="99"/>
    <w:tblPr>
      <w:tblLayout w:type="fixed"/>
      <w:tblCellMar>
        <w:top w:w="0" w:type="dxa"/>
        <w:left w:w="108" w:type="dxa"/>
        <w:bottom w:w="0" w:type="dxa"/>
        <w:right w:w="108" w:type="dxa"/>
      </w:tblCellMar>
    </w:tblPr>
  </w:style>
  <w:style w:type="paragraph" w:styleId="2">
    <w:name w:val="Balloon Text"/>
    <w:basedOn w:val="1"/>
    <w:link w:val="12"/>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_c7e4c322-dd71-433b-93d4-ae2c851e275a"/>
    <w:basedOn w:val="5"/>
    <w:link w:val="3"/>
    <w:qFormat/>
    <w:uiPriority w:val="99"/>
    <w:rPr>
      <w:rFonts w:cs="Times New Roman"/>
      <w:sz w:val="18"/>
      <w:szCs w:val="18"/>
    </w:rPr>
  </w:style>
  <w:style w:type="character" w:customStyle="1" w:styleId="9">
    <w:name w:val="Header Char_79699745-2cb0-4504-aff3-49a09a2f77e0"/>
    <w:basedOn w:val="5"/>
    <w:link w:val="4"/>
    <w:qFormat/>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qFormat/>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4938</Words>
  <Characters>5286</Characters>
  <Lines>0</Lines>
  <Paragraphs>174</Paragraphs>
  <ScaleCrop>false</ScaleCrop>
  <LinksUpToDate>false</LinksUpToDate>
  <CharactersWithSpaces>5385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cp:lastPrinted>2023-09-21T07:20:00Z</cp:lastPrinted>
  <dcterms:modified xsi:type="dcterms:W3CDTF">2023-09-25T04:31:31Z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419a061dbb4047f583258120cfb707c2_23</vt:lpwstr>
  </property>
</Properties>
</file>