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ˎ̥" w:eastAsia="黑体"/>
          <w:sz w:val="44"/>
          <w:szCs w:val="44"/>
        </w:rPr>
      </w:pPr>
      <w:r>
        <w:rPr>
          <w:rFonts w:hint="eastAsia" w:ascii="黑体" w:hAnsi="ˎ̥" w:eastAsia="黑体"/>
          <w:sz w:val="44"/>
          <w:szCs w:val="44"/>
        </w:rPr>
        <w:t>三亚市天涯区满地可希望小学2022年度</w:t>
      </w:r>
    </w:p>
    <w:p>
      <w:pPr>
        <w:jc w:val="center"/>
        <w:rPr>
          <w:rFonts w:ascii="黑体" w:hAnsi="ˎ̥" w:eastAsia="黑体"/>
          <w:sz w:val="44"/>
          <w:szCs w:val="44"/>
        </w:rPr>
      </w:pPr>
      <w:r>
        <w:rPr>
          <w:rFonts w:hint="eastAsia" w:ascii="黑体" w:hAnsi="ˎ̥" w:eastAsia="黑体"/>
          <w:sz w:val="44"/>
          <w:szCs w:val="44"/>
        </w:rPr>
        <w:t>部门决算公开文字说明</w:t>
      </w:r>
    </w:p>
    <w:p>
      <w:pPr>
        <w:jc w:val="center"/>
        <w:rPr>
          <w:rFonts w:ascii="黑体" w:hAnsi="ˎ̥"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pStyle w:val="9"/>
        <w:tabs>
          <w:tab w:val="right" w:leader="dot" w:pos="8306"/>
        </w:tabs>
        <w:rPr>
          <w:sz w:val="32"/>
          <w:szCs w:val="32"/>
        </w:rPr>
      </w:pPr>
      <w:r>
        <w:fldChar w:fldCharType="begin"/>
      </w:r>
      <w:r>
        <w:instrText xml:space="preserve"> HYPERLINK \l "_Toc1704_WPSOffice_Level1" </w:instrText>
      </w:r>
      <w:r>
        <w:fldChar w:fldCharType="separate"/>
      </w:r>
      <w:r>
        <w:rPr>
          <w:rFonts w:hint="eastAsia" w:ascii="黑体" w:hAnsi="ˎ̥" w:eastAsia="黑体"/>
          <w:sz w:val="32"/>
          <w:szCs w:val="32"/>
        </w:rPr>
        <w:t>第一部分  三亚市天涯区满地可希望小学概况</w:t>
      </w:r>
      <w:r>
        <w:rPr>
          <w:sz w:val="32"/>
          <w:szCs w:val="32"/>
        </w:rPr>
        <w:tab/>
      </w:r>
      <w:r>
        <w:rPr>
          <w:rFonts w:hint="eastAsia"/>
          <w:sz w:val="32"/>
          <w:szCs w:val="32"/>
        </w:rPr>
        <w:t>3</w:t>
      </w:r>
      <w:r>
        <w:rPr>
          <w:rFonts w:hint="eastAsia"/>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"_Toc20274_WPSOffice_Level2" </w:instrText>
      </w:r>
      <w:r>
        <w:fldChar w:fldCharType="separate"/>
      </w:r>
      <w:r>
        <w:rPr>
          <w:rFonts w:hint="eastAsia" w:ascii="仿宋" w:hAnsi="仿宋" w:eastAsia="仿宋" w:cs="仿宋"/>
          <w:sz w:val="32"/>
          <w:szCs w:val="32"/>
        </w:rPr>
        <w:t>一、部门职责</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"_Toc4833_WPSOffice_Level2" </w:instrText>
      </w:r>
      <w: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9"/>
        <w:tabs>
          <w:tab w:val="right" w:leader="dot" w:pos="8306"/>
        </w:tabs>
        <w:rPr>
          <w:rFonts w:ascii="仿宋" w:hAnsi="仿宋" w:eastAsia="仿宋" w:cs="仿宋"/>
          <w:sz w:val="32"/>
          <w:szCs w:val="32"/>
        </w:rPr>
      </w:pPr>
      <w:r>
        <w:fldChar w:fldCharType="begin"/>
      </w:r>
      <w:r>
        <w:instrText xml:space="preserve"> HYPERLINK \l "_Toc28253_WPSOffice_Level1" </w:instrText>
      </w:r>
      <w:r>
        <w:fldChar w:fldCharType="separate"/>
      </w:r>
      <w:r>
        <w:rPr>
          <w:rFonts w:hint="eastAsia" w:ascii="黑体" w:hAnsi="ˎ̥" w:eastAsia="黑体"/>
          <w:sz w:val="32"/>
          <w:szCs w:val="32"/>
        </w:rPr>
        <w:t>第二部分 三亚市天涯区满地可希望小学2022年度部门决算公开表</w:t>
      </w:r>
      <w:r>
        <w:rPr>
          <w:sz w:val="32"/>
          <w:szCs w:val="32"/>
        </w:rPr>
        <w:tab/>
      </w:r>
      <w:r>
        <w:rPr>
          <w:rFonts w:hint="eastAsia"/>
          <w:sz w:val="32"/>
          <w:szCs w:val="32"/>
        </w:rPr>
        <w:t>3</w:t>
      </w:r>
      <w:r>
        <w:rPr>
          <w:rFonts w:hint="eastAsia"/>
          <w:sz w:val="32"/>
          <w:szCs w:val="32"/>
        </w:rPr>
        <w:fldChar w:fldCharType="end"/>
      </w:r>
    </w:p>
    <w:p>
      <w:pPr>
        <w:pStyle w:val="9"/>
        <w:tabs>
          <w:tab w:val="right" w:leader="dot" w:pos="8306"/>
        </w:tabs>
        <w:rPr>
          <w:sz w:val="32"/>
          <w:szCs w:val="32"/>
        </w:rPr>
      </w:pPr>
      <w:r>
        <w:fldChar w:fldCharType="begin"/>
      </w:r>
      <w:r>
        <w:instrText xml:space="preserve"> HYPERLINK \l "_Toc27590_WPSOffice_Level1" </w:instrText>
      </w:r>
      <w:r>
        <w:fldChar w:fldCharType="separate"/>
      </w:r>
      <w:r>
        <w:rPr>
          <w:rFonts w:hint="eastAsia" w:ascii="黑体" w:hAnsi="黑体" w:eastAsia="黑体" w:cs="黑体"/>
          <w:sz w:val="32"/>
          <w:szCs w:val="32"/>
        </w:rPr>
        <w:t>第三部分</w:t>
      </w:r>
      <w:r>
        <w:rPr>
          <w:rFonts w:hint="eastAsia" w:ascii="黑体" w:hAnsi="ˎ̥" w:eastAsia="黑体"/>
          <w:sz w:val="32"/>
          <w:szCs w:val="32"/>
        </w:rPr>
        <w:t>三亚市天涯区满地可希望小学2022年度部门决算情况说明</w:t>
      </w:r>
      <w:r>
        <w:rPr>
          <w:sz w:val="32"/>
          <w:szCs w:val="32"/>
        </w:rPr>
        <w:tab/>
      </w:r>
      <w:r>
        <w:rPr>
          <w:rFonts w:hint="eastAsia"/>
          <w:sz w:val="32"/>
          <w:szCs w:val="32"/>
        </w:rPr>
        <w:t>4</w:t>
      </w:r>
      <w:r>
        <w:rPr>
          <w:rFonts w:hint="eastAsia"/>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"_Toc21737_WPSOffice_Level2" </w:instrText>
      </w:r>
      <w:r>
        <w:fldChar w:fldCharType="separate"/>
      </w:r>
      <w:r>
        <w:rPr>
          <w:rFonts w:hint="eastAsia" w:ascii="仿宋" w:hAnsi="仿宋" w:eastAsia="仿宋" w:cs="仿宋"/>
          <w:bCs/>
          <w:sz w:val="32"/>
          <w:szCs w:val="32"/>
        </w:rPr>
        <w:t>一、收入支出决算总体情况说明</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四、财政拨款收入支出决算情况说明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bCs/>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7</w:t>
      </w:r>
    </w:p>
    <w:p>
      <w:pPr>
        <w:pStyle w:val="8"/>
        <w:numPr>
          <w:ilvl w:val="0"/>
          <w:numId w:val="1"/>
        </w:numPr>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政府性基金预算财政拨款收入支出决算情况说明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8"/>
        <w:numPr>
          <w:ilvl w:val="0"/>
          <w:numId w:val="1"/>
        </w:numPr>
        <w:tabs>
          <w:tab w:val="right" w:leader="dot" w:pos="8306"/>
        </w:tabs>
        <w:ind w:leftChars="0"/>
        <w:rPr>
          <w:rFonts w:ascii="仿宋" w:hAnsi="仿宋" w:eastAsia="仿宋" w:cs="仿宋"/>
          <w:w w:val="98"/>
          <w:sz w:val="32"/>
          <w:szCs w:val="32"/>
        </w:rPr>
      </w:pPr>
      <w:r>
        <w:rPr>
          <w:rFonts w:hint="eastAsia" w:ascii="仿宋" w:hAnsi="仿宋" w:eastAsia="仿宋" w:cs="仿宋"/>
          <w:bCs/>
          <w:sz w:val="32"/>
          <w:szCs w:val="32"/>
        </w:rPr>
        <w:t>国有资本经营预算财政拨款收入支出决算情况说明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8"/>
        <w:numPr>
          <w:ilvl w:val="0"/>
          <w:numId w:val="0"/>
        </w:numPr>
        <w:tabs>
          <w:tab w:val="right" w:leader="dot" w:pos="8306"/>
        </w:tabs>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pStyle w:val="8"/>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pStyle w:val="8"/>
        <w:tabs>
          <w:tab w:val="right" w:leader="dot" w:pos="8306"/>
        </w:tabs>
        <w:ind w:leftChars="0"/>
        <w:rPr>
          <w:rFonts w:hint="eastAsia" w:ascii="仿宋" w:hAnsi="仿宋" w:eastAsia="仿宋" w:cs="仿宋"/>
          <w:sz w:val="32"/>
          <w:szCs w:val="32"/>
          <w:lang w:eastAsia="zh-CN"/>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pStyle w:val="8"/>
        <w:tabs>
          <w:tab w:val="right" w:leader="dot" w:pos="8306"/>
        </w:tabs>
        <w:ind w:leftChars="0"/>
        <w:rPr>
          <w:rFonts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10</w:t>
      </w:r>
    </w:p>
    <w:p>
      <w:pPr>
        <w:pStyle w:val="8"/>
        <w:tabs>
          <w:tab w:val="right" w:leader="dot" w:pos="8306"/>
        </w:tabs>
        <w:ind w:leftChars="0"/>
        <w:rPr>
          <w:rFonts w:hint="eastAsia" w:ascii="仿宋" w:hAnsi="仿宋" w:eastAsia="仿宋" w:cs="仿宋"/>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十二、预算绩效情况说明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w:t>
      </w:r>
      <w:r>
        <w:rPr>
          <w:rFonts w:hint="eastAsia" w:ascii="仿宋" w:hAnsi="仿宋" w:eastAsia="仿宋" w:cs="仿宋"/>
          <w:sz w:val="32"/>
          <w:szCs w:val="32"/>
          <w:lang w:val="en-US" w:eastAsia="zh-CN"/>
        </w:rPr>
        <w:t>0</w:t>
      </w:r>
    </w:p>
    <w:p>
      <w:pPr>
        <w:pStyle w:val="8"/>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十三、其他重要事项情况说明</w:t>
      </w:r>
      <w:r>
        <w:rPr>
          <w:rFonts w:hint="eastAsia" w:ascii="仿宋" w:hAnsi="仿宋" w:eastAsia="仿宋" w:cs="仿宋"/>
          <w:sz w:val="32"/>
          <w:szCs w:val="32"/>
        </w:rPr>
        <w:tab/>
      </w:r>
      <w:r>
        <w:rPr>
          <w:rFonts w:hint="eastAsia" w:ascii="仿宋" w:hAnsi="仿宋" w:eastAsia="仿宋" w:cs="仿宋"/>
          <w:sz w:val="32"/>
          <w:szCs w:val="32"/>
        </w:rPr>
        <w:t>11</w:t>
      </w:r>
    </w:p>
    <w:p>
      <w:pPr>
        <w:pStyle w:val="9"/>
        <w:tabs>
          <w:tab w:val="right" w:leader="dot" w:pos="8306"/>
        </w:tabs>
        <w:rPr>
          <w:rFonts w:hint="eastAsia" w:eastAsia="宋体"/>
          <w:sz w:val="32"/>
          <w:szCs w:val="32"/>
          <w:lang w:eastAsia="zh-CN"/>
        </w:rPr>
      </w:pPr>
      <w:r>
        <w:fldChar w:fldCharType="begin"/>
      </w:r>
      <w:r>
        <w:instrText xml:space="preserve"> HYPERLINK \l "_Toc15425_WPSOffice_Level1" </w:instrText>
      </w:r>
      <w: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lang w:val="en-US" w:eastAsia="zh-CN"/>
        </w:rPr>
        <w:t>2</w:t>
      </w:r>
    </w:p>
    <w:p>
      <w:pPr>
        <w:jc w:val="left"/>
        <w:rPr>
          <w:rFonts w:ascii="黑体" w:hAnsi="黑体" w:eastAsia="黑体" w:cs="黑体"/>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黑体" w:hAnsi="ˎ̥" w:eastAsia="黑体"/>
          <w:b/>
          <w:sz w:val="32"/>
          <w:szCs w:val="32"/>
        </w:rPr>
      </w:pPr>
    </w:p>
    <w:p>
      <w:pPr>
        <w:jc w:val="center"/>
        <w:rPr>
          <w:rFonts w:ascii="楷体" w:hAnsi="楷体" w:eastAsia="楷体" w:cs="楷体"/>
          <w:sz w:val="32"/>
          <w:szCs w:val="32"/>
        </w:rPr>
      </w:pPr>
      <w:bookmarkStart w:id="2" w:name="_Toc32433_WPSOffice_Level1"/>
      <w:bookmarkStart w:id="3" w:name="_Toc10720_WPSOffice_Level1"/>
      <w:bookmarkStart w:id="4" w:name="_Toc10049_WPSOffice_Level1"/>
      <w:bookmarkStart w:id="5" w:name="_Toc22941_WPSOffice_Level1"/>
      <w:bookmarkStart w:id="6" w:name="_Toc23465_WPSOffice_Level1"/>
      <w:bookmarkStart w:id="7" w:name="_Toc1704_WPSOffice_Level1"/>
      <w:bookmarkStart w:id="8" w:name="_Toc24238_WPSOffice_Level2"/>
      <w:bookmarkStart w:id="9" w:name="_Toc20205_WPSOffice_Level2"/>
      <w:bookmarkStart w:id="10" w:name="_Toc20274_WPSOffice_Level2"/>
      <w:bookmarkStart w:id="11" w:name="_Toc14159_WPSOffice_Level2"/>
      <w:bookmarkStart w:id="12" w:name="_Toc32622_WPSOffice_Level2"/>
      <w:bookmarkStart w:id="13" w:name="_Toc26580_WPSOffice_Level2"/>
      <w:r>
        <w:rPr>
          <w:rFonts w:hint="eastAsia" w:ascii="黑体" w:hAnsi="ˎ̥" w:eastAsia="黑体"/>
          <w:sz w:val="32"/>
          <w:szCs w:val="32"/>
        </w:rPr>
        <w:t>第一部分  三亚市天涯区满地可希望小学部门概况</w:t>
      </w:r>
      <w:bookmarkEnd w:id="2"/>
      <w:bookmarkEnd w:id="3"/>
      <w:bookmarkEnd w:id="4"/>
      <w:bookmarkEnd w:id="5"/>
      <w:bookmarkEnd w:id="6"/>
      <w:bookmarkEnd w:id="7"/>
    </w:p>
    <w:bookmarkEnd w:id="8"/>
    <w:p>
      <w:pPr>
        <w:pStyle w:val="10"/>
        <w:numPr>
          <w:ilvl w:val="0"/>
          <w:numId w:val="2"/>
        </w:numPr>
        <w:ind w:firstLineChars="0"/>
        <w:rPr>
          <w:rFonts w:ascii="黑体" w:hAnsi="黑体" w:eastAsia="黑体" w:cs="黑体"/>
          <w:sz w:val="32"/>
          <w:szCs w:val="32"/>
        </w:rPr>
      </w:pPr>
      <w:r>
        <w:rPr>
          <w:rFonts w:hint="eastAsia" w:ascii="黑体" w:hAnsi="黑体" w:eastAsia="黑体" w:cs="黑体"/>
          <w:sz w:val="32"/>
          <w:szCs w:val="32"/>
        </w:rPr>
        <w:t>单位</w:t>
      </w:r>
      <w:bookmarkStart w:id="123" w:name="_GoBack"/>
      <w:bookmarkEnd w:id="123"/>
      <w:r>
        <w:rPr>
          <w:rFonts w:hint="eastAsia" w:ascii="黑体" w:hAnsi="黑体" w:eastAsia="黑体" w:cs="黑体"/>
          <w:sz w:val="32"/>
          <w:szCs w:val="32"/>
        </w:rPr>
        <w:t>职责</w:t>
      </w:r>
      <w:bookmarkEnd w:id="9"/>
      <w:bookmarkEnd w:id="10"/>
      <w:bookmarkEnd w:id="11"/>
      <w:bookmarkEnd w:id="12"/>
      <w:bookmarkEnd w:id="13"/>
    </w:p>
    <w:p>
      <w:pPr>
        <w:pStyle w:val="12"/>
        <w:ind w:left="640" w:firstLine="640"/>
        <w:jc w:val="left"/>
        <w:rPr>
          <w:rFonts w:ascii="黑体" w:hAnsi="黑体" w:eastAsia="黑体" w:cs="仿宋_GB2312"/>
          <w:sz w:val="32"/>
          <w:szCs w:val="32"/>
        </w:rPr>
      </w:pPr>
      <w:bookmarkStart w:id="14" w:name="_Toc6572_WPSOffice_Level2"/>
      <w:bookmarkStart w:id="15" w:name="_Toc4833_WPSOffice_Level2"/>
      <w:bookmarkStart w:id="16" w:name="_Toc24059_WPSOffice_Level2"/>
      <w:bookmarkStart w:id="17" w:name="_Toc24474_WPSOffice_Level2"/>
      <w:bookmarkStart w:id="18" w:name="_Toc17796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sz w:val="32"/>
          <w:szCs w:val="32"/>
        </w:rPr>
      </w:pPr>
      <w:r>
        <w:rPr>
          <w:rFonts w:hint="eastAsia" w:ascii="仿宋_GB2312" w:hAnsi="ˎ̥" w:eastAsia="仿宋_GB2312"/>
          <w:sz w:val="32"/>
          <w:szCs w:val="32"/>
        </w:rPr>
        <w:t>单位内设机构即包括：</w:t>
      </w:r>
    </w:p>
    <w:p>
      <w:pPr>
        <w:ind w:firstLine="640" w:firstLineChars="200"/>
        <w:rPr>
          <w:rFonts w:ascii="楷体" w:hAnsi="楷体" w:eastAsia="楷体" w:cs="楷体"/>
          <w:sz w:val="32"/>
          <w:szCs w:val="32"/>
        </w:rPr>
      </w:pPr>
      <w:bookmarkStart w:id="19" w:name="_Toc25738_WPSOffice_Level2"/>
      <w:bookmarkStart w:id="20" w:name="_Toc24421_WPSOffice_Level2"/>
      <w:r>
        <w:rPr>
          <w:rFonts w:hint="eastAsia" w:ascii="楷体" w:hAnsi="楷体" w:eastAsia="楷体" w:cs="楷体"/>
          <w:sz w:val="32"/>
          <w:szCs w:val="32"/>
        </w:rPr>
        <w:t>（一）</w:t>
      </w:r>
      <w:bookmarkEnd w:id="19"/>
      <w:bookmarkEnd w:id="20"/>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21" w:name="_Toc19721_WPSOffice_Level2"/>
      <w:bookmarkStart w:id="22" w:name="_Toc4442_WPSOffice_Level2"/>
      <w:r>
        <w:rPr>
          <w:rFonts w:hint="eastAsia" w:ascii="楷体" w:hAnsi="楷体" w:eastAsia="楷体" w:cs="楷体"/>
          <w:sz w:val="32"/>
          <w:szCs w:val="32"/>
        </w:rPr>
        <w:t>（三）</w:t>
      </w:r>
      <w:bookmarkEnd w:id="21"/>
      <w:bookmarkEnd w:id="22"/>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黑体" w:eastAsia="黑体"/>
          <w:sz w:val="32"/>
          <w:szCs w:val="32"/>
        </w:rPr>
      </w:pPr>
      <w:bookmarkStart w:id="23" w:name="_Toc30690_WPSOffice_Level1"/>
      <w:bookmarkStart w:id="24" w:name="_Toc6234_WPSOffice_Level1"/>
      <w:bookmarkStart w:id="25" w:name="_Toc28253_WPSOffice_Level1"/>
      <w:bookmarkStart w:id="26" w:name="_Toc8164_WPSOffice_Level1"/>
      <w:bookmarkStart w:id="27" w:name="_Toc30451_WPSOffice_Level1"/>
      <w:bookmarkStart w:id="28" w:name="_Toc15521_WPSOffice_Level1"/>
      <w:bookmarkStart w:id="29" w:name="_Toc8867_WPSOffice_Level2"/>
      <w:bookmarkStart w:id="30" w:name="_Toc32695_WPSOffice_Level2"/>
      <w:bookmarkStart w:id="31" w:name="_Toc6211_WPSOffice_Level2"/>
      <w:bookmarkStart w:id="32" w:name="_Toc4029_WPSOffice_Level2"/>
      <w:bookmarkStart w:id="33" w:name="_Toc11518_WPSOffice_Level2"/>
      <w:bookmarkStart w:id="34" w:name="_Toc32472_WPSOffice_Level2"/>
      <w:r>
        <w:rPr>
          <w:rFonts w:hint="eastAsia" w:ascii="黑体" w:hAnsi="ˎ̥" w:eastAsia="黑体"/>
          <w:sz w:val="32"/>
          <w:szCs w:val="32"/>
        </w:rPr>
        <w:t xml:space="preserve">第二部分 </w:t>
      </w:r>
      <w:r>
        <w:rPr>
          <w:rFonts w:hint="eastAsia" w:ascii="黑体" w:hAnsi="黑体" w:eastAsia="黑体"/>
          <w:sz w:val="32"/>
          <w:szCs w:val="32"/>
        </w:rPr>
        <w:t xml:space="preserve"> 三亚市天涯区满地可希望小学2022年度部门决算公开报表</w:t>
      </w:r>
      <w:bookmarkEnd w:id="23"/>
      <w:bookmarkEnd w:id="24"/>
      <w:bookmarkEnd w:id="25"/>
      <w:bookmarkEnd w:id="26"/>
      <w:bookmarkEnd w:id="27"/>
      <w:bookmarkEnd w:id="28"/>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9"/>
      <w:bookmarkEnd w:id="30"/>
      <w:bookmarkEnd w:id="31"/>
      <w:r>
        <w:rPr>
          <w:rFonts w:hint="eastAsia" w:ascii="黑体" w:hAnsi="黑体" w:eastAsia="黑体" w:cs="黑体"/>
          <w:sz w:val="32"/>
          <w:szCs w:val="32"/>
        </w:rPr>
        <w:t>。</w:t>
      </w:r>
      <w:bookmarkEnd w:id="32"/>
      <w:bookmarkEnd w:id="33"/>
      <w:bookmarkEnd w:id="34"/>
    </w:p>
    <w:p>
      <w:pPr>
        <w:ind w:firstLine="645"/>
        <w:rPr>
          <w:rFonts w:ascii="黑体" w:hAnsi="黑体" w:eastAsia="黑体" w:cs="黑体"/>
          <w:sz w:val="32"/>
          <w:szCs w:val="32"/>
        </w:rPr>
      </w:pPr>
      <w:bookmarkStart w:id="35" w:name="_Toc25608_WPSOffice_Level2"/>
      <w:bookmarkStart w:id="36" w:name="_Toc26621_WPSOffice_Level2"/>
      <w:bookmarkStart w:id="37" w:name="_Toc23139_WPSOffice_Level2"/>
      <w:bookmarkStart w:id="38" w:name="_Toc14349_WPSOffice_Level2"/>
      <w:bookmarkStart w:id="39" w:name="_Toc28622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3262_WPSOffice_Level2"/>
      <w:bookmarkStart w:id="43" w:name="_Toc17858_WPSOffice_Level2"/>
      <w:bookmarkStart w:id="44" w:name="_Toc5489_WPSOffice_Level2"/>
      <w:bookmarkStart w:id="45" w:name="_Toc14658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13701_WPSOffice_Level2"/>
      <w:bookmarkStart w:id="49" w:name="_Toc21415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7879_WPSOffice_Level2"/>
      <w:bookmarkStart w:id="55" w:name="_Toc22783_WPSOffice_Level2"/>
      <w:bookmarkStart w:id="56" w:name="_Toc23829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25362_WPSOffice_Level2"/>
      <w:bookmarkStart w:id="61" w:name="_Toc17283_WPSOffice_Level2"/>
      <w:bookmarkStart w:id="62" w:name="_Toc2632_WPSOffice_Level2"/>
      <w:bookmarkStart w:id="63" w:name="_Toc8373_WPSOffice_Level2"/>
      <w:bookmarkStart w:id="64" w:name="_Toc534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5594_WPSOffice_Level2"/>
      <w:bookmarkStart w:id="66" w:name="_Toc13345_WPSOffice_Level2"/>
      <w:bookmarkStart w:id="67" w:name="_Toc1533_WPSOffice_Level2"/>
      <w:bookmarkStart w:id="68" w:name="_Toc21310_WPSOffice_Level2"/>
      <w:bookmarkStart w:id="69" w:name="_Toc6020_WPSOffice_Level2"/>
      <w:bookmarkStart w:id="70" w:name="_Toc11799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1820_WPSOffice_Level2"/>
      <w:bookmarkStart w:id="72" w:name="_Toc29886_WPSOffice_Level2"/>
      <w:bookmarkStart w:id="73" w:name="_Toc19961_WPSOffice_Level2"/>
      <w:bookmarkStart w:id="74" w:name="_Toc9377_WPSOffice_Level2"/>
      <w:r>
        <w:rPr>
          <w:rFonts w:hint="eastAsia" w:ascii="黑体" w:hAnsi="黑体" w:eastAsia="黑体" w:cs="黑体"/>
          <w:sz w:val="32"/>
          <w:szCs w:val="32"/>
        </w:rPr>
        <w:t xml:space="preserve">    九、一般公共预算财政拨款“三公”经费支出决算</w:t>
      </w:r>
    </w:p>
    <w:p>
      <w:pPr>
        <w:rPr>
          <w:rFonts w:ascii="黑体" w:hAnsi="黑体" w:eastAsia="黑体" w:cs="黑体"/>
          <w:sz w:val="32"/>
          <w:szCs w:val="32"/>
        </w:rPr>
      </w:pPr>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十、政府性基金预算财政拨款“三公”经费支出决算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十一、国有资本经营预算财政拨款“三公”经费支出决算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jc w:val="center"/>
        <w:rPr>
          <w:rFonts w:ascii="黑体" w:hAnsi="ˎ̥" w:eastAsia="黑体"/>
          <w:sz w:val="32"/>
          <w:szCs w:val="32"/>
        </w:rPr>
      </w:pPr>
      <w:bookmarkStart w:id="75" w:name="_Toc31264_WPSOffice_Level1"/>
      <w:bookmarkStart w:id="76" w:name="_Toc28629_WPSOffice_Level1"/>
      <w:bookmarkStart w:id="77" w:name="_Toc4402_WPSOffice_Level1"/>
      <w:bookmarkStart w:id="78" w:name="_Toc29683_WPSOffice_Level1"/>
      <w:bookmarkStart w:id="79" w:name="_Toc27590_WPSOffice_Level1"/>
      <w:bookmarkStart w:id="80" w:name="_Toc16686_WPSOffice_Level1"/>
      <w:r>
        <w:rPr>
          <w:rFonts w:hint="eastAsia" w:ascii="黑体" w:hAnsi="ˎ̥" w:eastAsia="黑体"/>
          <w:sz w:val="32"/>
          <w:szCs w:val="32"/>
        </w:rPr>
        <w:t>第三部分  三亚市天涯区满地可希望小学2022年度决算情况说明</w:t>
      </w:r>
      <w:bookmarkEnd w:id="75"/>
      <w:bookmarkEnd w:id="76"/>
      <w:bookmarkEnd w:id="77"/>
      <w:bookmarkEnd w:id="78"/>
      <w:bookmarkEnd w:id="79"/>
      <w:bookmarkEnd w:id="80"/>
    </w:p>
    <w:p>
      <w:pPr>
        <w:ind w:firstLine="640" w:firstLineChars="200"/>
        <w:rPr>
          <w:rFonts w:ascii="仿宋_GB2312" w:hAnsi="ˎ̥" w:eastAsia="仿宋_GB2312"/>
          <w:sz w:val="32"/>
          <w:szCs w:val="32"/>
        </w:rPr>
      </w:pPr>
      <w:r>
        <w:rPr>
          <w:rFonts w:hint="eastAsia" w:ascii="黑体" w:hAnsi="黑体" w:eastAsia="黑体" w:cs="黑体"/>
          <w:bCs/>
          <w:sz w:val="32"/>
          <w:szCs w:val="32"/>
        </w:rPr>
        <w:t>一、收入支出决算总体情况说明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eastAsia" w:ascii="仿宋_GB2312" w:hAnsi="??" w:eastAsia="仿宋_GB2312"/>
          <w:sz w:val="32"/>
          <w:szCs w:val="32"/>
        </w:rPr>
        <w:t xml:space="preserve"> 2022年度收入总计274.73万元，支出总计274.73万元，</w:t>
      </w:r>
      <w:r>
        <w:rPr>
          <w:rFonts w:hint="eastAsia" w:ascii="楷体_GB2312" w:hAnsi="ˎ̥" w:eastAsia="楷体_GB2312"/>
          <w:sz w:val="32"/>
          <w:szCs w:val="32"/>
        </w:rPr>
        <w:t xml:space="preserve"> </w:t>
      </w:r>
      <w:r>
        <w:rPr>
          <w:rFonts w:hint="eastAsia" w:ascii="仿宋_GB2312" w:hAnsi="ˎ̥" w:eastAsia="仿宋_GB2312"/>
          <w:sz w:val="32"/>
          <w:szCs w:val="32"/>
        </w:rPr>
        <w:t>与2021年度相比，收入、支出总计减少37.44万元，下降11.99%。使用非财政拨款结余0万元。年初结转结余0万元，主要是财政拨款结转，较2021年度决算数减少1万元，下降100%。</w:t>
      </w:r>
    </w:p>
    <w:p>
      <w:pPr>
        <w:rPr>
          <w:rFonts w:ascii="仿宋_GB2312" w:hAnsi="ˎ̥" w:eastAsia="仿宋_GB2312"/>
          <w:sz w:val="32"/>
          <w:szCs w:val="32"/>
        </w:rPr>
      </w:pPr>
      <w:r>
        <w:rPr>
          <w:rFonts w:hint="eastAsia" w:ascii="仿宋_GB2312" w:hAnsi="ˎ̥" w:eastAsia="仿宋_GB2312"/>
          <w:sz w:val="32"/>
          <w:szCs w:val="32"/>
        </w:rPr>
        <w:t>年末结转结余0万元，较2021年度决算数减少0万元，下降100%。</w:t>
      </w:r>
    </w:p>
    <w:p>
      <w:pPr>
        <w:rPr>
          <w:rFonts w:ascii="仿宋_GB2312" w:hAnsi="ˎ̥" w:eastAsia="仿宋_GB2312"/>
          <w:sz w:val="32"/>
          <w:szCs w:val="32"/>
        </w:rPr>
      </w:pPr>
      <w:r>
        <w:rPr>
          <w:rFonts w:hint="eastAsia" w:ascii="仿宋_GB2312" w:hAnsi="ˎ̥" w:eastAsia="仿宋_GB2312"/>
          <w:sz w:val="32"/>
          <w:szCs w:val="32"/>
        </w:rPr>
        <w:t xml:space="preserve">   </w:t>
      </w: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本年收入合计274.73万元，其中：财政拨款收入274.73万元，占100%；其他收入0万元，占0%。</w:t>
      </w:r>
    </w:p>
    <w:p>
      <w:pPr>
        <w:ind w:left="412" w:left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sz w:val="32"/>
          <w:szCs w:val="32"/>
        </w:rPr>
      </w:pPr>
      <w:r>
        <w:rPr>
          <w:rFonts w:hint="eastAsia" w:ascii="仿宋_GB2312" w:hAnsi="ˎ̥" w:eastAsia="仿宋_GB2312"/>
          <w:sz w:val="32"/>
          <w:szCs w:val="32"/>
        </w:rPr>
        <w:t>本年支出合计274.73万元，其中：基本支出245.51万元，占89.36%；项目支出29.22万元，占10.64%。</w:t>
      </w:r>
    </w:p>
    <w:p>
      <w:pPr>
        <w:ind w:firstLine="480" w:firstLineChars="150"/>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ascii="仿宋_GB2312" w:hAnsi="ˎ̥" w:eastAsia="仿宋_GB2312"/>
          <w:sz w:val="32"/>
          <w:szCs w:val="32"/>
        </w:rPr>
      </w:pPr>
      <w:r>
        <w:rPr>
          <w:rFonts w:hint="eastAsia" w:ascii="仿宋_GB2312" w:hAnsi="ˎ̥" w:eastAsia="仿宋_GB2312"/>
          <w:sz w:val="32"/>
          <w:szCs w:val="32"/>
        </w:rPr>
        <w:t xml:space="preserve"> 2022年度收入总计274.73万元，支出总计274.73万元。与2021年度相比，财政拨款收入、支出总计各减少37.44万元，下降11.99%。</w:t>
      </w:r>
    </w:p>
    <w:p>
      <w:pPr>
        <w:ind w:firstLine="640" w:firstLineChars="200"/>
        <w:rPr>
          <w:rFonts w:ascii="仿宋_GB2312" w:hAnsi="ˎ̥" w:eastAsia="仿宋_GB2312"/>
          <w:sz w:val="32"/>
          <w:szCs w:val="32"/>
        </w:rPr>
      </w:pPr>
      <w:r>
        <w:rPr>
          <w:rFonts w:hint="eastAsia" w:ascii="仿宋_GB2312" w:hAnsi="ˎ̥" w:eastAsia="仿宋_GB2312"/>
          <w:sz w:val="32"/>
          <w:szCs w:val="32"/>
        </w:rPr>
        <w:t>财政拨款年初结转结余0万元，主要是教育支出，较2021年度决算数减少1万元，减少100%。</w:t>
      </w:r>
    </w:p>
    <w:p>
      <w:pPr>
        <w:ind w:firstLine="640" w:firstLineChars="200"/>
        <w:rPr>
          <w:rFonts w:ascii="仿宋_GB2312" w:hAnsi="ˎ̥" w:eastAsia="仿宋_GB2312"/>
          <w:sz w:val="32"/>
          <w:szCs w:val="32"/>
        </w:rPr>
      </w:pPr>
      <w:r>
        <w:rPr>
          <w:rFonts w:hint="eastAsia" w:ascii="仿宋_GB2312" w:hAnsi="ˎ̥" w:eastAsia="仿宋_GB2312"/>
          <w:sz w:val="32"/>
          <w:szCs w:val="32"/>
        </w:rPr>
        <w:t>财政拨款年末结转结余0万元，主要是项目支出，较2020年度年末决算数减少0万元，下降100%。</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23005_WPSOffice_Level2"/>
      <w:bookmarkStart w:id="84" w:name="_Toc9989_WPSOffice_Level2"/>
      <w:bookmarkStart w:id="85" w:name="_Toc21737_WPSOffice_Level2"/>
      <w:bookmarkStart w:id="86" w:name="_Toc1966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ˎ̥" w:eastAsia="仿宋_GB2312"/>
          <w:sz w:val="32"/>
          <w:szCs w:val="32"/>
        </w:rPr>
      </w:pPr>
      <w:r>
        <w:rPr>
          <w:rFonts w:hint="eastAsia" w:ascii="仿宋_GB2312" w:hAnsi="ˎ̥" w:eastAsia="仿宋_GB2312"/>
          <w:sz w:val="32"/>
          <w:szCs w:val="32"/>
        </w:rPr>
        <w:t>2022年度一般公共预算财政拨款支出274.73万元，占本年支出合计的100%。与2021年度相比，一般公共预算财政拨款支出减少37.44万元，下降11.99%。</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27767_WPSOffice_Level2"/>
      <w:bookmarkStart w:id="90" w:name="_Toc19075_WPSOffice_Level2"/>
      <w:bookmarkStart w:id="91" w:name="_Toc19535_WPSOffice_Level2"/>
      <w:bookmarkStart w:id="92" w:name="_Toc23864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ˎ̥" w:eastAsia="仿宋_GB2312"/>
          <w:sz w:val="32"/>
          <w:szCs w:val="32"/>
        </w:rPr>
      </w:pPr>
      <w:r>
        <w:rPr>
          <w:rFonts w:hint="eastAsia" w:ascii="仿宋_GB2312" w:hAnsi="ˎ̥" w:eastAsia="仿宋_GB2312"/>
          <w:sz w:val="32"/>
          <w:szCs w:val="32"/>
        </w:rPr>
        <w:t>2022年度一般公共预算财政拨款支出274.73万元，主要用于以下方面：教育支出174.65万，占63.57%；社会保障和就业（类）支出56.54万元，占20.58%；卫生健康支出25.53万元，占9.29%;</w:t>
      </w:r>
      <w:r>
        <w:rPr>
          <w:rFonts w:hint="eastAsia" w:ascii="仿宋_GB2312" w:hAnsi="ˎ̥" w:eastAsia="仿宋_GB2312"/>
          <w:bCs/>
          <w:sz w:val="32"/>
          <w:szCs w:val="32"/>
        </w:rPr>
        <w:t>住房保障（类）</w:t>
      </w:r>
      <w:r>
        <w:rPr>
          <w:rFonts w:hint="eastAsia" w:ascii="仿宋_GB2312" w:hAnsi="ˎ̥" w:eastAsia="仿宋_GB2312"/>
          <w:sz w:val="32"/>
          <w:szCs w:val="32"/>
        </w:rPr>
        <w:t>支出16.03万元，占5.83%。</w:t>
      </w:r>
    </w:p>
    <w:p>
      <w:pPr>
        <w:ind w:firstLine="640" w:firstLineChars="200"/>
        <w:rPr>
          <w:rFonts w:ascii="楷体" w:hAnsi="楷体" w:eastAsia="楷体" w:cs="楷体"/>
          <w:sz w:val="32"/>
          <w:szCs w:val="32"/>
        </w:rPr>
      </w:pPr>
      <w:bookmarkStart w:id="93" w:name="_Toc25136_WPSOffice_Level2"/>
      <w:bookmarkStart w:id="94" w:name="_Toc15415_WPSOffice_Level2"/>
      <w:bookmarkStart w:id="95" w:name="_Toc29364_WPSOffice_Level2"/>
      <w:bookmarkStart w:id="96" w:name="_Toc21701_WPSOffice_Level2"/>
      <w:bookmarkStart w:id="97" w:name="_Toc22318_WPSOffice_Level2"/>
      <w:bookmarkStart w:id="98" w:name="_Toc9502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sz w:val="32"/>
          <w:szCs w:val="32"/>
        </w:rPr>
      </w:pPr>
      <w:r>
        <w:rPr>
          <w:rFonts w:hint="eastAsia" w:ascii="仿宋_GB2312" w:hAnsi="ˎ̥" w:eastAsia="仿宋_GB2312"/>
          <w:sz w:val="32"/>
          <w:szCs w:val="32"/>
        </w:rPr>
        <w:t>2022年度一般公共预算财政拨款支出年初预算为274.73万元，支出决算为274.73万元，完成年初预算的100%。其中：</w:t>
      </w:r>
    </w:p>
    <w:p>
      <w:pPr>
        <w:ind w:firstLine="640" w:firstLineChars="200"/>
        <w:rPr>
          <w:rFonts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教育（类）普通教育（款）小学教育（项）。</w:t>
      </w:r>
    </w:p>
    <w:p>
      <w:pPr>
        <w:ind w:firstLine="640" w:firstLineChars="200"/>
        <w:rPr>
          <w:rFonts w:ascii="仿宋_GB2312" w:hAnsi="ˎ̥" w:eastAsia="仿宋_GB2312"/>
          <w:sz w:val="32"/>
          <w:szCs w:val="32"/>
        </w:rPr>
      </w:pPr>
      <w:r>
        <w:rPr>
          <w:rFonts w:hint="eastAsia" w:ascii="仿宋_GB2312" w:hAnsi="ˎ̥" w:eastAsia="仿宋_GB2312"/>
          <w:sz w:val="32"/>
          <w:szCs w:val="32"/>
        </w:rPr>
        <w:t>年初预算为174.65万元，支出决算为174.65万元，完成年初预算的100%。</w:t>
      </w:r>
    </w:p>
    <w:p>
      <w:pPr>
        <w:ind w:firstLine="640" w:firstLineChars="200"/>
        <w:rPr>
          <w:rFonts w:ascii="仿宋_GB2312" w:hAnsi="ˎ̥" w:eastAsia="仿宋_GB2312"/>
          <w:b/>
          <w:sz w:val="32"/>
          <w:szCs w:val="32"/>
        </w:rPr>
      </w:pPr>
      <w:r>
        <w:rPr>
          <w:rFonts w:hint="eastAsia" w:ascii="仿宋_GB2312" w:hAnsi="ˎ̥" w:eastAsia="仿宋_GB2312"/>
          <w:sz w:val="32"/>
          <w:szCs w:val="32"/>
        </w:rPr>
        <w:t>2.</w:t>
      </w:r>
      <w:r>
        <w:rPr>
          <w:rFonts w:hint="eastAsia" w:ascii="仿宋_GB2312" w:hAnsi="ˎ̥" w:eastAsia="仿宋_GB2312"/>
          <w:b/>
          <w:sz w:val="32"/>
          <w:szCs w:val="32"/>
        </w:rPr>
        <w:t>教育（类）教育管理事务（款）其他教育管理事务支出（项）。</w:t>
      </w:r>
    </w:p>
    <w:p>
      <w:pPr>
        <w:ind w:firstLine="630"/>
        <w:rPr>
          <w:rFonts w:ascii="仿宋_GB2312" w:hAnsi="ˎ̥" w:eastAsia="仿宋_GB2312"/>
          <w:b/>
          <w:sz w:val="32"/>
          <w:szCs w:val="32"/>
        </w:rPr>
      </w:pPr>
      <w:r>
        <w:rPr>
          <w:rFonts w:hint="eastAsia" w:ascii="仿宋_GB2312" w:hAnsi="ˎ̥" w:eastAsia="仿宋_GB2312"/>
          <w:sz w:val="32"/>
          <w:szCs w:val="32"/>
        </w:rPr>
        <w:t>年初预算为0万元，支出决算为0万元，完成年初预算的0%。</w:t>
      </w:r>
    </w:p>
    <w:p>
      <w:pPr>
        <w:ind w:firstLine="640" w:firstLineChars="200"/>
        <w:rPr>
          <w:rFonts w:ascii="仿宋_GB2312" w:hAnsi="ˎ̥" w:eastAsia="仿宋_GB2312"/>
          <w:sz w:val="32"/>
          <w:szCs w:val="32"/>
        </w:rPr>
      </w:pPr>
      <w:r>
        <w:rPr>
          <w:rFonts w:hint="eastAsia" w:ascii="仿宋_GB2312" w:hAnsi="ˎ̥" w:eastAsia="仿宋_GB2312"/>
          <w:sz w:val="32"/>
          <w:szCs w:val="32"/>
        </w:rPr>
        <w:t>3.</w:t>
      </w:r>
      <w:r>
        <w:rPr>
          <w:rFonts w:hint="eastAsia" w:ascii="仿宋_GB2312" w:hAnsi="ˎ̥" w:eastAsia="仿宋_GB2312"/>
          <w:b/>
          <w:sz w:val="32"/>
          <w:szCs w:val="32"/>
        </w:rPr>
        <w:t>社会保障和就业（类）行政事业单位养老支出（款）机关事业单位基本养老保险缴费支出（项）。</w:t>
      </w:r>
    </w:p>
    <w:p>
      <w:pPr>
        <w:ind w:firstLine="630"/>
        <w:rPr>
          <w:rFonts w:ascii="仿宋_GB2312" w:hAnsi="ˎ̥" w:eastAsia="仿宋_GB2312"/>
          <w:sz w:val="32"/>
          <w:szCs w:val="32"/>
        </w:rPr>
      </w:pPr>
      <w:r>
        <w:rPr>
          <w:rFonts w:hint="eastAsia" w:ascii="仿宋_GB2312" w:hAnsi="ˎ̥" w:eastAsia="仿宋_GB2312"/>
          <w:sz w:val="32"/>
          <w:szCs w:val="32"/>
        </w:rPr>
        <w:t>年初预算为19.38万元，支出决算为19.38万元，完成年初预算的100%。</w:t>
      </w:r>
    </w:p>
    <w:p>
      <w:pPr>
        <w:ind w:firstLine="640" w:firstLineChars="200"/>
        <w:rPr>
          <w:rFonts w:ascii="仿宋_GB2312" w:hAnsi="ˎ̥" w:eastAsia="仿宋_GB2312"/>
          <w:sz w:val="32"/>
          <w:szCs w:val="32"/>
        </w:rPr>
      </w:pPr>
      <w:r>
        <w:rPr>
          <w:rFonts w:hint="eastAsia" w:ascii="仿宋_GB2312" w:hAnsi="ˎ̥" w:eastAsia="仿宋_GB2312"/>
          <w:sz w:val="32"/>
          <w:szCs w:val="32"/>
        </w:rPr>
        <w:t>4.</w:t>
      </w:r>
      <w:r>
        <w:rPr>
          <w:rFonts w:hint="eastAsia" w:ascii="仿宋_GB2312" w:hAnsi="ˎ̥" w:eastAsia="仿宋_GB2312"/>
          <w:b/>
          <w:sz w:val="32"/>
          <w:szCs w:val="32"/>
        </w:rPr>
        <w:t>卫生健康（类）行政事业单位医疗（款）事业单位医疗（项）。</w:t>
      </w:r>
    </w:p>
    <w:p>
      <w:pPr>
        <w:ind w:firstLine="630"/>
        <w:rPr>
          <w:rFonts w:ascii="仿宋_GB2312" w:hAnsi="ˎ̥" w:eastAsia="仿宋_GB2312"/>
          <w:sz w:val="32"/>
          <w:szCs w:val="32"/>
        </w:rPr>
      </w:pPr>
      <w:r>
        <w:rPr>
          <w:rFonts w:hint="eastAsia" w:ascii="仿宋_GB2312" w:hAnsi="ˎ̥" w:eastAsia="仿宋_GB2312"/>
          <w:sz w:val="32"/>
          <w:szCs w:val="32"/>
        </w:rPr>
        <w:t>年初预算为8.86万元，支出决算为8.86万元，完成年初预算的100%。</w:t>
      </w:r>
    </w:p>
    <w:p>
      <w:pPr>
        <w:ind w:firstLine="640" w:firstLineChars="200"/>
        <w:rPr>
          <w:rFonts w:ascii="仿宋_GB2312" w:hAnsi="ˎ̥" w:eastAsia="仿宋_GB2312"/>
          <w:sz w:val="32"/>
          <w:szCs w:val="32"/>
        </w:rPr>
      </w:pPr>
      <w:r>
        <w:rPr>
          <w:rFonts w:hint="eastAsia" w:ascii="仿宋_GB2312" w:hAnsi="ˎ̥" w:eastAsia="仿宋_GB2312"/>
          <w:sz w:val="32"/>
          <w:szCs w:val="32"/>
        </w:rPr>
        <w:t>5.</w:t>
      </w:r>
      <w:r>
        <w:rPr>
          <w:rFonts w:hint="eastAsia" w:ascii="仿宋_GB2312" w:hAnsi="ˎ̥" w:eastAsia="仿宋_GB2312"/>
          <w:b/>
          <w:sz w:val="32"/>
          <w:szCs w:val="32"/>
        </w:rPr>
        <w:t>社会保障和就业（类）行政事业单位医疗（款）公务员医疗补助（项）。</w:t>
      </w:r>
    </w:p>
    <w:p>
      <w:pPr>
        <w:ind w:firstLine="630"/>
        <w:rPr>
          <w:rFonts w:ascii="仿宋_GB2312" w:hAnsi="ˎ̥" w:eastAsia="仿宋_GB2312"/>
          <w:sz w:val="32"/>
          <w:szCs w:val="32"/>
        </w:rPr>
      </w:pPr>
      <w:r>
        <w:rPr>
          <w:rFonts w:hint="eastAsia" w:ascii="仿宋_GB2312" w:hAnsi="ˎ̥" w:eastAsia="仿宋_GB2312"/>
          <w:sz w:val="32"/>
          <w:szCs w:val="32"/>
        </w:rPr>
        <w:t>年初预算为16.67万元，支出决算为16.67万元，完成年初预算的100%。</w:t>
      </w:r>
    </w:p>
    <w:p>
      <w:pPr>
        <w:ind w:firstLine="640" w:firstLineChars="200"/>
        <w:rPr>
          <w:rFonts w:ascii="仿宋_GB2312" w:hAnsi="ˎ̥" w:eastAsia="仿宋_GB2312"/>
          <w:sz w:val="32"/>
          <w:szCs w:val="32"/>
        </w:rPr>
      </w:pPr>
      <w:r>
        <w:rPr>
          <w:rFonts w:hint="eastAsia" w:ascii="仿宋_GB2312" w:hAnsi="ˎ̥" w:eastAsia="仿宋_GB2312"/>
          <w:sz w:val="32"/>
          <w:szCs w:val="32"/>
        </w:rPr>
        <w:t>6.</w:t>
      </w:r>
      <w:r>
        <w:rPr>
          <w:rFonts w:hint="eastAsia" w:ascii="仿宋_GB2312" w:hAnsi="ˎ̥" w:eastAsia="仿宋_GB2312"/>
          <w:b/>
          <w:sz w:val="32"/>
          <w:szCs w:val="32"/>
        </w:rPr>
        <w:t>住房保障（类）住房改革支出（款）住房公积金（项）。</w:t>
      </w:r>
    </w:p>
    <w:p>
      <w:pPr>
        <w:ind w:firstLine="630"/>
        <w:rPr>
          <w:rFonts w:ascii="仿宋_GB2312" w:hAnsi="ˎ̥" w:eastAsia="仿宋_GB2312"/>
          <w:sz w:val="32"/>
          <w:szCs w:val="32"/>
        </w:rPr>
      </w:pPr>
      <w:r>
        <w:rPr>
          <w:rFonts w:hint="eastAsia" w:ascii="仿宋_GB2312" w:hAnsi="ˎ̥" w:eastAsia="仿宋_GB2312"/>
          <w:sz w:val="32"/>
          <w:szCs w:val="32"/>
        </w:rPr>
        <w:t>年初预算为16.03万元，支出决算为16.03万元，完成年初预算的100%。</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sz w:val="32"/>
          <w:szCs w:val="32"/>
        </w:rPr>
      </w:pPr>
      <w:r>
        <w:rPr>
          <w:rFonts w:hint="eastAsia" w:ascii="仿宋_GB2312" w:hAnsi="ˎ̥" w:eastAsia="仿宋_GB2312"/>
          <w:sz w:val="32"/>
          <w:szCs w:val="32"/>
        </w:rPr>
        <w:t>2022年度财政拨款基本支出245.51万元，其中：人员经费239.74万元，主要包括：基本工资、津贴补贴、社会保障缴费、绩效工资、其他工资福利支出等、生活补助、、医疗费、、住房公积金等。公用经费5.77万元，主要包括：邮电费、工会经费、福利费、公务用车运行维护费、其他交通费用、税金及附加费用、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2022年度政府性基金预算财政拨款支出0万元，占本年支出合计的0%。与2021年度相比，政府性基金预算财政拨款支出增加0万元，增长0%，主要原因是没有该项预算。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2022年度国有资本经营预算财政拨款支出0万元，占本年支出合计的0%。与2021年度相比，国有资本经营预算财政拨款支出增加0万元，增长0%，主要原因是没有该项预算。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sz w:val="32"/>
          <w:szCs w:val="32"/>
        </w:rPr>
      </w:pPr>
      <w:r>
        <w:rPr>
          <w:rFonts w:hint="eastAsia" w:ascii="仿宋_GB2312" w:hAnsi="ˎ̥" w:eastAsia="仿宋_GB2312"/>
          <w:sz w:val="32"/>
          <w:szCs w:val="32"/>
        </w:rPr>
        <w:t>2022年度国有资本经营预算财政拨款支出年初预算为0万元，支出决算为0万元，完成年初预算的0%。</w:t>
      </w:r>
    </w:p>
    <w:p>
      <w:pPr>
        <w:ind w:firstLine="627" w:firstLineChars="196"/>
        <w:rPr>
          <w:rFonts w:ascii="仿宋_GB2312" w:hAnsi="ˎ̥" w:eastAsia="楷体_GB2312"/>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ˎ̥" w:eastAsia="仿宋_GB2312"/>
          <w:sz w:val="32"/>
          <w:szCs w:val="32"/>
        </w:rPr>
      </w:pPr>
      <w:r>
        <w:rPr>
          <w:rFonts w:hint="eastAsia" w:ascii="仿宋_GB2312" w:hAnsi="ˎ̥" w:eastAsia="仿宋_GB2312"/>
          <w:sz w:val="32"/>
          <w:szCs w:val="32"/>
        </w:rPr>
        <w:t>2022年度一般公共预算财政拨款“三公”经费支出预算为0万元，支出决算为0万元，完成预算的0%，支出决算与预算数持平。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ˎ̥" w:eastAsia="仿宋_GB2312"/>
          <w:sz w:val="32"/>
          <w:szCs w:val="32"/>
        </w:rPr>
      </w:pPr>
      <w:r>
        <w:rPr>
          <w:rFonts w:hint="eastAsia" w:ascii="仿宋_GB2312" w:hAnsi="ˎ̥" w:eastAsia="仿宋_GB2312"/>
          <w:sz w:val="32"/>
          <w:szCs w:val="32"/>
        </w:rPr>
        <w:t>2022年度一般公共预算财政拨款“三公”经费支出决算中，因公出国（境）费支出决算0万元，占0%；公务用车购置及运行费支出决算0万元，占0%；公务接待费支出决算0万元，占0%。具体情况如下：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sz w:val="32"/>
          <w:szCs w:val="32"/>
        </w:rPr>
        <w:t>支出0万元。全年安排因公出国（境）团组0个，因公出国（境）0人次。</w:t>
      </w:r>
    </w:p>
    <w:p>
      <w:pPr>
        <w:ind w:firstLine="640" w:firstLineChars="200"/>
        <w:rPr>
          <w:rFonts w:ascii="仿宋_GB2312" w:hAnsi="ˎ̥" w:eastAsia="仿宋_GB2312"/>
          <w:sz w:val="32"/>
          <w:szCs w:val="32"/>
        </w:rPr>
      </w:pPr>
      <w:r>
        <w:rPr>
          <w:rFonts w:hint="eastAsia" w:ascii="仿宋_GB2312" w:hAnsi="ˎ̥" w:eastAsia="仿宋_GB2312"/>
          <w:sz w:val="32"/>
          <w:szCs w:val="32"/>
        </w:rPr>
        <w:t>因公出国（境）费支出决算与预算数持平。</w:t>
      </w:r>
    </w:p>
    <w:p>
      <w:pPr>
        <w:rPr>
          <w:rFonts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rPr>
        <w:t>0万元。其中：</w:t>
      </w:r>
    </w:p>
    <w:p>
      <w:pPr>
        <w:ind w:firstLine="643" w:firstLineChars="200"/>
        <w:rPr>
          <w:rFonts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rPr>
        <w:t>0万元，全年购置公务用车0辆，年末公务用车保有量0辆。</w:t>
      </w:r>
    </w:p>
    <w:p>
      <w:pPr>
        <w:ind w:firstLine="643" w:firstLineChars="200"/>
        <w:rPr>
          <w:rFonts w:ascii="仿宋_GB2312" w:hAnsi="ˎ̥" w:eastAsia="仿宋_GB2312"/>
          <w:sz w:val="32"/>
          <w:szCs w:val="32"/>
        </w:rPr>
      </w:pPr>
      <w:r>
        <w:rPr>
          <w:rFonts w:hint="eastAsia" w:ascii="仿宋_GB2312" w:hAnsi="ˎ̥" w:eastAsia="仿宋_GB2312"/>
          <w:b/>
          <w:sz w:val="32"/>
          <w:szCs w:val="32"/>
        </w:rPr>
        <w:t>公务用车运行维护费</w:t>
      </w:r>
      <w:r>
        <w:rPr>
          <w:rFonts w:hint="eastAsia" w:ascii="仿宋_GB2312" w:hAnsi="ˎ̥" w:eastAsia="仿宋_GB2312"/>
          <w:sz w:val="32"/>
          <w:szCs w:val="32"/>
        </w:rPr>
        <w:t>支出0万元。</w:t>
      </w:r>
    </w:p>
    <w:p>
      <w:pPr>
        <w:ind w:firstLine="640" w:firstLineChars="200"/>
        <w:rPr>
          <w:rFonts w:ascii="仿宋_GB2312" w:hAnsi="ˎ̥" w:eastAsia="仿宋_GB2312"/>
          <w:sz w:val="32"/>
          <w:szCs w:val="32"/>
        </w:rPr>
      </w:pPr>
      <w:r>
        <w:rPr>
          <w:rFonts w:hint="eastAsia" w:ascii="仿宋_GB2312" w:hAnsi="ˎ̥" w:eastAsia="仿宋_GB2312"/>
          <w:sz w:val="32"/>
          <w:szCs w:val="32"/>
        </w:rPr>
        <w:t>公务用车购置及运行费支出决算与预算数持平。</w:t>
      </w:r>
    </w:p>
    <w:p>
      <w:pPr>
        <w:rPr>
          <w:rFonts w:ascii="仿宋_GB2312" w:hAnsi="ˎ̥" w:eastAsia="仿宋_GB2312"/>
          <w:sz w:val="32"/>
          <w:szCs w:val="32"/>
        </w:rPr>
      </w:pPr>
      <w:r>
        <w:rPr>
          <w:rFonts w:hint="eastAsia" w:ascii="仿宋_GB2312" w:hAnsi="ˎ̥" w:eastAsia="仿宋_GB2312"/>
          <w:b/>
          <w:sz w:val="32"/>
          <w:szCs w:val="32"/>
        </w:rPr>
        <w:t xml:space="preserve">    3.公务接待费支出</w:t>
      </w:r>
      <w:r>
        <w:rPr>
          <w:rFonts w:hint="eastAsia" w:ascii="仿宋_GB2312" w:hAnsi="ˎ̥" w:eastAsia="仿宋_GB2312"/>
          <w:sz w:val="32"/>
          <w:szCs w:val="32"/>
        </w:rPr>
        <w:t>0万元，其中：</w:t>
      </w:r>
    </w:p>
    <w:p>
      <w:pPr>
        <w:ind w:firstLine="643" w:firstLineChars="200"/>
        <w:rPr>
          <w:rFonts w:ascii="仿宋_GB2312" w:hAnsi="ˎ̥" w:eastAsia="仿宋_GB2312"/>
          <w:sz w:val="32"/>
          <w:szCs w:val="32"/>
        </w:rPr>
      </w:pPr>
      <w:r>
        <w:rPr>
          <w:rFonts w:hint="eastAsia" w:ascii="仿宋_GB2312" w:hAnsi="ˎ̥" w:eastAsia="仿宋_GB2312"/>
          <w:b/>
          <w:sz w:val="32"/>
          <w:szCs w:val="32"/>
        </w:rPr>
        <w:t>国内接待费</w:t>
      </w:r>
      <w:r>
        <w:rPr>
          <w:rFonts w:hint="eastAsia" w:ascii="仿宋_GB2312" w:hAnsi="ˎ̥" w:eastAsia="仿宋_GB2312"/>
          <w:sz w:val="32"/>
          <w:szCs w:val="32"/>
        </w:rPr>
        <w:t>支出0万元，国内公务接待0批次，接待0人次。</w:t>
      </w:r>
    </w:p>
    <w:p>
      <w:pPr>
        <w:ind w:firstLine="640" w:firstLineChars="200"/>
        <w:rPr>
          <w:rFonts w:ascii="仿宋_GB2312" w:hAnsi="ˎ̥" w:eastAsia="仿宋_GB2312"/>
          <w:sz w:val="32"/>
          <w:szCs w:val="32"/>
        </w:rPr>
      </w:pPr>
      <w:r>
        <w:rPr>
          <w:rFonts w:hint="eastAsia" w:ascii="仿宋_GB2312" w:hAnsi="ˎ̥" w:eastAsia="仿宋_GB2312"/>
          <w:sz w:val="32"/>
          <w:szCs w:val="32"/>
        </w:rPr>
        <w:t>国（境）外接待费支出0万元，国（境）外公务接待0批次，接待0人次。</w:t>
      </w:r>
    </w:p>
    <w:p>
      <w:pPr>
        <w:ind w:firstLine="640" w:firstLineChars="200"/>
        <w:rPr>
          <w:rFonts w:ascii="仿宋_GB2312" w:hAnsi="ˎ̥" w:eastAsia="仿宋_GB2312"/>
          <w:sz w:val="32"/>
          <w:szCs w:val="32"/>
        </w:rPr>
      </w:pPr>
      <w:r>
        <w:rPr>
          <w:rFonts w:hint="eastAsia" w:ascii="仿宋_GB2312" w:hAnsi="ˎ̥" w:eastAsia="仿宋_GB2312"/>
          <w:sz w:val="32"/>
          <w:szCs w:val="32"/>
          <w:lang w:val="zh-CN"/>
        </w:rPr>
        <w:t>公务接待费支出决算数与预算数持平。</w:t>
      </w:r>
    </w:p>
    <w:p>
      <w:pPr>
        <w:ind w:firstLine="627" w:firstLineChars="196"/>
        <w:rPr>
          <w:rFonts w:ascii="仿宋_GB2312" w:hAnsi="ˎ̥"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sz w:val="32"/>
          <w:szCs w:val="32"/>
        </w:rPr>
      </w:pPr>
      <w:r>
        <w:rPr>
          <w:rFonts w:hint="eastAsia" w:ascii="仿宋_GB2312" w:hAnsi="ˎ̥" w:eastAsia="仿宋_GB2312"/>
          <w:sz w:val="32"/>
          <w:szCs w:val="32"/>
        </w:rPr>
        <w:t>2022年度政府性基金预算财政拨款“三公”经费支出合计0万元。其中：因公出国（境）费支出决算0万元，占0%；公务用车购置及运行费支出决算0万元，占0%；公务接待费支出决算0万元，占0%。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ˎ̥" w:eastAsia="仿宋_GB2312"/>
          <w:sz w:val="32"/>
          <w:szCs w:val="32"/>
        </w:rPr>
      </w:pPr>
      <w:r>
        <w:rPr>
          <w:rFonts w:hint="eastAsia" w:ascii="仿宋_GB2312" w:hAnsi="ˎ̥" w:eastAsia="仿宋_GB2312"/>
          <w:sz w:val="32"/>
          <w:szCs w:val="32"/>
        </w:rPr>
        <w:t>2022年度国有资本经营预算财政拨款“三公”经费支出合计0万元。其中：因公出国（境）费支出决算0万元，占0%；公务用车购置及运行费支出决算0万元，占0%；公务接待费支出决算0万元，占0%。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（一）绩效管理工作开展情况。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根据财政预算管理要求，三亚市天涯区满地可希望小学对2022年度一般公共预算项目支出全面开展绩效自评。自评项目3个，共涉及资金29.22万元，自评覆盖率达到100%。</w:t>
      </w:r>
    </w:p>
    <w:p>
      <w:pPr>
        <w:ind w:firstLine="640" w:firstLineChars="200"/>
        <w:rPr>
          <w:rFonts w:ascii="仿宋_GB2312" w:eastAsia="仿宋_GB2312"/>
          <w:sz w:val="32"/>
          <w:szCs w:val="32"/>
        </w:rPr>
      </w:pPr>
      <w:r>
        <w:rPr>
          <w:rFonts w:hint="eastAsia" w:ascii="仿宋_GB2312" w:eastAsia="仿宋_GB2312"/>
          <w:sz w:val="32"/>
          <w:szCs w:val="32"/>
        </w:rPr>
        <w:t>共组织对“人才引进及师资队伍建设”、“教育教学管理及监督”、“公用经费”3个项目开展了部门评价，涉及资金29.22万元。</w:t>
      </w:r>
    </w:p>
    <w:p>
      <w:pPr>
        <w:ind w:firstLine="640" w:firstLineChars="200"/>
        <w:rPr>
          <w:rFonts w:ascii="仿宋_GB2312" w:eastAsia="仿宋_GB2312"/>
          <w:sz w:val="32"/>
          <w:szCs w:val="32"/>
        </w:rPr>
      </w:pPr>
      <w:r>
        <w:rPr>
          <w:rFonts w:hint="eastAsia" w:ascii="仿宋_GB2312" w:eastAsia="仿宋_GB2312"/>
          <w:sz w:val="32"/>
          <w:szCs w:val="32"/>
        </w:rPr>
        <w:t>开展整体支出绩效评价，涉及资金29.22万元。</w:t>
      </w:r>
    </w:p>
    <w:p>
      <w:pPr>
        <w:numPr>
          <w:ilvl w:val="0"/>
          <w:numId w:val="3"/>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部门决算中项目绩效自评结果。</w:t>
      </w:r>
    </w:p>
    <w:p>
      <w:pPr>
        <w:spacing w:line="578" w:lineRule="exact"/>
        <w:rPr>
          <w:rFonts w:ascii="仿宋_GB2312" w:eastAsia="仿宋_GB2312"/>
          <w:color w:val="FF0000"/>
          <w:sz w:val="32"/>
          <w:szCs w:val="32"/>
        </w:rPr>
      </w:pPr>
      <w:r>
        <w:rPr>
          <w:rFonts w:hint="eastAsia" w:ascii="仿宋_GB2312" w:eastAsia="仿宋_GB2312"/>
          <w:sz w:val="32"/>
          <w:szCs w:val="32"/>
        </w:rPr>
        <w:t xml:space="preserve">     为了改善学校办学条件，完善学校硬件设备，保障学校平稳发展满足学校教学需求，学校引进师资队伍；并购置电子白板、速印机、计算机等，该项目支出都从学校公用经费支出，学校存在经费缺口，还有大批设备未完成采购。 </w:t>
      </w:r>
    </w:p>
    <w:p>
      <w:pPr>
        <w:numPr>
          <w:ilvl w:val="0"/>
          <w:numId w:val="3"/>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财政评价项目绩效评价结果。</w:t>
      </w:r>
    </w:p>
    <w:p>
      <w:pPr>
        <w:spacing w:line="578" w:lineRule="exact"/>
        <w:ind w:firstLine="1280" w:firstLineChars="400"/>
        <w:rPr>
          <w:rFonts w:ascii="仿宋_GB2312" w:eastAsia="仿宋_GB2312"/>
          <w:sz w:val="32"/>
          <w:szCs w:val="32"/>
        </w:rPr>
      </w:pPr>
      <w:r>
        <w:rPr>
          <w:rFonts w:hint="eastAsia" w:ascii="仿宋_GB2312" w:eastAsia="仿宋_GB2312"/>
          <w:sz w:val="32"/>
          <w:szCs w:val="32"/>
        </w:rPr>
        <w:t>无。</w:t>
      </w:r>
    </w:p>
    <w:p>
      <w:pPr>
        <w:numPr>
          <w:ilvl w:val="0"/>
          <w:numId w:val="3"/>
        </w:num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部门评价项目绩效评价结果。</w:t>
      </w:r>
    </w:p>
    <w:p>
      <w:pPr>
        <w:spacing w:line="578" w:lineRule="exact"/>
        <w:ind w:left="420" w:leftChars="200" w:firstLine="960" w:firstLineChars="300"/>
        <w:rPr>
          <w:rFonts w:ascii="楷体" w:hAnsi="楷体" w:eastAsia="楷体" w:cs="楷体"/>
          <w:b/>
          <w:color w:val="000000" w:themeColor="text1"/>
          <w:sz w:val="32"/>
          <w:szCs w:val="32"/>
        </w:rPr>
      </w:pPr>
      <w:r>
        <w:rPr>
          <w:rFonts w:hint="eastAsia" w:ascii="仿宋_GB2312" w:eastAsia="仿宋_GB2312"/>
          <w:sz w:val="32"/>
          <w:szCs w:val="32"/>
        </w:rPr>
        <w:t>无。</w:t>
      </w:r>
    </w:p>
    <w:p>
      <w:pPr>
        <w:ind w:firstLine="640" w:firstLineChars="200"/>
        <w:rPr>
          <w:rFonts w:ascii="黑体" w:hAnsi="黑体" w:eastAsia="黑体" w:cs="黑体"/>
          <w:bCs/>
          <w:sz w:val="32"/>
          <w:szCs w:val="32"/>
        </w:rPr>
      </w:pPr>
      <w:bookmarkStart w:id="99" w:name="_Toc8808_WPSOffice_Level1"/>
      <w:bookmarkStart w:id="100" w:name="_Toc4398_WPSOffice_Level1"/>
      <w:bookmarkStart w:id="101" w:name="_Toc17580_WPSOffice_Level1"/>
      <w:bookmarkStart w:id="102" w:name="_Toc15425_WPSOffice_Level1"/>
      <w:bookmarkStart w:id="103" w:name="_Toc8874_WPSOffice_Level1"/>
      <w:bookmarkStart w:id="104" w:name="_Toc11039_WPSOffice_Level1"/>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105" w:name="_Toc23598_WPSOffice_Level2"/>
      <w:bookmarkStart w:id="106" w:name="_Toc32639_WPSOffice_Level2"/>
      <w:bookmarkStart w:id="107" w:name="_Toc15565_WPSOffice_Level2"/>
      <w:bookmarkStart w:id="108" w:name="_Toc18325_WPSOffice_Level2"/>
      <w:bookmarkStart w:id="109" w:name="_Toc5978_WPSOffice_Level2"/>
      <w:bookmarkStart w:id="110" w:name="_Toc15262_WPSOffice_Level2"/>
      <w:r>
        <w:rPr>
          <w:rFonts w:hint="eastAsia" w:ascii="楷体" w:hAnsi="楷体" w:eastAsia="楷体" w:cs="楷体"/>
          <w:b/>
          <w:sz w:val="32"/>
          <w:szCs w:val="32"/>
        </w:rPr>
        <w:t>（一）机关运行经费支出情况。</w:t>
      </w:r>
      <w:bookmarkEnd w:id="105"/>
      <w:bookmarkEnd w:id="106"/>
      <w:bookmarkEnd w:id="107"/>
      <w:bookmarkEnd w:id="108"/>
      <w:bookmarkEnd w:id="109"/>
      <w:bookmarkEnd w:id="110"/>
    </w:p>
    <w:p>
      <w:pPr>
        <w:ind w:firstLine="640" w:firstLineChars="200"/>
        <w:rPr>
          <w:rFonts w:ascii="仿宋_GB2312" w:hAnsi="ˎ̥" w:eastAsia="仿宋_GB2312"/>
          <w:sz w:val="32"/>
          <w:szCs w:val="32"/>
        </w:rPr>
      </w:pPr>
      <w:r>
        <w:rPr>
          <w:rFonts w:hint="eastAsia" w:ascii="仿宋_GB2312" w:hAnsi="ˎ̥" w:eastAsia="仿宋_GB2312"/>
          <w:color w:val="000000" w:themeColor="text1"/>
          <w:sz w:val="32"/>
          <w:szCs w:val="32"/>
        </w:rPr>
        <w:t>2022年度三亚市天涯区满地可希望小学机关运行经费0万元。主要原因是：事业单位没</w:t>
      </w:r>
      <w:r>
        <w:rPr>
          <w:rFonts w:hint="eastAsia" w:ascii="仿宋_GB2312" w:hAnsi="ˎ̥" w:eastAsia="仿宋_GB2312"/>
          <w:sz w:val="32"/>
          <w:szCs w:val="32"/>
        </w:rPr>
        <w:t>有机关运行经费支出</w:t>
      </w:r>
    </w:p>
    <w:p>
      <w:pPr>
        <w:ind w:firstLine="643" w:firstLineChars="200"/>
        <w:rPr>
          <w:rFonts w:ascii="楷体" w:hAnsi="楷体" w:eastAsia="楷体" w:cs="楷体"/>
          <w:b/>
          <w:sz w:val="32"/>
          <w:szCs w:val="32"/>
        </w:rPr>
      </w:pPr>
      <w:bookmarkStart w:id="111" w:name="_Toc30383_WPSOffice_Level2"/>
      <w:bookmarkStart w:id="112" w:name="_Toc32689_WPSOffice_Level2"/>
      <w:bookmarkStart w:id="113" w:name="_Toc23966_WPSOffice_Level2"/>
      <w:bookmarkStart w:id="114" w:name="_Toc3131_WPSOffice_Level2"/>
      <w:bookmarkStart w:id="115" w:name="_Toc25333_WPSOffice_Level2"/>
      <w:bookmarkStart w:id="116" w:name="_Toc13084_WPSOffice_Level2"/>
      <w:r>
        <w:rPr>
          <w:rFonts w:hint="eastAsia" w:ascii="楷体" w:hAnsi="楷体" w:eastAsia="楷体" w:cs="楷体"/>
          <w:b/>
          <w:sz w:val="32"/>
          <w:szCs w:val="32"/>
        </w:rPr>
        <w:t>（二）政府采购支出情况。</w:t>
      </w:r>
      <w:bookmarkEnd w:id="111"/>
      <w:bookmarkEnd w:id="112"/>
      <w:bookmarkEnd w:id="113"/>
      <w:bookmarkEnd w:id="114"/>
      <w:bookmarkEnd w:id="115"/>
      <w:bookmarkEnd w:id="116"/>
    </w:p>
    <w:p>
      <w:pPr>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2022年度三亚市天涯区满地可希望小学政府采购支出总额0万元，其中：政府采购货物支出0万元、政府采购工程支出0万元、政府采购服务支出0万元。</w:t>
      </w:r>
    </w:p>
    <w:p>
      <w:pPr>
        <w:ind w:firstLine="643" w:firstLineChars="200"/>
        <w:rPr>
          <w:rFonts w:ascii="楷体" w:hAnsi="楷体" w:eastAsia="楷体" w:cs="楷体"/>
          <w:b/>
          <w:sz w:val="32"/>
          <w:szCs w:val="32"/>
        </w:rPr>
      </w:pPr>
      <w:bookmarkStart w:id="117" w:name="_Toc527_WPSOffice_Level2"/>
      <w:bookmarkStart w:id="118" w:name="_Toc15129_WPSOffice_Level2"/>
      <w:bookmarkStart w:id="119" w:name="_Toc10902_WPSOffice_Level2"/>
      <w:bookmarkStart w:id="120" w:name="_Toc6016_WPSOffice_Level2"/>
      <w:bookmarkStart w:id="121" w:name="_Toc29584_WPSOffice_Level2"/>
      <w:bookmarkStart w:id="122" w:name="_Toc19989_WPSOffice_Level2"/>
      <w:r>
        <w:rPr>
          <w:rFonts w:hint="eastAsia" w:ascii="楷体" w:hAnsi="楷体" w:eastAsia="楷体" w:cs="楷体"/>
          <w:b/>
          <w:sz w:val="32"/>
          <w:szCs w:val="32"/>
        </w:rPr>
        <w:t>（三）国有资产占用情况。</w:t>
      </w:r>
      <w:bookmarkEnd w:id="117"/>
      <w:bookmarkEnd w:id="118"/>
      <w:bookmarkEnd w:id="119"/>
      <w:bookmarkEnd w:id="120"/>
      <w:bookmarkEnd w:id="121"/>
      <w:bookmarkEnd w:id="122"/>
    </w:p>
    <w:p>
      <w:pPr>
        <w:spacing w:line="578" w:lineRule="exact"/>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截至2022年12月31日，本部门占用房屋面积1360平方米，其中：办公用房0平方米，业务用房1360平方米，其他（不含构筑物）0平方米。</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单位价值50万元（含）以上通用设备0台（套），单价100万元（含）以上专用设备0台（套）。</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年末在建工程0万元。</w:t>
      </w:r>
    </w:p>
    <w:bookmarkEnd w:id="99"/>
    <w:bookmarkEnd w:id="100"/>
    <w:bookmarkEnd w:id="101"/>
    <w:bookmarkEnd w:id="102"/>
    <w:bookmarkEnd w:id="103"/>
    <w:bookmarkEnd w:id="104"/>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A86A44"/>
    <w:multiLevelType w:val="singleLevel"/>
    <w:tmpl w:val="91A86A44"/>
    <w:lvl w:ilvl="0" w:tentative="0">
      <w:start w:val="2"/>
      <w:numFmt w:val="chineseCounting"/>
      <w:suff w:val="nothing"/>
      <w:lvlText w:val="（%1）"/>
      <w:lvlJc w:val="left"/>
      <w:rPr>
        <w:rFonts w:hint="eastAsia"/>
      </w:rPr>
    </w:lvl>
  </w:abstractNum>
  <w:abstractNum w:abstractNumId="1">
    <w:nsid w:val="25CD55FE"/>
    <w:multiLevelType w:val="multilevel"/>
    <w:tmpl w:val="25CD55FE"/>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8558D"/>
    <w:rsid w:val="00013755"/>
    <w:rsid w:val="00033062"/>
    <w:rsid w:val="000560CB"/>
    <w:rsid w:val="000A0406"/>
    <w:rsid w:val="000E1D70"/>
    <w:rsid w:val="000F4C98"/>
    <w:rsid w:val="00134262"/>
    <w:rsid w:val="001A76C3"/>
    <w:rsid w:val="001E2ADC"/>
    <w:rsid w:val="001E787A"/>
    <w:rsid w:val="002456F5"/>
    <w:rsid w:val="00260D67"/>
    <w:rsid w:val="002A5D56"/>
    <w:rsid w:val="002C3FAD"/>
    <w:rsid w:val="002D1F72"/>
    <w:rsid w:val="002F0D98"/>
    <w:rsid w:val="002F1212"/>
    <w:rsid w:val="002F2D02"/>
    <w:rsid w:val="002F7A04"/>
    <w:rsid w:val="00311751"/>
    <w:rsid w:val="0032230D"/>
    <w:rsid w:val="00345371"/>
    <w:rsid w:val="00362892"/>
    <w:rsid w:val="00373DC8"/>
    <w:rsid w:val="0037623C"/>
    <w:rsid w:val="003A4002"/>
    <w:rsid w:val="003A6C31"/>
    <w:rsid w:val="003D0F65"/>
    <w:rsid w:val="003D6C31"/>
    <w:rsid w:val="003D6DD3"/>
    <w:rsid w:val="003F0906"/>
    <w:rsid w:val="00402BD4"/>
    <w:rsid w:val="00403C8E"/>
    <w:rsid w:val="00410EF2"/>
    <w:rsid w:val="0042515C"/>
    <w:rsid w:val="00437846"/>
    <w:rsid w:val="00444B9F"/>
    <w:rsid w:val="004519C8"/>
    <w:rsid w:val="004728D0"/>
    <w:rsid w:val="004D5A3D"/>
    <w:rsid w:val="004F12EA"/>
    <w:rsid w:val="00527312"/>
    <w:rsid w:val="0058558D"/>
    <w:rsid w:val="005915F7"/>
    <w:rsid w:val="005922B1"/>
    <w:rsid w:val="00682BB6"/>
    <w:rsid w:val="006B564E"/>
    <w:rsid w:val="006D6301"/>
    <w:rsid w:val="006F333C"/>
    <w:rsid w:val="00754731"/>
    <w:rsid w:val="0079371E"/>
    <w:rsid w:val="00795FB1"/>
    <w:rsid w:val="00796969"/>
    <w:rsid w:val="007B6982"/>
    <w:rsid w:val="007C385D"/>
    <w:rsid w:val="007F55BA"/>
    <w:rsid w:val="00895C45"/>
    <w:rsid w:val="008B2B1C"/>
    <w:rsid w:val="008C2119"/>
    <w:rsid w:val="008D51AD"/>
    <w:rsid w:val="008F0BBA"/>
    <w:rsid w:val="00957BDF"/>
    <w:rsid w:val="009618B8"/>
    <w:rsid w:val="00964375"/>
    <w:rsid w:val="009800DE"/>
    <w:rsid w:val="009976C5"/>
    <w:rsid w:val="009D0028"/>
    <w:rsid w:val="009D70BC"/>
    <w:rsid w:val="009E58ED"/>
    <w:rsid w:val="00A1034C"/>
    <w:rsid w:val="00A22004"/>
    <w:rsid w:val="00A45B3D"/>
    <w:rsid w:val="00A6517C"/>
    <w:rsid w:val="00A944D1"/>
    <w:rsid w:val="00AD4572"/>
    <w:rsid w:val="00AE4E84"/>
    <w:rsid w:val="00AE653A"/>
    <w:rsid w:val="00B05640"/>
    <w:rsid w:val="00B11397"/>
    <w:rsid w:val="00B23A16"/>
    <w:rsid w:val="00B24961"/>
    <w:rsid w:val="00B27ACA"/>
    <w:rsid w:val="00B44246"/>
    <w:rsid w:val="00B574E2"/>
    <w:rsid w:val="00B74CB8"/>
    <w:rsid w:val="00B82D2B"/>
    <w:rsid w:val="00B875E2"/>
    <w:rsid w:val="00B94E49"/>
    <w:rsid w:val="00BB03AD"/>
    <w:rsid w:val="00BB03C7"/>
    <w:rsid w:val="00BB0F1D"/>
    <w:rsid w:val="00BC18DD"/>
    <w:rsid w:val="00BC6C59"/>
    <w:rsid w:val="00BD016B"/>
    <w:rsid w:val="00BF40FC"/>
    <w:rsid w:val="00BF793F"/>
    <w:rsid w:val="00C746E8"/>
    <w:rsid w:val="00C950B0"/>
    <w:rsid w:val="00CB0A12"/>
    <w:rsid w:val="00CB6023"/>
    <w:rsid w:val="00CC0EF9"/>
    <w:rsid w:val="00CD7D37"/>
    <w:rsid w:val="00D019FA"/>
    <w:rsid w:val="00D703ED"/>
    <w:rsid w:val="00D81163"/>
    <w:rsid w:val="00E04238"/>
    <w:rsid w:val="00E22C7B"/>
    <w:rsid w:val="00E43AEB"/>
    <w:rsid w:val="00E47076"/>
    <w:rsid w:val="00E53275"/>
    <w:rsid w:val="00E66258"/>
    <w:rsid w:val="00E67F3A"/>
    <w:rsid w:val="00E73F5E"/>
    <w:rsid w:val="00E76A9F"/>
    <w:rsid w:val="00E8264D"/>
    <w:rsid w:val="00E9249D"/>
    <w:rsid w:val="00E92BA3"/>
    <w:rsid w:val="00E945A2"/>
    <w:rsid w:val="00EC7AC4"/>
    <w:rsid w:val="00EF7C33"/>
    <w:rsid w:val="00F0340F"/>
    <w:rsid w:val="00F241F1"/>
    <w:rsid w:val="00F40F12"/>
    <w:rsid w:val="00F4196C"/>
    <w:rsid w:val="00F54686"/>
    <w:rsid w:val="00F634E8"/>
    <w:rsid w:val="00F7226A"/>
    <w:rsid w:val="00F75D26"/>
    <w:rsid w:val="00F968AA"/>
    <w:rsid w:val="260031A2"/>
    <w:rsid w:val="64883DC4"/>
    <w:rsid w:val="69F237FA"/>
    <w:rsid w:val="6FF0478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脚 Char"/>
    <w:basedOn w:val="4"/>
    <w:link w:val="2"/>
    <w:qFormat/>
    <w:uiPriority w:val="0"/>
    <w:rPr>
      <w:rFonts w:ascii="Times New Roman" w:hAnsi="Times New Roman" w:eastAsia="宋体" w:cs="Times New Roman"/>
      <w:sz w:val="18"/>
      <w:szCs w:val="18"/>
    </w:rPr>
  </w:style>
  <w:style w:type="paragraph" w:customStyle="1" w:styleId="8">
    <w:name w:val="WPSOffice手动目录 2"/>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9">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10">
    <w:name w:val="List Paragraph"/>
    <w:basedOn w:val="1"/>
    <w:qFormat/>
    <w:uiPriority w:val="34"/>
    <w:pPr>
      <w:ind w:firstLine="420" w:firstLineChars="200"/>
    </w:pPr>
  </w:style>
  <w:style w:type="character" w:customStyle="1" w:styleId="11">
    <w:name w:val="页眉 Char"/>
    <w:basedOn w:val="4"/>
    <w:link w:val="3"/>
    <w:semiHidden/>
    <w:qFormat/>
    <w:uiPriority w:val="99"/>
    <w:rPr>
      <w:rFonts w:ascii="Times New Roman" w:hAnsi="Times New Roman" w:eastAsia="宋体" w:cs="Times New Roman"/>
      <w:sz w:val="18"/>
      <w:szCs w:val="18"/>
    </w:rPr>
  </w:style>
  <w:style w:type="paragraph" w:customStyle="1" w:styleId="12">
    <w:name w:val="列出段落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FFA2E-215C-4936-8BE3-539D761E2310}">
  <ds:schemaRefs/>
</ds:datastoreItem>
</file>

<file path=docProps/app.xml><?xml version="1.0" encoding="utf-8"?>
<Properties xmlns="http://schemas.openxmlformats.org/officeDocument/2006/extended-properties" xmlns:vt="http://schemas.openxmlformats.org/officeDocument/2006/docPropsVTypes">
  <Template>Normal</Template>
  <Pages>14</Pages>
  <Words>1049</Words>
  <Characters>5984</Characters>
  <Lines>49</Lines>
  <Paragraphs>14</Paragraphs>
  <ScaleCrop>false</ScaleCrop>
  <LinksUpToDate>false</LinksUpToDate>
  <CharactersWithSpaces>7019</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2021-10-14T12:36:00Z</dcterms:created>
  <dc:creator>Administrator</dc:creator>
  <cp:lastModifiedBy>尹华源</cp:lastModifiedBy>
  <dcterms:modified xsi:type="dcterms:W3CDTF">2023-09-25T02:22:37Z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