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ˎ̥" w:eastAsia="黑体" w:cs="Times New Roman"/>
          <w:sz w:val="44"/>
          <w:szCs w:val="44"/>
        </w:rPr>
      </w:pPr>
      <w:r>
        <w:rPr>
          <w:rFonts w:hint="eastAsia" w:ascii="黑体" w:hAnsi="ˎ̥" w:eastAsia="黑体" w:cs="Times New Roman"/>
          <w:sz w:val="44"/>
          <w:szCs w:val="44"/>
        </w:rPr>
        <w:t>三亚市天涯区</w:t>
      </w:r>
      <w:r>
        <w:rPr>
          <w:rFonts w:hint="eastAsia" w:ascii="黑体" w:hAnsi="ˎ̥" w:eastAsia="黑体" w:cs="Times New Roman"/>
          <w:sz w:val="44"/>
          <w:szCs w:val="44"/>
          <w:lang w:eastAsia="zh-CN"/>
        </w:rPr>
        <w:t>凤凰</w:t>
      </w:r>
      <w:r>
        <w:rPr>
          <w:rFonts w:hint="eastAsia" w:ascii="黑体" w:hAnsi="ˎ̥" w:eastAsia="黑体" w:cs="Times New Roman"/>
          <w:sz w:val="44"/>
          <w:szCs w:val="44"/>
        </w:rPr>
        <w:t>小学202</w:t>
      </w:r>
      <w:r>
        <w:rPr>
          <w:rFonts w:hint="eastAsia" w:ascii="黑体" w:hAnsi="ˎ̥" w:eastAsia="黑体" w:cs="Times New Roman"/>
          <w:sz w:val="44"/>
          <w:szCs w:val="44"/>
          <w:lang w:val="en-US" w:eastAsia="zh-CN"/>
        </w:rPr>
        <w:t>2</w:t>
      </w:r>
      <w:r>
        <w:rPr>
          <w:rFonts w:hint="eastAsia" w:ascii="黑体" w:hAnsi="ˎ̥" w:eastAsia="黑体" w:cs="Times New Roman"/>
          <w:sz w:val="44"/>
          <w:szCs w:val="44"/>
        </w:rPr>
        <w:t>年度</w:t>
      </w:r>
    </w:p>
    <w:p>
      <w:pPr>
        <w:jc w:val="center"/>
        <w:rPr>
          <w:rFonts w:ascii="黑体" w:hAnsi="ˎ̥" w:eastAsia="黑体" w:cs="Times New Roman"/>
          <w:sz w:val="44"/>
          <w:szCs w:val="44"/>
        </w:rPr>
      </w:pPr>
      <w:r>
        <w:rPr>
          <w:rFonts w:hint="eastAsia" w:ascii="黑体" w:hAnsi="ˎ̥" w:eastAsia="黑体" w:cs="Times New Roman"/>
          <w:sz w:val="44"/>
          <w:szCs w:val="44"/>
        </w:rPr>
        <w:t>部门决算公开文字说明</w:t>
      </w:r>
    </w:p>
    <w:p>
      <w:pPr>
        <w:jc w:val="center"/>
        <w:rPr>
          <w:rFonts w:ascii="黑体" w:hAnsi="ˎ̥" w:eastAsia="黑体" w:cs="Times New Roman"/>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 xml:space="preserve">目  录 </w:t>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"_Toc1704_WPSOffice_Level1" </w:instrText>
      </w:r>
      <w:r>
        <w:fldChar w:fldCharType="separate"/>
      </w:r>
      <w:r>
        <w:rPr>
          <w:rFonts w:hint="eastAsia" w:ascii="黑体" w:hAnsi="ˎ̥" w:eastAsia="黑体" w:cs="Times New Roman"/>
          <w:kern w:val="0"/>
          <w:sz w:val="32"/>
          <w:szCs w:val="32"/>
        </w:rPr>
        <w:t>第一部分  三亚市天涯区</w:t>
      </w:r>
      <w:r>
        <w:rPr>
          <w:rFonts w:hint="eastAsia" w:ascii="黑体" w:hAnsi="ˎ̥" w:eastAsia="黑体" w:cs="Times New Roman"/>
          <w:kern w:val="0"/>
          <w:sz w:val="32"/>
          <w:szCs w:val="32"/>
          <w:lang w:eastAsia="zh-CN"/>
        </w:rPr>
        <w:t>凤凰</w:t>
      </w:r>
      <w:r>
        <w:rPr>
          <w:rFonts w:hint="eastAsia" w:ascii="黑体" w:hAnsi="ˎ̥" w:eastAsia="黑体" w:cs="Times New Roman"/>
          <w:kern w:val="0"/>
          <w:sz w:val="32"/>
          <w:szCs w:val="32"/>
        </w:rPr>
        <w:t>小学部概况</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hint="eastAsia" w:ascii="仿宋" w:hAnsi="仿宋" w:eastAsia="仿宋" w:cs="仿宋"/>
          <w:kern w:val="0"/>
          <w:sz w:val="32"/>
          <w:szCs w:val="32"/>
        </w:rPr>
        <w:tab/>
      </w:r>
      <w:r>
        <w:rPr>
          <w:rFonts w:hint="eastAsia" w:ascii="仿宋" w:hAnsi="仿宋" w:eastAsia="仿宋" w:cs="仿宋"/>
          <w:kern w:val="0"/>
          <w:sz w:val="32"/>
          <w:szCs w:val="32"/>
        </w:rPr>
        <w:t>3</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"_Toc28253_WPSOffice_Level1" </w:instrText>
      </w:r>
      <w:r>
        <w:fldChar w:fldCharType="separate"/>
      </w:r>
      <w:r>
        <w:rPr>
          <w:rFonts w:hint="eastAsia" w:ascii="黑体" w:hAnsi="ˎ̥" w:eastAsia="黑体" w:cs="Times New Roman"/>
          <w:kern w:val="0"/>
          <w:sz w:val="32"/>
          <w:szCs w:val="32"/>
        </w:rPr>
        <w:t>第二部分  三亚市天涯区</w:t>
      </w:r>
      <w:r>
        <w:rPr>
          <w:rFonts w:hint="eastAsia" w:ascii="黑体" w:hAnsi="ˎ̥" w:eastAsia="黑体" w:cs="Times New Roman"/>
          <w:kern w:val="0"/>
          <w:sz w:val="32"/>
          <w:szCs w:val="32"/>
          <w:lang w:eastAsia="zh-CN"/>
        </w:rPr>
        <w:t>凤凰</w:t>
      </w:r>
      <w:r>
        <w:rPr>
          <w:rFonts w:hint="eastAsia" w:ascii="黑体" w:hAnsi="ˎ̥" w:eastAsia="黑体" w:cs="Times New Roman"/>
          <w:kern w:val="0"/>
          <w:sz w:val="32"/>
          <w:szCs w:val="32"/>
        </w:rPr>
        <w:t>小学202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年度部门决算公开表</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3</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Times New Roman" w:hAnsi="Times New Roman" w:eastAsia="宋体" w:cs="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Times New Roman" w:hAnsi="Times New Roman" w:eastAsia="宋体" w:cs="Times New Roman"/>
          <w:kern w:val="0"/>
          <w:sz w:val="32"/>
          <w:szCs w:val="32"/>
        </w:rPr>
        <w:t xml:space="preserve">  </w:t>
      </w:r>
      <w:r>
        <w:rPr>
          <w:rFonts w:hint="eastAsia" w:ascii="黑体" w:hAnsi="黑体" w:eastAsia="黑体" w:cs="Times New Roman"/>
          <w:kern w:val="0"/>
          <w:sz w:val="32"/>
          <w:szCs w:val="32"/>
        </w:rPr>
        <w:t>三亚市天涯区</w:t>
      </w:r>
      <w:r>
        <w:rPr>
          <w:rFonts w:hint="eastAsia" w:ascii="黑体" w:hAnsi="黑体" w:eastAsia="黑体" w:cs="Times New Roman"/>
          <w:kern w:val="0"/>
          <w:sz w:val="32"/>
          <w:szCs w:val="32"/>
          <w:lang w:eastAsia="zh-CN"/>
        </w:rPr>
        <w:t>凤凰</w:t>
      </w:r>
      <w:r>
        <w:rPr>
          <w:rFonts w:hint="eastAsia" w:ascii="黑体" w:hAnsi="黑体" w:eastAsia="黑体" w:cs="Times New Roman"/>
          <w:kern w:val="0"/>
          <w:sz w:val="32"/>
          <w:szCs w:val="32"/>
        </w:rPr>
        <w:t>小学</w:t>
      </w:r>
      <w:r>
        <w:rPr>
          <w:rFonts w:hint="eastAsia" w:ascii="黑体" w:hAnsi="ˎ̥" w:eastAsia="黑体" w:cs="Times New Roman"/>
          <w:kern w:val="0"/>
          <w:sz w:val="32"/>
          <w:szCs w:val="32"/>
        </w:rPr>
        <w:t>202</w:t>
      </w:r>
      <w:r>
        <w:rPr>
          <w:rFonts w:hint="eastAsia" w:ascii="黑体" w:hAnsi="ˎ̥" w:eastAsia="黑体" w:cs="Times New Roman"/>
          <w:kern w:val="0"/>
          <w:sz w:val="32"/>
          <w:szCs w:val="32"/>
          <w:lang w:val="en-US" w:eastAsia="zh-CN"/>
        </w:rPr>
        <w:t>2</w:t>
      </w:r>
      <w:r>
        <w:rPr>
          <w:rFonts w:hint="eastAsia" w:ascii="黑体" w:hAnsi="ˎ̥" w:eastAsia="黑体" w:cs="Times New Roman"/>
          <w:kern w:val="0"/>
          <w:sz w:val="32"/>
          <w:szCs w:val="32"/>
        </w:rPr>
        <w:t>年度部门决算情况说明</w:t>
      </w:r>
      <w:r>
        <w:rPr>
          <w:rFonts w:ascii="Times New Roman" w:hAnsi="Times New Roman" w:eastAsia="宋体" w:cs="Times New Roman"/>
          <w:kern w:val="0"/>
          <w:sz w:val="32"/>
          <w:szCs w:val="32"/>
        </w:rPr>
        <w:tab/>
      </w:r>
      <w:r>
        <w:rPr>
          <w:rFonts w:hint="eastAsia" w:ascii="Times New Roman" w:hAnsi="Times New Roman" w:eastAsia="宋体" w:cs="Times New Roman"/>
          <w:kern w:val="0"/>
          <w:sz w:val="32"/>
          <w:szCs w:val="32"/>
        </w:rPr>
        <w:t>4</w:t>
      </w:r>
      <w:r>
        <w:rPr>
          <w:rFonts w:hint="eastAsia" w:ascii="Times New Roman" w:hAnsi="Times New Roman" w:eastAsia="宋体" w:cs="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hint="eastAsia" w:ascii="仿宋" w:hAnsi="仿宋" w:eastAsia="仿宋" w:cs="仿宋"/>
          <w:kern w:val="0"/>
          <w:sz w:val="32"/>
          <w:szCs w:val="32"/>
        </w:rPr>
        <w:tab/>
      </w:r>
      <w:r>
        <w:rPr>
          <w:rFonts w:hint="eastAsia" w:ascii="仿宋" w:hAnsi="仿宋" w:eastAsia="仿宋" w:cs="仿宋"/>
          <w:kern w:val="0"/>
          <w:sz w:val="32"/>
          <w:szCs w:val="32"/>
        </w:rPr>
        <w:t>4</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hint="eastAsia" w:ascii="仿宋" w:hAnsi="仿宋" w:eastAsia="仿宋" w:cs="仿宋"/>
          <w:kern w:val="0"/>
          <w:sz w:val="32"/>
          <w:szCs w:val="32"/>
        </w:rPr>
        <w:tab/>
      </w:r>
      <w:r>
        <w:rPr>
          <w:rFonts w:hint="eastAsia"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hint="eastAsia" w:ascii="仿宋" w:hAnsi="仿宋" w:eastAsia="仿宋" w:cs="仿宋"/>
          <w:kern w:val="0"/>
          <w:sz w:val="32"/>
          <w:szCs w:val="32"/>
        </w:rPr>
        <w:tab/>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8</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lang w:val="en-US" w:eastAsia="zh-CN"/>
        </w:rPr>
        <w:t>9</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hint="eastAsia" w:ascii="仿宋" w:hAnsi="仿宋" w:eastAsia="仿宋" w:cs="仿宋"/>
          <w:kern w:val="0"/>
          <w:sz w:val="32"/>
          <w:szCs w:val="32"/>
        </w:rPr>
        <w:tab/>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hint="eastAsia" w:ascii="仿宋" w:hAnsi="仿宋" w:eastAsia="仿宋" w:cs="仿宋"/>
          <w:kern w:val="0"/>
          <w:sz w:val="32"/>
          <w:szCs w:val="32"/>
        </w:rPr>
        <w:tab/>
      </w: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cs="Times New Roman"/>
          <w:kern w:val="0"/>
          <w:sz w:val="32"/>
          <w:szCs w:val="32"/>
          <w:lang w:eastAsia="zh-CN"/>
        </w:rPr>
      </w:pPr>
      <w:r>
        <w:fldChar w:fldCharType="begin"/>
      </w:r>
      <w:r>
        <w:instrText xml:space="preserve"> HYPERLINK \l "_Toc15425_WPSOffice_Level1" </w:instrText>
      </w:r>
      <w:r>
        <w:fldChar w:fldCharType="separate"/>
      </w:r>
      <w:r>
        <w:rPr>
          <w:rFonts w:hint="eastAsia" w:ascii="黑体" w:hAnsi="ˎ̥" w:eastAsia="黑体" w:cs="Times New Roman"/>
          <w:kern w:val="0"/>
          <w:sz w:val="32"/>
          <w:szCs w:val="32"/>
        </w:rPr>
        <w:t>第四部分  名词解释</w:t>
      </w:r>
      <w:r>
        <w:rPr>
          <w:rFonts w:ascii="Times New Roman" w:hAnsi="Times New Roman" w:eastAsia="宋体" w:cs="Times New Roman"/>
          <w:kern w:val="0"/>
          <w:sz w:val="32"/>
          <w:szCs w:val="32"/>
        </w:rPr>
        <w:tab/>
      </w:r>
      <w:bookmarkStart w:id="1" w:name="_Toc15425_WPSOffice_Level1Page"/>
      <w:r>
        <w:rPr>
          <w:rFonts w:ascii="Times New Roman" w:hAnsi="Times New Roman" w:eastAsia="宋体" w:cs="Times New Roman"/>
          <w:kern w:val="0"/>
          <w:sz w:val="32"/>
          <w:szCs w:val="32"/>
        </w:rPr>
        <w:t>1</w:t>
      </w:r>
      <w:bookmarkEnd w:id="1"/>
      <w:r>
        <w:rPr>
          <w:rFonts w:ascii="Times New Roman" w:hAnsi="Times New Roman" w:eastAsia="宋体" w:cs="Times New Roman"/>
          <w:kern w:val="0"/>
          <w:sz w:val="32"/>
          <w:szCs w:val="32"/>
        </w:rPr>
        <w:fldChar w:fldCharType="end"/>
      </w:r>
      <w:bookmarkEnd w:id="0"/>
      <w:r>
        <w:rPr>
          <w:rFonts w:hint="eastAsia" w:ascii="Times New Roman" w:hAnsi="Times New Roman" w:eastAsia="宋体" w:cs="Times New Roman"/>
          <w:kern w:val="0"/>
          <w:sz w:val="32"/>
          <w:szCs w:val="32"/>
          <w:lang w:val="en-US" w:eastAsia="zh-CN"/>
        </w:rPr>
        <w:t>2</w:t>
      </w:r>
    </w:p>
    <w:p>
      <w:pPr>
        <w:jc w:val="left"/>
        <w:rPr>
          <w:rFonts w:ascii="黑体" w:hAnsi="黑体" w:eastAsia="黑体" w:cs="黑体"/>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center"/>
        <w:rPr>
          <w:rFonts w:ascii="黑体" w:hAnsi="ˎ̥" w:eastAsia="黑体" w:cs="Times New Roman"/>
          <w:b/>
          <w:sz w:val="32"/>
          <w:szCs w:val="32"/>
        </w:rPr>
      </w:pPr>
    </w:p>
    <w:p>
      <w:pPr>
        <w:jc w:val="both"/>
        <w:rPr>
          <w:rFonts w:ascii="黑体" w:hAnsi="ˎ̥" w:eastAsia="黑体" w:cs="Times New Roman"/>
          <w:b/>
          <w:sz w:val="32"/>
          <w:szCs w:val="32"/>
        </w:rPr>
      </w:pPr>
    </w:p>
    <w:p>
      <w:pPr>
        <w:jc w:val="both"/>
        <w:rPr>
          <w:rFonts w:ascii="黑体" w:hAnsi="ˎ̥" w:eastAsia="黑体" w:cs="Times New Roman"/>
          <w:b/>
          <w:sz w:val="32"/>
          <w:szCs w:val="32"/>
        </w:rPr>
      </w:pPr>
    </w:p>
    <w:p>
      <w:pPr>
        <w:jc w:val="both"/>
        <w:rPr>
          <w:rFonts w:ascii="黑体" w:hAnsi="ˎ̥" w:eastAsia="黑体" w:cs="Times New Roman"/>
          <w:b/>
          <w:sz w:val="32"/>
          <w:szCs w:val="32"/>
        </w:rPr>
      </w:pPr>
    </w:p>
    <w:p>
      <w:pPr>
        <w:jc w:val="center"/>
        <w:rPr>
          <w:rFonts w:ascii="楷体" w:hAnsi="楷体" w:eastAsia="楷体" w:cs="楷体"/>
          <w:sz w:val="32"/>
          <w:szCs w:val="32"/>
        </w:rPr>
      </w:pPr>
      <w:bookmarkStart w:id="2" w:name="_Toc1704_WPSOffice_Level1"/>
      <w:bookmarkStart w:id="3" w:name="_Toc32433_WPSOffice_Level1"/>
      <w:bookmarkStart w:id="4" w:name="_Toc22941_WPSOffice_Level1"/>
      <w:bookmarkStart w:id="5" w:name="_Toc23465_WPSOffice_Level1"/>
      <w:bookmarkStart w:id="6" w:name="_Toc10049_WPSOffice_Level1"/>
      <w:bookmarkStart w:id="7" w:name="_Toc10720_WPSOffice_Level1"/>
      <w:bookmarkStart w:id="8" w:name="_Toc24238_WPSOffice_Level2"/>
      <w:bookmarkStart w:id="9" w:name="_Toc26580_WPSOffice_Level2"/>
      <w:bookmarkStart w:id="10" w:name="_Toc20274_WPSOffice_Level2"/>
      <w:bookmarkStart w:id="11" w:name="_Toc32622_WPSOffice_Level2"/>
      <w:bookmarkStart w:id="12" w:name="_Toc20205_WPSOffice_Level2"/>
      <w:bookmarkStart w:id="13" w:name="_Toc14159_WPSOffice_Level2"/>
      <w:r>
        <w:rPr>
          <w:rFonts w:hint="eastAsia" w:ascii="黑体" w:hAnsi="ˎ̥" w:eastAsia="黑体" w:cs="Times New Roman"/>
          <w:sz w:val="32"/>
          <w:szCs w:val="32"/>
        </w:rPr>
        <w:t>第一部分  三亚市天涯区</w:t>
      </w:r>
      <w:r>
        <w:rPr>
          <w:rFonts w:hint="eastAsia" w:ascii="黑体" w:hAnsi="ˎ̥" w:eastAsia="黑体" w:cs="Times New Roman"/>
          <w:sz w:val="32"/>
          <w:szCs w:val="32"/>
          <w:lang w:eastAsia="zh-CN"/>
        </w:rPr>
        <w:t>凤凰</w:t>
      </w:r>
      <w:r>
        <w:rPr>
          <w:rFonts w:hint="eastAsia" w:ascii="黑体" w:hAnsi="ˎ̥" w:eastAsia="黑体" w:cs="Times New Roman"/>
          <w:sz w:val="32"/>
          <w:szCs w:val="32"/>
        </w:rPr>
        <w:t>小学部门概况</w:t>
      </w:r>
      <w:bookmarkEnd w:id="2"/>
      <w:bookmarkEnd w:id="3"/>
      <w:bookmarkEnd w:id="4"/>
      <w:bookmarkEnd w:id="5"/>
      <w:bookmarkEnd w:id="6"/>
      <w:bookmarkEnd w:id="7"/>
    </w:p>
    <w:p>
      <w:pPr>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8"/>
      <w:r>
        <w:rPr>
          <w:rFonts w:hint="eastAsia" w:ascii="黑体" w:hAnsi="黑体" w:eastAsia="黑体" w:cs="黑体"/>
          <w:sz w:val="32"/>
          <w:szCs w:val="32"/>
        </w:rPr>
        <w:t>（单位）职责</w:t>
      </w:r>
      <w:bookmarkEnd w:id="9"/>
      <w:bookmarkEnd w:id="10"/>
      <w:bookmarkEnd w:id="11"/>
      <w:bookmarkEnd w:id="12"/>
      <w:bookmarkEnd w:id="13"/>
    </w:p>
    <w:p>
      <w:pPr>
        <w:pStyle w:val="10"/>
        <w:ind w:firstLineChars="0"/>
        <w:jc w:val="left"/>
        <w:rPr>
          <w:rFonts w:ascii="黑体" w:hAnsi="黑体" w:eastAsia="黑体" w:cs="仿宋_GB2312"/>
          <w:sz w:val="32"/>
          <w:szCs w:val="32"/>
        </w:rPr>
      </w:pPr>
      <w:bookmarkStart w:id="14" w:name="_Toc24059_WPSOffice_Level2"/>
      <w:bookmarkStart w:id="15" w:name="_Toc17796_WPSOffice_Level2"/>
      <w:bookmarkStart w:id="16" w:name="_Toc6572_WPSOffice_Level2"/>
      <w:bookmarkStart w:id="17" w:name="_Toc4833_WPSOffice_Level2"/>
      <w:bookmarkStart w:id="18" w:name="_Toc24474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sz w:val="32"/>
          <w:szCs w:val="32"/>
        </w:rPr>
      </w:pPr>
      <w:bookmarkStart w:id="19" w:name="_Toc15521_WPSOffice_Level1"/>
      <w:bookmarkStart w:id="20" w:name="_Toc6234_WPSOffice_Level1"/>
      <w:bookmarkStart w:id="21" w:name="_Toc28253_WPSOffice_Level1"/>
      <w:bookmarkStart w:id="22" w:name="_Toc30690_WPSOffice_Level1"/>
      <w:bookmarkStart w:id="23" w:name="_Toc8164_WPSOffice_Level1"/>
      <w:bookmarkStart w:id="24" w:name="_Toc30451_WPSOffice_Level1"/>
      <w:bookmarkStart w:id="25" w:name="_Toc6211_WPSOffice_Level2"/>
      <w:bookmarkStart w:id="26" w:name="_Toc32695_WPSOffice_Level2"/>
      <w:bookmarkStart w:id="27" w:name="_Toc8867_WPSOffice_Level2"/>
      <w:bookmarkStart w:id="28" w:name="_Toc4029_WPSOffice_Level2"/>
      <w:bookmarkStart w:id="29" w:name="_Toc11518_WPSOffice_Level2"/>
      <w:bookmarkStart w:id="30" w:name="_Toc32472_WPSOffice_Level2"/>
      <w:r>
        <w:rPr>
          <w:rFonts w:hint="eastAsia" w:ascii="仿宋_GB2312" w:hAnsi="ˎ̥" w:eastAsia="仿宋_GB2312" w:cs="Times New Roman"/>
          <w:sz w:val="32"/>
          <w:szCs w:val="32"/>
        </w:rPr>
        <w:t>单位内设机构即包括：</w:t>
      </w:r>
    </w:p>
    <w:p>
      <w:pPr>
        <w:ind w:firstLine="640" w:firstLineChars="200"/>
        <w:rPr>
          <w:rFonts w:ascii="楷体" w:hAnsi="楷体" w:eastAsia="楷体" w:cs="楷体"/>
          <w:sz w:val="32"/>
          <w:szCs w:val="32"/>
        </w:rPr>
      </w:pPr>
      <w:bookmarkStart w:id="31" w:name="_Toc24421_WPSOffice_Level2"/>
      <w:bookmarkStart w:id="32" w:name="_Toc25738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19721_WPSOffice_Level2"/>
      <w:bookmarkStart w:id="34" w:name="_Toc4442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ˎ̥" w:eastAsia="黑体" w:cs="Times New Roman"/>
          <w:sz w:val="32"/>
          <w:szCs w:val="32"/>
        </w:rPr>
      </w:pPr>
      <w:r>
        <w:rPr>
          <w:rFonts w:hint="eastAsia" w:ascii="黑体" w:hAnsi="ˎ̥" w:eastAsia="黑体" w:cs="Times New Roman"/>
          <w:sz w:val="32"/>
          <w:szCs w:val="32"/>
        </w:rPr>
        <w:t>第二部分  三亚市天涯区</w:t>
      </w:r>
      <w:r>
        <w:rPr>
          <w:rFonts w:hint="eastAsia" w:ascii="黑体" w:hAnsi="ˎ̥" w:eastAsia="黑体" w:cs="Times New Roman"/>
          <w:sz w:val="32"/>
          <w:szCs w:val="32"/>
          <w:lang w:eastAsia="zh-CN"/>
        </w:rPr>
        <w:t>凤凰</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5608_WPSOffice_Level2"/>
      <w:bookmarkStart w:id="36" w:name="_Toc26621_WPSOffice_Level2"/>
      <w:bookmarkStart w:id="37" w:name="_Toc23139_WPSOffice_Level2"/>
      <w:bookmarkStart w:id="38" w:name="_Toc14349_WPSOffice_Level2"/>
      <w:bookmarkStart w:id="39" w:name="_Toc30334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3262_WPSOffice_Level2"/>
      <w:bookmarkStart w:id="42" w:name="_Toc17858_WPSOffice_Level2"/>
      <w:bookmarkStart w:id="43" w:name="_Toc17626_WPSOffice_Level2"/>
      <w:bookmarkStart w:id="44" w:name="_Toc5489_WPSOffice_Level2"/>
      <w:bookmarkStart w:id="45" w:name="_Toc13854_WPSOffice_Level2"/>
      <w:bookmarkStart w:id="46" w:name="_Toc14658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3591_WPSOffice_Level2"/>
      <w:bookmarkStart w:id="48" w:name="_Toc21415_WPSOffice_Level2"/>
      <w:bookmarkStart w:id="49" w:name="_Toc13701_WPSOffice_Level2"/>
      <w:bookmarkStart w:id="50" w:name="_Toc23493_WPSOffice_Level2"/>
      <w:bookmarkStart w:id="51" w:name="_Toc4265_WPSOffice_Level2"/>
      <w:bookmarkStart w:id="52" w:name="_Toc7988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5166_WPSOffice_Level2"/>
      <w:bookmarkStart w:id="54" w:name="_Toc7879_WPSOffice_Level2"/>
      <w:bookmarkStart w:id="55" w:name="_Toc23829_WPSOffice_Level2"/>
      <w:bookmarkStart w:id="56" w:name="_Toc22783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17283_WPSOffice_Level2"/>
      <w:bookmarkStart w:id="60" w:name="_Toc2632_WPSOffice_Level2"/>
      <w:bookmarkStart w:id="61" w:name="_Toc17833_WPSOffice_Level2"/>
      <w:bookmarkStart w:id="62" w:name="_Toc5343_WPSOffice_Level2"/>
      <w:bookmarkStart w:id="63" w:name="_Toc8373_WPSOffice_Level2"/>
      <w:bookmarkStart w:id="64" w:name="_Toc2536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ascii="黑体" w:hAnsi="黑体" w:eastAsia="黑体" w:cs="黑体"/>
          <w:sz w:val="32"/>
          <w:szCs w:val="32"/>
        </w:rPr>
      </w:pPr>
      <w:bookmarkStart w:id="65" w:name="_Toc21310_WPSOffice_Level2"/>
      <w:bookmarkStart w:id="66" w:name="_Toc13345_WPSOffice_Level2"/>
      <w:bookmarkStart w:id="67" w:name="_Toc1533_WPSOffice_Level2"/>
      <w:bookmarkStart w:id="68" w:name="_Toc11799_WPSOffice_Level2"/>
      <w:bookmarkStart w:id="69" w:name="_Toc6020_WPSOffice_Level2"/>
      <w:bookmarkStart w:id="70" w:name="_Toc5594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公开表（见正文附件）。</w:t>
      </w:r>
    </w:p>
    <w:p>
      <w:pPr>
        <w:keepNext w:val="0"/>
        <w:keepLines w:val="0"/>
        <w:pageBreakBefore w:val="0"/>
        <w:widowControl w:val="0"/>
        <w:kinsoku/>
        <w:wordWrap/>
        <w:overflowPunct/>
        <w:topLinePunct w:val="0"/>
        <w:autoSpaceDE/>
        <w:autoSpaceDN/>
        <w:bidi w:val="0"/>
        <w:adjustRightInd/>
        <w:snapToGrid/>
        <w:ind w:left="638" w:leftChars="304" w:firstLine="640" w:firstLineChars="200"/>
        <w:textAlignment w:val="auto"/>
        <w:rPr>
          <w:rFonts w:ascii="黑体" w:hAnsi="黑体" w:eastAsia="黑体" w:cs="黑体"/>
          <w:sz w:val="32"/>
          <w:szCs w:val="32"/>
        </w:rPr>
      </w:pPr>
      <w:r>
        <w:rPr>
          <w:rFonts w:hint="eastAsia" w:ascii="黑体" w:hAnsi="黑体" w:eastAsia="黑体" w:cs="黑体"/>
          <w:sz w:val="32"/>
          <w:szCs w:val="32"/>
        </w:rPr>
        <w:t>八、国有资本经营预算财政拨款收入支出决算公开</w:t>
      </w:r>
      <w:r>
        <w:rPr>
          <w:rFonts w:hint="eastAsia" w:ascii="黑体" w:hAnsi="黑体" w:eastAsia="黑体" w:cs="黑体"/>
          <w:sz w:val="32"/>
          <w:szCs w:val="32"/>
          <w:lang w:val="en-US" w:eastAsia="zh-CN"/>
        </w:rPr>
        <w:t>表</w:t>
      </w: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19961_WPSOffice_Level2"/>
      <w:bookmarkStart w:id="73" w:name="_Toc9377_WPSOffice_Level2"/>
      <w:bookmarkStart w:id="74" w:name="_Toc1820_WPSOffice_Level2"/>
      <w:r>
        <w:rPr>
          <w:rFonts w:hint="eastAsia" w:ascii="黑体" w:hAnsi="黑体" w:eastAsia="黑体" w:cs="黑体"/>
          <w:sz w:val="32"/>
          <w:szCs w:val="32"/>
        </w:rPr>
        <w:t xml:space="preserve">    九、一般公共预算财政拨款“三公”经费支出决算</w:t>
      </w:r>
      <w:bookmarkEnd w:id="71"/>
      <w:bookmarkEnd w:id="72"/>
      <w:bookmarkEnd w:id="73"/>
      <w:bookmarkEnd w:id="74"/>
      <w:r>
        <w:rPr>
          <w:rFonts w:hint="eastAsia" w:ascii="黑体" w:hAnsi="黑体" w:eastAsia="黑体" w:cs="黑体"/>
          <w:sz w:val="32"/>
          <w:szCs w:val="32"/>
        </w:rPr>
        <w:t>公开表（见正文附件）。</w:t>
      </w:r>
    </w:p>
    <w:p>
      <w:pPr>
        <w:rPr>
          <w:rFonts w:ascii="黑体" w:hAnsi="黑体" w:eastAsia="黑体" w:cs="黑体"/>
          <w:sz w:val="32"/>
          <w:szCs w:val="32"/>
        </w:rPr>
      </w:pPr>
      <w:r>
        <w:rPr>
          <w:rFonts w:hint="eastAsia" w:ascii="黑体" w:hAnsi="黑体" w:eastAsia="黑体" w:cs="黑体"/>
          <w:w w:val="96"/>
          <w:sz w:val="32"/>
          <w:szCs w:val="32"/>
        </w:rPr>
        <w:t xml:space="preserve">    十、政府性基金预算财政拨款“三公”经费支出决算公开表</w:t>
      </w:r>
      <w:r>
        <w:rPr>
          <w:rFonts w:hint="eastAsia" w:ascii="黑体" w:hAnsi="黑体" w:eastAsia="黑体" w:cs="黑体"/>
          <w:sz w:val="32"/>
          <w:szCs w:val="32"/>
        </w:rPr>
        <w:t>（见正文附件）。</w:t>
      </w:r>
    </w:p>
    <w:p>
      <w:pPr>
        <w:rPr>
          <w:rFonts w:ascii="黑体" w:hAnsi="黑体" w:eastAsia="黑体" w:cs="黑体"/>
          <w:sz w:val="32"/>
          <w:szCs w:val="32"/>
        </w:rPr>
      </w:pPr>
      <w:r>
        <w:rPr>
          <w:rFonts w:hint="eastAsia" w:ascii="黑体" w:hAnsi="黑体" w:eastAsia="黑体" w:cs="黑体"/>
          <w:w w:val="96"/>
          <w:sz w:val="32"/>
          <w:szCs w:val="32"/>
        </w:rPr>
        <w:t xml:space="preserve">    十一、国有资本经营预算财政拨款“三公”经费支出决算公开表</w:t>
      </w:r>
      <w:r>
        <w:rPr>
          <w:rFonts w:hint="eastAsia" w:ascii="黑体" w:hAnsi="黑体" w:eastAsia="黑体" w:cs="黑体"/>
          <w:sz w:val="32"/>
          <w:szCs w:val="32"/>
        </w:rPr>
        <w:t>（见正文附件）。</w:t>
      </w:r>
    </w:p>
    <w:p>
      <w:pPr>
        <w:jc w:val="center"/>
        <w:rPr>
          <w:rFonts w:ascii="黑体" w:hAnsi="ˎ̥" w:eastAsia="黑体" w:cs="Times New Roman"/>
          <w:sz w:val="32"/>
          <w:szCs w:val="32"/>
        </w:rPr>
      </w:pPr>
      <w:bookmarkStart w:id="75" w:name="_Toc29683_WPSOffice_Level1"/>
      <w:bookmarkStart w:id="76" w:name="_Toc31264_WPSOffice_Level1"/>
      <w:bookmarkStart w:id="77" w:name="_Toc28629_WPSOffice_Level1"/>
      <w:bookmarkStart w:id="78" w:name="_Toc16686_WPSOffice_Level1"/>
      <w:bookmarkStart w:id="79" w:name="_Toc4402_WPSOffice_Level1"/>
      <w:bookmarkStart w:id="80" w:name="_Toc27590_WPSOffice_Level1"/>
      <w:r>
        <w:rPr>
          <w:rFonts w:hint="eastAsia" w:ascii="黑体" w:hAnsi="ˎ̥" w:eastAsia="黑体" w:cs="Times New Roman"/>
          <w:sz w:val="32"/>
          <w:szCs w:val="32"/>
        </w:rPr>
        <w:t>第三部分  三亚市天涯区</w:t>
      </w:r>
      <w:r>
        <w:rPr>
          <w:rFonts w:hint="eastAsia" w:ascii="黑体" w:hAnsi="ˎ̥" w:eastAsia="黑体" w:cs="Times New Roman"/>
          <w:sz w:val="32"/>
          <w:szCs w:val="32"/>
          <w:lang w:eastAsia="zh-CN"/>
        </w:rPr>
        <w:t>凤凰</w:t>
      </w:r>
      <w:r>
        <w:rPr>
          <w:rFonts w:hint="eastAsia" w:ascii="黑体" w:hAnsi="ˎ̥" w:eastAsia="黑体" w:cs="Times New Roman"/>
          <w:sz w:val="32"/>
          <w:szCs w:val="32"/>
        </w:rPr>
        <w:t>小学202</w:t>
      </w:r>
      <w:r>
        <w:rPr>
          <w:rFonts w:hint="eastAsia" w:ascii="黑体" w:hAnsi="ˎ̥" w:eastAsia="黑体" w:cs="Times New Roman"/>
          <w:sz w:val="32"/>
          <w:szCs w:val="32"/>
          <w:lang w:val="en-US" w:eastAsia="zh-CN"/>
        </w:rPr>
        <w:t>2</w:t>
      </w:r>
      <w:r>
        <w:rPr>
          <w:rFonts w:hint="eastAsia" w:ascii="黑体" w:hAnsi="ˎ̥" w:eastAsia="黑体" w:cs="Times New Roman"/>
          <w:sz w:val="32"/>
          <w:szCs w:val="32"/>
        </w:rPr>
        <w:t>年度部门决算情况说明</w:t>
      </w:r>
      <w:bookmarkEnd w:id="75"/>
      <w:bookmarkEnd w:id="76"/>
      <w:bookmarkEnd w:id="77"/>
      <w:bookmarkEnd w:id="78"/>
      <w:bookmarkEnd w:id="79"/>
      <w:bookmarkEnd w:id="80"/>
    </w:p>
    <w:p>
      <w:pPr>
        <w:ind w:firstLine="640" w:firstLineChars="200"/>
        <w:rPr>
          <w:rFonts w:hint="eastAsia" w:ascii="黑体" w:hAnsi="黑体" w:eastAsia="黑体" w:cs="黑体"/>
          <w:bCs/>
          <w:sz w:val="32"/>
          <w:szCs w:val="32"/>
        </w:rPr>
      </w:pPr>
      <w:r>
        <w:rPr>
          <w:rFonts w:hint="eastAsia" w:ascii="黑体" w:hAnsi="黑体" w:eastAsia="黑体" w:cs="黑体"/>
          <w:bCs/>
          <w:sz w:val="32"/>
          <w:szCs w:val="32"/>
        </w:rPr>
        <w:t>一、收入支出决算总体情况说明</w:t>
      </w:r>
    </w:p>
    <w:p>
      <w:pPr>
        <w:ind w:firstLine="640" w:firstLineChars="200"/>
        <w:rPr>
          <w:rFonts w:hint="eastAsia"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 w:eastAsia="仿宋_GB2312"/>
          <w:sz w:val="32"/>
          <w:szCs w:val="32"/>
        </w:rPr>
        <w:t>2022年度收入总计2845.22万元，支出总计2845.22万元</w:t>
      </w:r>
      <w:r>
        <w:rPr>
          <w:rFonts w:hint="eastAsia" w:ascii="仿宋_GB2312" w:hAnsi="ˎ̥" w:eastAsia="仿宋_GB2312" w:cs="Times New Roman"/>
          <w:sz w:val="32"/>
          <w:szCs w:val="32"/>
        </w:rPr>
        <w:t>，与20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年度相比，收入总计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131.89</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 xml:space="preserve"> 9.27 </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123.16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8.65</w:t>
      </w:r>
      <w:r>
        <w:rPr>
          <w:rFonts w:hint="eastAsia" w:ascii="仿宋_GB2312" w:hAnsi="ˎ̥" w:eastAsia="仿宋_GB2312" w:cs="Times New Roman"/>
          <w:sz w:val="32"/>
          <w:szCs w:val="32"/>
        </w:rPr>
        <w:t>%。</w:t>
      </w:r>
      <w:r>
        <w:rPr>
          <w:rFonts w:hint="eastAsia" w:ascii="仿宋_GB2312" w:hAnsi="ˎ̥" w:eastAsia="仿宋_GB2312"/>
          <w:color w:val="000000" w:themeColor="text1"/>
          <w:sz w:val="32"/>
          <w:szCs w:val="32"/>
          <w:highlight w:val="none"/>
          <w14:textFill>
            <w14:solidFill>
              <w14:schemeClr w14:val="tx1"/>
            </w14:solidFill>
          </w14:textFill>
        </w:rPr>
        <w:t>主要原因：人员增加、工资福利支出增加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sz w:val="32"/>
          <w:szCs w:val="32"/>
        </w:rPr>
        <w:t>使用非财政拨款结余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万元。年初结转结余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30.36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减少</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主</w:t>
      </w:r>
      <w:r>
        <w:rPr>
          <w:rFonts w:hint="default" w:ascii="仿宋_GB2312" w:hAnsi="ˎ̥" w:eastAsia="仿宋_GB2312" w:cs="仿宋_GB2312"/>
          <w:color w:val="000000" w:themeColor="text1"/>
          <w:sz w:val="32"/>
          <w:szCs w:val="32"/>
          <w:highlight w:val="none"/>
          <w14:textFill>
            <w14:solidFill>
              <w14:schemeClr w14:val="tx1"/>
            </w14:solidFill>
          </w14:textFill>
        </w:rPr>
        <w:t>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sz w:val="32"/>
          <w:szCs w:val="32"/>
        </w:rPr>
        <w:t>年末结转结余</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万元，主要是财政拨款结转，较20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年度决算数减少</w:t>
      </w:r>
      <w:r>
        <w:rPr>
          <w:rFonts w:hint="eastAsia" w:ascii="仿宋_GB2312" w:hAnsi="ˎ̥" w:eastAsia="仿宋_GB2312" w:cs="Times New Roman"/>
          <w:sz w:val="32"/>
          <w:szCs w:val="32"/>
          <w:lang w:val="en-US" w:eastAsia="zh-CN"/>
        </w:rPr>
        <w:t>21.63</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下降</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ind w:firstLine="640" w:firstLineChars="200"/>
        <w:rPr>
          <w:rFonts w:hint="eastAsia" w:ascii="黑体" w:hAnsi="黑体" w:eastAsia="黑体" w:cs="黑体"/>
          <w:bCs/>
          <w:sz w:val="32"/>
          <w:szCs w:val="32"/>
          <w:lang w:eastAsia="zh-CN"/>
        </w:rPr>
      </w:pPr>
      <w:r>
        <w:rPr>
          <w:rFonts w:hint="eastAsia" w:ascii="黑体" w:hAnsi="黑体" w:eastAsia="黑体" w:cs="黑体"/>
          <w:bCs/>
          <w:sz w:val="32"/>
          <w:szCs w:val="32"/>
        </w:rPr>
        <w:t>二、收入决算情况说明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 xml:space="preserve">    本年收入合计</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万元，其中：财政拨款收入</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%；其他收入</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本年支出合计</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万元，其中：教育支出</w:t>
      </w:r>
      <w:r>
        <w:rPr>
          <w:rFonts w:hint="eastAsia" w:ascii="仿宋_GB2312" w:hAnsi="ˎ̥" w:eastAsia="仿宋_GB2312" w:cs="Times New Roman"/>
          <w:sz w:val="32"/>
          <w:szCs w:val="32"/>
          <w:lang w:val="en-US" w:eastAsia="zh-CN"/>
        </w:rPr>
        <w:t>1050.82</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73.87</w:t>
      </w:r>
      <w:r>
        <w:rPr>
          <w:rFonts w:hint="eastAsia" w:ascii="仿宋_GB2312" w:hAnsi="ˎ̥" w:eastAsia="仿宋_GB2312" w:cs="Times New Roman"/>
          <w:sz w:val="32"/>
          <w:szCs w:val="32"/>
        </w:rPr>
        <w:t>%；社会保障和就业支出</w:t>
      </w:r>
      <w:r>
        <w:rPr>
          <w:rFonts w:hint="eastAsia" w:ascii="仿宋_GB2312" w:hAnsi="ˎ̥" w:eastAsia="仿宋_GB2312" w:cs="Times New Roman"/>
          <w:sz w:val="32"/>
          <w:szCs w:val="32"/>
          <w:lang w:val="en-US" w:eastAsia="zh-CN"/>
        </w:rPr>
        <w:t>140.77</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9.9</w:t>
      </w:r>
      <w:r>
        <w:rPr>
          <w:rFonts w:hint="eastAsia" w:ascii="仿宋_GB2312" w:hAnsi="ˎ̥" w:eastAsia="仿宋_GB2312" w:cs="Times New Roman"/>
          <w:sz w:val="32"/>
          <w:szCs w:val="32"/>
        </w:rPr>
        <w:t>%；卫生健康支出</w:t>
      </w:r>
      <w:r>
        <w:rPr>
          <w:rFonts w:hint="eastAsia" w:ascii="仿宋_GB2312" w:hAnsi="ˎ̥" w:eastAsia="仿宋_GB2312" w:cs="Times New Roman"/>
          <w:sz w:val="32"/>
          <w:szCs w:val="32"/>
          <w:lang w:val="en-US" w:eastAsia="zh-CN"/>
        </w:rPr>
        <w:t>165.45</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11.63</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城乡社区支出</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占</w:t>
      </w:r>
      <w:r>
        <w:rPr>
          <w:rFonts w:hint="eastAsia" w:ascii="仿宋_GB2312" w:hAnsi="ˎ̥" w:eastAsia="仿宋_GB2312" w:cs="Times New Roman"/>
          <w:sz w:val="32"/>
          <w:szCs w:val="32"/>
          <w:lang w:val="en-US" w:eastAsia="zh-CN"/>
        </w:rPr>
        <w:t>0</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eastAsia" w:ascii="仿宋_GB2312" w:hAnsi="ˎ̥" w:eastAsia="仿宋_GB2312" w:cs="Times New Roman"/>
          <w:sz w:val="32"/>
          <w:szCs w:val="32"/>
        </w:rPr>
        <w:t>住房保障支出</w:t>
      </w:r>
      <w:r>
        <w:rPr>
          <w:rFonts w:hint="eastAsia" w:ascii="仿宋_GB2312" w:hAnsi="ˎ̥" w:eastAsia="仿宋_GB2312" w:cs="Times New Roman"/>
          <w:sz w:val="32"/>
          <w:szCs w:val="32"/>
          <w:lang w:val="en-US" w:eastAsia="zh-CN"/>
        </w:rPr>
        <w:t>65.56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4.60</w:t>
      </w:r>
      <w:r>
        <w:rPr>
          <w:rFonts w:hint="eastAsia" w:ascii="仿宋_GB2312" w:hAnsi="ˎ̥" w:eastAsia="仿宋_GB2312" w:cs="Times New Roman"/>
          <w:sz w:val="32"/>
          <w:szCs w:val="32"/>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pPr>
      <w:r>
        <w:rPr>
          <w:rFonts w:hint="eastAsia" w:ascii="仿宋_GB2312" w:hAnsi="??" w:eastAsia="仿宋_GB2312"/>
          <w:sz w:val="32"/>
          <w:szCs w:val="32"/>
        </w:rPr>
        <w:t>2022年度收入总计2845.22万元，支出总计2845.22万元</w:t>
      </w:r>
      <w:bookmarkStart w:id="117" w:name="_GoBack"/>
      <w:bookmarkEnd w:id="117"/>
      <w:r>
        <w:rPr>
          <w:rFonts w:hint="eastAsia" w:ascii="仿宋_GB2312" w:hAnsi="ˎ̥" w:eastAsia="仿宋_GB2312" w:cs="Times New Roman"/>
          <w:sz w:val="32"/>
          <w:szCs w:val="32"/>
        </w:rPr>
        <w:t>。与20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年度相比，财政拨款收入总计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131.89</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9.27</w:t>
      </w:r>
      <w:r>
        <w:rPr>
          <w:rFonts w:hint="eastAsia" w:ascii="仿宋_GB2312" w:hAnsi="ˎ̥" w:eastAsia="仿宋_GB2312" w:cs="Times New Roman"/>
          <w:sz w:val="32"/>
          <w:szCs w:val="32"/>
        </w:rPr>
        <w:t>%。支出总计</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123.16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8.65</w:t>
      </w:r>
      <w:r>
        <w:rPr>
          <w:rFonts w:hint="eastAsia" w:ascii="仿宋_GB2312" w:hAnsi="ˎ̥" w:eastAsia="仿宋_GB2312" w:cs="Times New Roman"/>
          <w:sz w:val="32"/>
          <w:szCs w:val="32"/>
        </w:rPr>
        <w:t>%</w:t>
      </w:r>
      <w:r>
        <w:rPr>
          <w:rFonts w:hint="eastAsia" w:ascii="仿宋_GB2312" w:hAnsi="ˎ̥" w:eastAsia="仿宋_GB2312" w:cs="Times New Roman"/>
          <w:sz w:val="32"/>
          <w:szCs w:val="32"/>
          <w:lang w:eastAsia="zh-CN"/>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w:t>
      </w:r>
      <w:r>
        <w:rPr>
          <w:rFonts w:hint="eastAsia" w:ascii="仿宋_GB2312" w:hAnsi="ˎ̥" w:eastAsia="仿宋_GB2312"/>
          <w:color w:val="000000" w:themeColor="text1"/>
          <w:sz w:val="32"/>
          <w:szCs w:val="32"/>
          <w:highlight w:val="none"/>
          <w14:textFill>
            <w14:solidFill>
              <w14:schemeClr w14:val="tx1"/>
            </w14:solidFill>
          </w14:textFill>
        </w:rPr>
        <w:t>人员增加、工资福利支出增加</w:t>
      </w:r>
      <w:r>
        <w:rPr>
          <w:rFonts w:hint="eastAsia" w:ascii="仿宋_GB2312" w:hAnsi="ˎ̥" w:eastAsia="仿宋_GB2312" w:cs="Times New Roman"/>
          <w:color w:val="000000" w:themeColor="text1"/>
          <w:sz w:val="32"/>
          <w:szCs w:val="32"/>
          <w:highlight w:val="none"/>
          <w14:textFill>
            <w14:solidFill>
              <w14:schemeClr w14:val="tx1"/>
            </w14:solidFill>
          </w14:textFill>
        </w:rPr>
        <w:t>。财政拨款年初结转结余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万元，主要是教育支出，与20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年度决算数</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olor w:val="000000" w:themeColor="text1"/>
          <w:sz w:val="32"/>
          <w:szCs w:val="32"/>
          <w:highlight w:val="none"/>
          <w:lang w:val="en-US" w:eastAsia="zh-CN"/>
          <w14:textFill>
            <w14:solidFill>
              <w14:schemeClr w14:val="tx1"/>
            </w14:solidFill>
          </w14:textFill>
        </w:rPr>
        <w:t>30.36</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减少</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100</w:t>
      </w:r>
      <w:r>
        <w:rPr>
          <w:rFonts w:hint="eastAsia" w:ascii="仿宋_GB2312" w:hAnsi="ˎ̥" w:eastAsia="仿宋_GB2312" w:cs="Times New Roman"/>
          <w:color w:val="000000" w:themeColor="text1"/>
          <w:sz w:val="32"/>
          <w:szCs w:val="32"/>
          <w:highlight w:val="none"/>
          <w14:textFill>
            <w14:solidFill>
              <w14:schemeClr w14:val="tx1"/>
            </w14:solidFill>
          </w14:textFill>
        </w:rPr>
        <w:t>%</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olor w:val="000000" w:themeColor="text1"/>
          <w:sz w:val="32"/>
          <w:szCs w:val="32"/>
          <w:highlight w:val="none"/>
          <w14:textFill>
            <w14:solidFill>
              <w14:schemeClr w14:val="tx1"/>
            </w14:solidFill>
          </w14:textFill>
        </w:rPr>
        <w:t>人员增加，导致工资福利增加</w:t>
      </w:r>
      <w:r>
        <w:rPr>
          <w:rFonts w:hint="eastAsia" w:ascii="仿宋_GB2312" w:hAnsi="ˎ̥" w:eastAsia="仿宋_GB2312"/>
          <w:color w:val="000000" w:themeColor="text1"/>
          <w:sz w:val="32"/>
          <w:szCs w:val="32"/>
          <w:highlight w:val="none"/>
          <w:lang w:val="en-US" w:eastAsia="zh-CN"/>
          <w14:textFill>
            <w14:solidFill>
              <w14:schemeClr w14:val="tx1"/>
            </w14:solidFill>
          </w14:textFill>
        </w:rPr>
        <w:t>。</w:t>
      </w:r>
    </w:p>
    <w:p>
      <w:pPr>
        <w:ind w:firstLine="640" w:firstLineChars="200"/>
        <w:rPr>
          <w:rFonts w:ascii="仿宋_GB2312" w:hAnsi="ˎ̥" w:eastAsia="仿宋_GB2312" w:cs="Times New Roman"/>
          <w:color w:val="000000" w:themeColor="text1"/>
          <w:sz w:val="32"/>
          <w:szCs w:val="32"/>
          <w:highlight w:val="none"/>
          <w14:textFill>
            <w14:solidFill>
              <w14:schemeClr w14:val="tx1"/>
            </w14:solidFill>
          </w14:textFill>
        </w:rPr>
      </w:pPr>
      <w:r>
        <w:rPr>
          <w:rFonts w:hint="eastAsia" w:ascii="仿宋_GB2312" w:hAnsi="ˎ̥" w:eastAsia="仿宋_GB2312" w:cs="Times New Roman"/>
          <w:color w:val="000000" w:themeColor="text1"/>
          <w:sz w:val="32"/>
          <w:szCs w:val="32"/>
          <w:highlight w:val="none"/>
          <w14:textFill>
            <w14:solidFill>
              <w14:schemeClr w14:val="tx1"/>
            </w14:solidFill>
          </w14:textFill>
        </w:rPr>
        <w:t>财政拨款年末结转结余</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0</w:t>
      </w:r>
      <w:r>
        <w:rPr>
          <w:rFonts w:hint="eastAsia" w:ascii="仿宋_GB2312" w:hAnsi="ˎ̥" w:eastAsia="仿宋_GB2312" w:cs="Times New Roman"/>
          <w:color w:val="000000" w:themeColor="text1"/>
          <w:sz w:val="32"/>
          <w:szCs w:val="32"/>
          <w:highlight w:val="none"/>
          <w14:textFill>
            <w14:solidFill>
              <w14:schemeClr w14:val="tx1"/>
            </w14:solidFill>
          </w14:textFill>
        </w:rPr>
        <w:t>万元，主要是教育支出，</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与</w:t>
      </w:r>
      <w:r>
        <w:rPr>
          <w:rFonts w:hint="eastAsia" w:ascii="仿宋_GB2312" w:hAnsi="ˎ̥" w:eastAsia="仿宋_GB2312" w:cs="Times New Roman"/>
          <w:color w:val="000000" w:themeColor="text1"/>
          <w:sz w:val="32"/>
          <w:szCs w:val="32"/>
          <w:highlight w:val="none"/>
          <w14:textFill>
            <w14:solidFill>
              <w14:schemeClr w14:val="tx1"/>
            </w14:solidFill>
          </w14:textFill>
        </w:rPr>
        <w:t>20</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w:t>
      </w:r>
      <w:r>
        <w:rPr>
          <w:rFonts w:hint="eastAsia" w:ascii="仿宋_GB2312" w:hAnsi="ˎ̥" w:eastAsia="仿宋_GB2312" w:cs="Times New Roman"/>
          <w:color w:val="000000" w:themeColor="text1"/>
          <w:sz w:val="32"/>
          <w:szCs w:val="32"/>
          <w:highlight w:val="none"/>
          <w14:textFill>
            <w14:solidFill>
              <w14:schemeClr w14:val="tx1"/>
            </w14:solidFill>
          </w14:textFill>
        </w:rPr>
        <w:t>年度年末决算数</w:t>
      </w:r>
      <w:r>
        <w:rPr>
          <w:rFonts w:hint="eastAsia" w:ascii="仿宋_GB2312" w:hAnsi="ˎ̥" w:eastAsia="仿宋_GB2312"/>
          <w:color w:val="000000" w:themeColor="text1"/>
          <w:sz w:val="32"/>
          <w:szCs w:val="32"/>
          <w:highlight w:val="none"/>
          <w14:textFill>
            <w14:solidFill>
              <w14:schemeClr w14:val="tx1"/>
            </w14:solidFill>
          </w14:textFill>
        </w:rPr>
        <w:t>增加</w:t>
      </w:r>
      <w:r>
        <w:rPr>
          <w:rFonts w:hint="eastAsia" w:ascii="仿宋_GB2312" w:hAnsi="ˎ̥" w:eastAsia="仿宋_GB2312" w:cs="Times New Roman"/>
          <w:color w:val="000000" w:themeColor="text1"/>
          <w:sz w:val="32"/>
          <w:szCs w:val="32"/>
          <w:highlight w:val="none"/>
          <w:lang w:val="en-US" w:eastAsia="zh-CN"/>
          <w14:textFill>
            <w14:solidFill>
              <w14:schemeClr w14:val="tx1"/>
            </w14:solidFill>
          </w14:textFill>
        </w:rPr>
        <w:t>21.63</w:t>
      </w:r>
      <w:r>
        <w:rPr>
          <w:rFonts w:hint="eastAsia" w:ascii="仿宋_GB2312" w:hAnsi="ˎ̥" w:eastAsia="仿宋_GB2312" w:cs="Times New Roman"/>
          <w:color w:val="000000" w:themeColor="text1"/>
          <w:sz w:val="32"/>
          <w:szCs w:val="32"/>
          <w:highlight w:val="none"/>
          <w14:textFill>
            <w14:solidFill>
              <w14:schemeClr w14:val="tx1"/>
            </w14:solidFill>
          </w14:textFill>
        </w:rPr>
        <w:t>万元，</w:t>
      </w:r>
      <w:r>
        <w:rPr>
          <w:rFonts w:hint="eastAsia" w:ascii="仿宋_GB2312" w:hAnsi="ˎ̥" w:eastAsia="仿宋_GB2312"/>
          <w:color w:val="000000" w:themeColor="text1"/>
          <w:sz w:val="32"/>
          <w:szCs w:val="32"/>
          <w:highlight w:val="none"/>
          <w14:textFill>
            <w14:solidFill>
              <w14:schemeClr w14:val="tx1"/>
            </w14:solidFill>
          </w14:textFill>
        </w:rPr>
        <w:t>增长持平</w:t>
      </w:r>
      <w:r>
        <w:rPr>
          <w:rFonts w:hint="eastAsia" w:ascii="仿宋_GB2312" w:hAnsi="ˎ̥" w:eastAsia="仿宋_GB2312" w:cs="Times New Roman"/>
          <w:color w:val="000000" w:themeColor="text1"/>
          <w:sz w:val="32"/>
          <w:szCs w:val="32"/>
          <w:highlight w:val="none"/>
          <w:lang w:eastAsia="zh-CN"/>
          <w14:textFill>
            <w14:solidFill>
              <w14:schemeClr w14:val="tx1"/>
            </w14:solidFill>
          </w14:textFill>
        </w:rPr>
        <w:t>，</w:t>
      </w:r>
      <w:r>
        <w:rPr>
          <w:rFonts w:hint="default" w:ascii="仿宋_GB2312" w:hAnsi="ˎ̥" w:eastAsia="仿宋_GB2312" w:cs="仿宋_GB2312"/>
          <w:color w:val="000000" w:themeColor="text1"/>
          <w:sz w:val="32"/>
          <w:szCs w:val="32"/>
          <w:highlight w:val="none"/>
          <w14:textFill>
            <w14:solidFill>
              <w14:schemeClr w14:val="tx1"/>
            </w14:solidFill>
          </w14:textFill>
        </w:rPr>
        <w:t>主要原因是</w:t>
      </w:r>
      <w:r>
        <w:rPr>
          <w:rFonts w:hint="eastAsia" w:ascii="仿宋_GB2312" w:hAnsi="ˎ̥" w:eastAsia="仿宋_GB2312" w:cs="仿宋_GB2312"/>
          <w:color w:val="000000" w:themeColor="text1"/>
          <w:sz w:val="32"/>
          <w:szCs w:val="32"/>
          <w:highlight w:val="none"/>
          <w:lang w:val="en-US" w:eastAsia="zh-CN"/>
          <w14:textFill>
            <w14:solidFill>
              <w14:schemeClr w14:val="tx1"/>
            </w14:solidFill>
          </w14:textFill>
        </w:rPr>
        <w:t>无</w:t>
      </w:r>
      <w:r>
        <w:rPr>
          <w:rFonts w:hint="eastAsia" w:ascii="仿宋_GB2312" w:hAnsi="ˎ̥" w:eastAsia="仿宋_GB2312" w:cs="Times New Roman"/>
          <w:color w:val="000000" w:themeColor="text1"/>
          <w:sz w:val="32"/>
          <w:szCs w:val="32"/>
          <w:highlight w:val="none"/>
          <w14:textFill>
            <w14:solidFill>
              <w14:schemeClr w14:val="tx1"/>
            </w14:solidFill>
          </w14:textFill>
        </w:rPr>
        <w:t>年末结转结余</w:t>
      </w:r>
      <w:r>
        <w:rPr>
          <w:rFonts w:hint="eastAsia" w:ascii="仿宋_GB2312" w:hAnsi="??" w:eastAsia="仿宋_GB2312"/>
          <w:color w:val="000000" w:themeColor="text1"/>
          <w:sz w:val="32"/>
          <w:szCs w:val="32"/>
          <w:highlight w:val="none"/>
          <w14:textFill>
            <w14:solidFill>
              <w14:schemeClr w14:val="tx1"/>
            </w14:solidFill>
          </w14:textFill>
        </w:rPr>
        <w:t>。</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3005_WPSOffice_Level2"/>
      <w:bookmarkStart w:id="84" w:name="_Toc19665_WPSOffice_Level2"/>
      <w:bookmarkStart w:id="85" w:name="_Toc9989_WPSOffice_Level2"/>
      <w:bookmarkStart w:id="86" w:name="_Toc21737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万元，占本年支出合计的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年度相比，一般公共预算财政拨款支出</w:t>
      </w:r>
      <w:r>
        <w:rPr>
          <w:rFonts w:hint="eastAsia" w:ascii="仿宋_GB2312" w:hAnsi="ˎ̥" w:eastAsia="仿宋_GB2312" w:cs="Times New Roman"/>
          <w:sz w:val="32"/>
          <w:szCs w:val="32"/>
          <w:lang w:eastAsia="zh-CN"/>
        </w:rPr>
        <w:t>增加</w:t>
      </w:r>
      <w:r>
        <w:rPr>
          <w:rFonts w:hint="eastAsia" w:ascii="仿宋_GB2312" w:hAnsi="ˎ̥" w:eastAsia="仿宋_GB2312" w:cs="Times New Roman"/>
          <w:sz w:val="32"/>
          <w:szCs w:val="32"/>
          <w:lang w:val="en-US" w:eastAsia="zh-CN"/>
        </w:rPr>
        <w:t>123.16</w:t>
      </w:r>
      <w:r>
        <w:rPr>
          <w:rFonts w:hint="eastAsia" w:ascii="仿宋_GB2312" w:hAnsi="ˎ̥" w:eastAsia="仿宋_GB2312" w:cs="Times New Roman"/>
          <w:sz w:val="32"/>
          <w:szCs w:val="32"/>
        </w:rPr>
        <w:t>万元，</w:t>
      </w:r>
      <w:r>
        <w:rPr>
          <w:rFonts w:hint="eastAsia" w:ascii="仿宋_GB2312" w:hAnsi="ˎ̥" w:eastAsia="仿宋_GB2312" w:cs="Times New Roman"/>
          <w:sz w:val="32"/>
          <w:szCs w:val="32"/>
          <w:lang w:eastAsia="zh-CN"/>
        </w:rPr>
        <w:t>上升</w:t>
      </w:r>
      <w:r>
        <w:rPr>
          <w:rFonts w:hint="eastAsia" w:ascii="仿宋_GB2312" w:hAnsi="ˎ̥" w:eastAsia="仿宋_GB2312" w:cs="Times New Roman"/>
          <w:sz w:val="32"/>
          <w:szCs w:val="32"/>
          <w:lang w:val="en-US" w:eastAsia="zh-CN"/>
        </w:rPr>
        <w:t>8.65</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19075_WPSOffice_Level2"/>
      <w:bookmarkStart w:id="90" w:name="_Toc23864_WPSOffice_Level2"/>
      <w:bookmarkStart w:id="91" w:name="_Toc27767_WPSOffice_Level2"/>
      <w:bookmarkStart w:id="92" w:name="_Toc19535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万元，主要用于以下方面：</w:t>
      </w:r>
      <w:r>
        <w:rPr>
          <w:rFonts w:hint="eastAsia" w:ascii="仿宋_GB2312" w:hAnsi="ˎ̥" w:eastAsia="仿宋_GB2312" w:cs="Times New Roman"/>
          <w:b/>
          <w:sz w:val="32"/>
          <w:szCs w:val="32"/>
        </w:rPr>
        <w:t>教育（类）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1050.82</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73.87</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140.77</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9.9</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住房保障（类）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165.45</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11.63</w:t>
      </w:r>
      <w:r>
        <w:rPr>
          <w:rFonts w:hint="eastAsia" w:ascii="仿宋_GB2312" w:hAnsi="ˎ̥" w:eastAsia="仿宋_GB2312" w:cs="Times New Roman"/>
          <w:sz w:val="32"/>
          <w:szCs w:val="32"/>
        </w:rPr>
        <w:t>%；</w:t>
      </w:r>
      <w:r>
        <w:rPr>
          <w:rFonts w:hint="eastAsia" w:ascii="仿宋_GB2312" w:hAnsi="ˎ̥" w:eastAsia="仿宋_GB2312" w:cs="Times New Roman"/>
          <w:b/>
          <w:bCs/>
          <w:sz w:val="32"/>
          <w:szCs w:val="32"/>
        </w:rPr>
        <w:t>卫生健康（类）</w:t>
      </w:r>
      <w:r>
        <w:rPr>
          <w:rFonts w:hint="eastAsia" w:ascii="仿宋_GB2312" w:hAnsi="ˎ̥" w:eastAsia="仿宋_GB2312" w:cs="Times New Roman"/>
          <w:sz w:val="32"/>
          <w:szCs w:val="32"/>
        </w:rPr>
        <w:t>支出</w:t>
      </w:r>
      <w:r>
        <w:rPr>
          <w:rFonts w:hint="eastAsia" w:ascii="仿宋_GB2312" w:hAnsi="ˎ̥" w:eastAsia="仿宋_GB2312" w:cs="Times New Roman"/>
          <w:sz w:val="32"/>
          <w:szCs w:val="32"/>
          <w:lang w:val="en-US" w:eastAsia="zh-CN"/>
        </w:rPr>
        <w:t>65.56</w:t>
      </w:r>
      <w:r>
        <w:rPr>
          <w:rFonts w:hint="eastAsia" w:ascii="仿宋_GB2312" w:hAnsi="ˎ̥" w:eastAsia="仿宋_GB2312" w:cs="Times New Roman"/>
          <w:sz w:val="32"/>
          <w:szCs w:val="32"/>
        </w:rPr>
        <w:t>万元，占</w:t>
      </w:r>
      <w:r>
        <w:rPr>
          <w:rFonts w:hint="eastAsia" w:ascii="仿宋_GB2312" w:hAnsi="ˎ̥" w:eastAsia="仿宋_GB2312" w:cs="Times New Roman"/>
          <w:sz w:val="32"/>
          <w:szCs w:val="32"/>
          <w:lang w:val="en-US" w:eastAsia="zh-CN"/>
        </w:rPr>
        <w:t>4.6</w:t>
      </w:r>
      <w:r>
        <w:rPr>
          <w:rFonts w:hint="eastAsia" w:ascii="仿宋_GB2312" w:hAnsi="ˎ̥" w:eastAsia="仿宋_GB2312" w:cs="Times New Roman"/>
          <w:sz w:val="32"/>
          <w:szCs w:val="32"/>
        </w:rPr>
        <w:t>%。</w:t>
      </w:r>
    </w:p>
    <w:p>
      <w:pPr>
        <w:ind w:firstLine="640" w:firstLineChars="200"/>
        <w:rPr>
          <w:rFonts w:ascii="楷体" w:hAnsi="楷体" w:eastAsia="楷体" w:cs="楷体"/>
          <w:sz w:val="32"/>
          <w:szCs w:val="32"/>
        </w:rPr>
      </w:pPr>
      <w:bookmarkStart w:id="93" w:name="_Toc25136_WPSOffice_Level2"/>
      <w:bookmarkStart w:id="94" w:name="_Toc15415_WPSOffice_Level2"/>
      <w:bookmarkStart w:id="95" w:name="_Toc9502_WPSOffice_Level2"/>
      <w:bookmarkStart w:id="96" w:name="_Toc21701_WPSOffice_Level2"/>
      <w:bookmarkStart w:id="97" w:name="_Toc29364_WPSOffice_Level2"/>
      <w:bookmarkStart w:id="98" w:name="_Toc22318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年度一般公共预算财政拨款支出年初预算为</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1422.61</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%。其中：</w:t>
      </w:r>
    </w:p>
    <w:p>
      <w:pPr>
        <w:ind w:firstLine="640" w:firstLineChars="200"/>
        <w:rPr>
          <w:rFonts w:ascii="仿宋_GB2312" w:hAnsi="ˎ̥" w:eastAsia="仿宋_GB2312" w:cs="Times New Roman"/>
          <w:b/>
          <w:sz w:val="32"/>
          <w:szCs w:val="32"/>
        </w:rPr>
      </w:pPr>
      <w:r>
        <w:rPr>
          <w:rFonts w:hint="eastAsia" w:ascii="仿宋_GB2312" w:hAnsi="ˎ̥" w:eastAsia="仿宋_GB2312" w:cs="Times New Roman"/>
          <w:sz w:val="32"/>
          <w:szCs w:val="32"/>
        </w:rPr>
        <w:t>1.</w:t>
      </w:r>
      <w:r>
        <w:rPr>
          <w:rFonts w:hint="eastAsia" w:ascii="仿宋_GB2312" w:hAnsi="ˎ̥" w:eastAsia="仿宋_GB2312" w:cs="Times New Roman"/>
          <w:b/>
          <w:sz w:val="32"/>
          <w:szCs w:val="32"/>
        </w:rPr>
        <w:t>教育（类）普通教育（款）小学教育（项）。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1050.82</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1050.82</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w:t>
      </w:r>
      <w:r>
        <w:rPr>
          <w:rFonts w:hint="eastAsia" w:ascii="仿宋_GB2312" w:hAnsi="ˎ̥" w:eastAsia="仿宋_GB2312" w:cs="Times New Roman"/>
          <w:b/>
          <w:sz w:val="32"/>
          <w:szCs w:val="32"/>
        </w:rPr>
        <w:t>社会保障和就业（类）</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140.77</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140.77</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3</w:t>
      </w:r>
      <w:r>
        <w:rPr>
          <w:rFonts w:hint="eastAsia" w:ascii="仿宋_GB2312" w:hAnsi="ˎ̥" w:eastAsia="仿宋_GB2312" w:cs="Times New Roman"/>
          <w:sz w:val="32"/>
          <w:szCs w:val="32"/>
        </w:rPr>
        <w:t>.</w:t>
      </w:r>
      <w:r>
        <w:rPr>
          <w:rFonts w:hint="eastAsia" w:ascii="仿宋_GB2312" w:hAnsi="ˎ̥" w:eastAsia="仿宋_GB2312" w:cs="Times New Roman"/>
          <w:b/>
          <w:sz w:val="32"/>
          <w:szCs w:val="32"/>
        </w:rPr>
        <w:t>卫生健康（类）行政事业单位医疗（款）</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165.45</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165.45</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lang w:val="en-US" w:eastAsia="zh-CN"/>
        </w:rPr>
        <w:t>4</w:t>
      </w:r>
      <w:r>
        <w:rPr>
          <w:rFonts w:hint="eastAsia" w:ascii="仿宋_GB2312" w:hAnsi="ˎ̥" w:eastAsia="仿宋_GB2312" w:cs="Times New Roman"/>
          <w:sz w:val="32"/>
          <w:szCs w:val="32"/>
        </w:rPr>
        <w:t>.</w:t>
      </w:r>
      <w:r>
        <w:rPr>
          <w:rFonts w:hint="eastAsia" w:ascii="仿宋_GB2312" w:hAnsi="ˎ̥" w:eastAsia="仿宋_GB2312" w:cs="Times New Roman"/>
          <w:b/>
          <w:sz w:val="32"/>
          <w:szCs w:val="32"/>
        </w:rPr>
        <w:t>住房保障（类）住房改革支出（款）住房公积金（项）。</w:t>
      </w:r>
    </w:p>
    <w:p>
      <w:pPr>
        <w:rPr>
          <w:rFonts w:ascii="仿宋_GB2312" w:hAnsi="ˎ̥" w:eastAsia="仿宋_GB2312" w:cs="Times New Roman"/>
          <w:sz w:val="32"/>
          <w:szCs w:val="32"/>
        </w:rPr>
      </w:pPr>
      <w:r>
        <w:rPr>
          <w:rFonts w:hint="eastAsia" w:ascii="仿宋_GB2312" w:hAnsi="ˎ̥" w:eastAsia="仿宋_GB2312" w:cs="Times New Roman"/>
          <w:sz w:val="32"/>
          <w:szCs w:val="32"/>
        </w:rPr>
        <w:t>年初预算为</w:t>
      </w:r>
      <w:r>
        <w:rPr>
          <w:rFonts w:hint="eastAsia" w:ascii="仿宋_GB2312" w:hAnsi="ˎ̥" w:eastAsia="仿宋_GB2312" w:cs="Times New Roman"/>
          <w:sz w:val="32"/>
          <w:szCs w:val="32"/>
          <w:lang w:val="en-US" w:eastAsia="zh-CN"/>
        </w:rPr>
        <w:t>65.56</w:t>
      </w:r>
      <w:r>
        <w:rPr>
          <w:rFonts w:hint="eastAsia" w:ascii="仿宋_GB2312" w:hAnsi="ˎ̥" w:eastAsia="仿宋_GB2312" w:cs="Times New Roman"/>
          <w:sz w:val="32"/>
          <w:szCs w:val="32"/>
        </w:rPr>
        <w:t>万元，支出决算为</w:t>
      </w:r>
      <w:r>
        <w:rPr>
          <w:rFonts w:hint="eastAsia" w:ascii="仿宋_GB2312" w:hAnsi="ˎ̥" w:eastAsia="仿宋_GB2312" w:cs="Times New Roman"/>
          <w:sz w:val="32"/>
          <w:szCs w:val="32"/>
          <w:lang w:val="en-US" w:eastAsia="zh-CN"/>
        </w:rPr>
        <w:t>65.56</w:t>
      </w:r>
      <w:r>
        <w:rPr>
          <w:rFonts w:hint="eastAsia" w:ascii="仿宋_GB2312" w:hAnsi="ˎ̥" w:eastAsia="仿宋_GB2312" w:cs="Times New Roman"/>
          <w:sz w:val="32"/>
          <w:szCs w:val="32"/>
        </w:rPr>
        <w:t>万元，完成年初预算的</w:t>
      </w:r>
      <w:r>
        <w:rPr>
          <w:rFonts w:hint="eastAsia" w:ascii="仿宋_GB2312" w:hAnsi="ˎ̥" w:eastAsia="仿宋_GB2312" w:cs="Times New Roman"/>
          <w:sz w:val="32"/>
          <w:szCs w:val="32"/>
          <w:lang w:val="en-US" w:eastAsia="zh-CN"/>
        </w:rPr>
        <w:t>100</w:t>
      </w:r>
      <w:r>
        <w:rPr>
          <w:rFonts w:hint="eastAsia" w:ascii="仿宋_GB2312" w:hAnsi="ˎ̥" w:eastAsia="仿宋_GB2312" w:cs="Times New Roman"/>
          <w:sz w:val="32"/>
          <w:szCs w:val="32"/>
        </w:rPr>
        <w:t>%。</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年度财政拨款基本支出</w:t>
      </w:r>
      <w:r>
        <w:rPr>
          <w:rFonts w:hint="eastAsia" w:ascii="仿宋_GB2312" w:hAnsi="ˎ̥" w:eastAsia="仿宋_GB2312" w:cs="Times New Roman"/>
          <w:sz w:val="32"/>
          <w:szCs w:val="32"/>
          <w:lang w:val="en-US" w:eastAsia="zh-CN"/>
        </w:rPr>
        <w:t>1163.99</w:t>
      </w:r>
      <w:r>
        <w:rPr>
          <w:rFonts w:hint="eastAsia" w:ascii="仿宋_GB2312" w:hAnsi="ˎ̥" w:eastAsia="仿宋_GB2312" w:cs="Times New Roman"/>
          <w:sz w:val="32"/>
          <w:szCs w:val="32"/>
        </w:rPr>
        <w:t>万元，其中：人员经费</w:t>
      </w:r>
      <w:r>
        <w:rPr>
          <w:rFonts w:hint="eastAsia" w:ascii="仿宋_GB2312" w:hAnsi="ˎ̥" w:eastAsia="仿宋_GB2312" w:cs="Times New Roman"/>
          <w:sz w:val="32"/>
          <w:szCs w:val="32"/>
          <w:lang w:val="en-US" w:eastAsia="zh-CN"/>
        </w:rPr>
        <w:t>1133.68</w:t>
      </w:r>
      <w:r>
        <w:rPr>
          <w:rFonts w:hint="eastAsia" w:ascii="仿宋_GB2312" w:hAnsi="ˎ̥" w:eastAsia="仿宋_GB2312" w:cs="Times New Roman"/>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sz w:val="32"/>
          <w:szCs w:val="32"/>
          <w:lang w:val="en-US" w:eastAsia="zh-CN"/>
        </w:rPr>
        <w:t>30.31</w:t>
      </w:r>
      <w:r>
        <w:rPr>
          <w:rFonts w:hint="eastAsia" w:ascii="仿宋_GB2312" w:hAnsi="ˎ̥" w:eastAsia="仿宋_GB2312" w:cs="Times New Roman"/>
          <w:sz w:val="32"/>
          <w:szCs w:val="32"/>
        </w:rPr>
        <w:t>万元，主要包括：邮电费、工会经费、其他商品和服务支出。</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（一）政府性基金预算财政拨款支出决算总体情况。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年度政府性基金预算财政拨款支出0万元，占本年支出合计的0%。与20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年度相比，政府性基金预算财政拨款支出增加0万元，增长0%，主要原因是没有该项预算。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（二）政府性基金预算财政拨款支出决算结构情况。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（三）政府性基金预算财政拨款支出决算具体情况。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w:t>
      </w:r>
      <w:r>
        <w:rPr>
          <w:rFonts w:hint="eastAsia" w:ascii="仿宋_GB2312" w:hAnsi="ˎ̥" w:eastAsia="仿宋_GB2312" w:cs="Times New Roman"/>
          <w:sz w:val="32"/>
          <w:szCs w:val="32"/>
          <w:lang w:val="en-US" w:eastAsia="zh-CN"/>
        </w:rPr>
        <w:t>22</w:t>
      </w:r>
      <w:r>
        <w:rPr>
          <w:rFonts w:hint="eastAsia" w:ascii="仿宋_GB2312" w:hAnsi="ˎ̥" w:eastAsia="仿宋_GB2312" w:cs="Times New Roman"/>
          <w:sz w:val="32"/>
          <w:szCs w:val="32"/>
        </w:rPr>
        <w:t>年度国有资本经营预算财政拨款支出0万元，占本年支出合计的0%。与20</w:t>
      </w:r>
      <w:r>
        <w:rPr>
          <w:rFonts w:hint="eastAsia" w:ascii="仿宋_GB2312" w:hAnsi="ˎ̥" w:eastAsia="仿宋_GB2312" w:cs="Times New Roman"/>
          <w:sz w:val="32"/>
          <w:szCs w:val="32"/>
          <w:lang w:val="en-US" w:eastAsia="zh-CN"/>
        </w:rPr>
        <w:t>21</w:t>
      </w:r>
      <w:r>
        <w:rPr>
          <w:rFonts w:hint="eastAsia" w:ascii="仿宋_GB2312" w:hAnsi="ˎ̥" w:eastAsia="仿宋_GB2312" w:cs="Times New Roman"/>
          <w:sz w:val="32"/>
          <w:szCs w:val="32"/>
        </w:rPr>
        <w:t>年度相比，国有资本经营预算财政拨款支出增加0万元，增长0%，主要原因是没有该项预算。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202</w:t>
      </w:r>
      <w:r>
        <w:rPr>
          <w:rFonts w:hint="eastAsia" w:ascii="仿宋_GB2312" w:hAnsi="ˎ̥" w:eastAsia="仿宋_GB2312" w:cs="Times New Roman"/>
          <w:sz w:val="32"/>
          <w:szCs w:val="32"/>
          <w:lang w:val="en-US" w:eastAsia="zh-CN"/>
        </w:rPr>
        <w:t>2</w:t>
      </w:r>
      <w:r>
        <w:rPr>
          <w:rFonts w:hint="eastAsia" w:ascii="仿宋_GB2312" w:hAnsi="ˎ̥" w:eastAsia="仿宋_GB2312" w:cs="Times New Roman"/>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color w:val="auto"/>
          <w:sz w:val="32"/>
          <w:szCs w:val="32"/>
        </w:rPr>
      </w:pPr>
      <w:r>
        <w:rPr>
          <w:rFonts w:hint="eastAsia" w:ascii="楷体" w:hAnsi="楷体" w:eastAsia="楷体" w:cs="楷体"/>
          <w:b/>
          <w:color w:val="auto"/>
          <w:sz w:val="32"/>
          <w:szCs w:val="32"/>
        </w:rPr>
        <w:t>（一）一般公共预算财政拨款“三公”经费支出决算总体情况说明。</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 xml:space="preserve">    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年度一般公共预算财政拨款“三公”经费支出预算为0万元，支出决算为0万元，</w:t>
      </w:r>
      <w:r>
        <w:rPr>
          <w:rFonts w:hint="eastAsia" w:ascii="仿宋_GB2312" w:hAnsi="ˎ̥" w:eastAsia="仿宋_GB2312"/>
          <w:color w:val="auto"/>
          <w:sz w:val="32"/>
          <w:szCs w:val="32"/>
          <w:lang w:val="zh-CN"/>
        </w:rPr>
        <w:t>与预算数持平</w:t>
      </w:r>
      <w:r>
        <w:rPr>
          <w:rFonts w:hint="eastAsia" w:ascii="仿宋_GB2312" w:hAnsi="ˎ̥" w:eastAsia="仿宋_GB2312" w:cs="Times New Roman"/>
          <w:color w:val="auto"/>
          <w:sz w:val="32"/>
          <w:szCs w:val="32"/>
        </w:rPr>
        <w:t>。</w:t>
      </w:r>
    </w:p>
    <w:p>
      <w:pPr>
        <w:rPr>
          <w:rFonts w:ascii="楷体" w:hAnsi="楷体" w:eastAsia="楷体" w:cs="楷体"/>
          <w:b/>
          <w:bCs/>
          <w:color w:val="auto"/>
          <w:sz w:val="32"/>
          <w:szCs w:val="32"/>
        </w:rPr>
      </w:pPr>
      <w:r>
        <w:rPr>
          <w:rFonts w:hint="eastAsia" w:ascii="楷体" w:hAnsi="楷体" w:eastAsia="楷体" w:cs="楷体"/>
          <w:b/>
          <w:bCs/>
          <w:color w:val="auto"/>
          <w:sz w:val="32"/>
          <w:szCs w:val="32"/>
        </w:rPr>
        <w:t xml:space="preserve">    （二）一般公共预算财政拨款“三公”经费支出决算具体情况说明。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1.因公出国（境）费</w:t>
      </w:r>
      <w:r>
        <w:rPr>
          <w:rFonts w:hint="eastAsia" w:ascii="仿宋_GB2312" w:hAnsi="ˎ̥" w:eastAsia="仿宋_GB2312" w:cs="Times New Roman"/>
          <w:color w:val="auto"/>
          <w:sz w:val="32"/>
          <w:szCs w:val="32"/>
        </w:rPr>
        <w:t>支出0万元。全年安排因公出国（境）团组0个，因公出国（境）0人次。</w:t>
      </w:r>
      <w:r>
        <w:rPr>
          <w:rFonts w:hint="eastAsia" w:ascii="仿宋_GB2312" w:hAnsi="ˎ̥" w:eastAsia="仿宋_GB2312"/>
          <w:color w:val="auto"/>
          <w:sz w:val="32"/>
          <w:szCs w:val="32"/>
        </w:rPr>
        <w:t>因公出国（境）费支出决算与预算数持平。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2.公务用车购置及运行费支出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公务用车购置支出</w:t>
      </w:r>
      <w:r>
        <w:rPr>
          <w:rFonts w:hint="eastAsia" w:ascii="仿宋_GB2312" w:hAnsi="ˎ̥" w:eastAsia="仿宋_GB2312" w:cs="Times New Roman"/>
          <w:color w:val="auto"/>
          <w:sz w:val="32"/>
          <w:szCs w:val="32"/>
        </w:rPr>
        <w:t>0万元，全年购置公务用车0辆，年末公务用车保有量0辆。</w:t>
      </w:r>
    </w:p>
    <w:p>
      <w:pPr>
        <w:ind w:firstLine="643" w:firstLineChars="200"/>
        <w:rPr>
          <w:rFonts w:hint="eastAsia"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公务用车运行维护费</w:t>
      </w:r>
      <w:r>
        <w:rPr>
          <w:rFonts w:hint="eastAsia" w:ascii="仿宋_GB2312" w:hAnsi="ˎ̥" w:eastAsia="仿宋_GB2312" w:cs="Times New Roman"/>
          <w:color w:val="auto"/>
          <w:sz w:val="32"/>
          <w:szCs w:val="32"/>
        </w:rPr>
        <w:t>支出0万元。</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公务用车购置及运行费支出决算与预算数持平。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3.公务接待费支出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国内接待费</w:t>
      </w:r>
      <w:r>
        <w:rPr>
          <w:rFonts w:hint="eastAsia" w:ascii="仿宋_GB2312" w:hAnsi="ˎ̥" w:eastAsia="仿宋_GB2312" w:cs="Times New Roman"/>
          <w:color w:val="auto"/>
          <w:sz w:val="32"/>
          <w:szCs w:val="32"/>
        </w:rPr>
        <w:t>支出0万元，国内公务接待0批次，接待0人次。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国（境）外接待费支出0万元，国（境）外公务接待0批次，接待0人次。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olor w:val="auto"/>
          <w:sz w:val="32"/>
          <w:szCs w:val="32"/>
          <w:lang w:val="zh-CN"/>
        </w:rPr>
        <w:t>公务接待费支出决算数与预算数持平。</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十、政府性基金预算财政拨款“三公”经费支出决算情况说明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十一、国有资本经营预算财政拨款“三公”经费支出决算情况说明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十二、预算绩效情况说明。</w:t>
      </w:r>
    </w:p>
    <w:p>
      <w:pPr>
        <w:spacing w:line="578" w:lineRule="exact"/>
        <w:ind w:firstLine="643" w:firstLineChars="200"/>
        <w:rPr>
          <w:rFonts w:ascii="楷体" w:hAnsi="楷体" w:eastAsia="楷体" w:cs="楷体"/>
          <w:b/>
          <w:color w:val="auto"/>
          <w:sz w:val="32"/>
          <w:szCs w:val="32"/>
        </w:rPr>
      </w:pPr>
      <w:r>
        <w:rPr>
          <w:rFonts w:hint="eastAsia" w:ascii="楷体" w:hAnsi="楷体" w:eastAsia="楷体" w:cs="楷体"/>
          <w:b/>
          <w:color w:val="auto"/>
          <w:sz w:val="32"/>
          <w:szCs w:val="32"/>
        </w:rPr>
        <w:t>（一）绩效管理工作开展情况。</w:t>
      </w:r>
    </w:p>
    <w:p>
      <w:pPr>
        <w:spacing w:line="578" w:lineRule="exact"/>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根据财政预算管理要求，三亚市天涯区</w:t>
      </w:r>
      <w:r>
        <w:rPr>
          <w:rFonts w:hint="eastAsia" w:ascii="仿宋_GB2312" w:hAnsi="Times New Roman" w:eastAsia="仿宋_GB2312" w:cs="Times New Roman"/>
          <w:color w:val="auto"/>
          <w:sz w:val="32"/>
          <w:szCs w:val="32"/>
          <w:lang w:eastAsia="zh-CN"/>
        </w:rPr>
        <w:t>凤凰</w:t>
      </w:r>
      <w:r>
        <w:rPr>
          <w:rFonts w:hint="eastAsia" w:ascii="仿宋_GB2312" w:hAnsi="Times New Roman" w:eastAsia="仿宋_GB2312" w:cs="Times New Roman"/>
          <w:color w:val="auto"/>
          <w:sz w:val="32"/>
          <w:szCs w:val="32"/>
        </w:rPr>
        <w:t>小学对202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年度一般公共预算项目支出全面开展绩效自评。自评项目</w:t>
      </w: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个，共涉及资金</w:t>
      </w:r>
      <w:r>
        <w:rPr>
          <w:rFonts w:hint="eastAsia" w:ascii="仿宋_GB2312" w:hAnsi="Times New Roman" w:eastAsia="仿宋_GB2312" w:cs="Times New Roman"/>
          <w:color w:val="auto"/>
          <w:sz w:val="32"/>
          <w:szCs w:val="32"/>
          <w:lang w:val="en-US" w:eastAsia="zh-CN"/>
        </w:rPr>
        <w:t>121.79</w:t>
      </w:r>
      <w:r>
        <w:rPr>
          <w:rFonts w:hint="eastAsia" w:ascii="仿宋_GB2312" w:hAnsi="Times New Roman" w:eastAsia="仿宋_GB2312" w:cs="Times New Roman"/>
          <w:color w:val="auto"/>
          <w:sz w:val="32"/>
          <w:szCs w:val="32"/>
        </w:rPr>
        <w:t>万元，自评覆盖率达到100%。</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共组织对“人才引进及师资队伍建设”、“教育教学管理及监督”、“公用经费”</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个项目开展了部门评价，涉及资金</w:t>
      </w:r>
      <w:r>
        <w:rPr>
          <w:rFonts w:hint="eastAsia" w:ascii="仿宋_GB2312" w:hAnsi="Times New Roman" w:eastAsia="仿宋_GB2312" w:cs="Times New Roman"/>
          <w:color w:val="auto"/>
          <w:sz w:val="32"/>
          <w:szCs w:val="32"/>
          <w:lang w:val="en-US" w:eastAsia="zh-CN"/>
        </w:rPr>
        <w:t>221.92</w:t>
      </w:r>
      <w:r>
        <w:rPr>
          <w:rFonts w:hint="eastAsia" w:ascii="仿宋_GB2312" w:hAnsi="Times New Roman" w:eastAsia="仿宋_GB2312" w:cs="Times New Roman"/>
          <w:color w:val="auto"/>
          <w:sz w:val="32"/>
          <w:szCs w:val="32"/>
        </w:rPr>
        <w:t>万元。</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开展整体支出绩效评价，涉及资金</w:t>
      </w:r>
      <w:r>
        <w:rPr>
          <w:rFonts w:hint="eastAsia" w:ascii="仿宋_GB2312" w:hAnsi="Times New Roman" w:eastAsia="仿宋_GB2312" w:cs="Times New Roman"/>
          <w:color w:val="auto"/>
          <w:sz w:val="32"/>
          <w:szCs w:val="32"/>
          <w:lang w:val="en-US" w:eastAsia="zh-CN"/>
        </w:rPr>
        <w:t>221.92</w:t>
      </w:r>
      <w:r>
        <w:rPr>
          <w:rFonts w:hint="eastAsia" w:ascii="仿宋_GB2312" w:hAnsi="Times New Roman" w:eastAsia="仿宋_GB2312" w:cs="Times New Roman"/>
          <w:color w:val="auto"/>
          <w:sz w:val="32"/>
          <w:szCs w:val="32"/>
        </w:rPr>
        <w:t>万元。</w:t>
      </w:r>
    </w:p>
    <w:p>
      <w:pPr>
        <w:numPr>
          <w:ilvl w:val="0"/>
          <w:numId w:val="2"/>
        </w:numPr>
        <w:spacing w:line="578" w:lineRule="exact"/>
        <w:ind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部门决算中项目绩效自评结果。</w:t>
      </w:r>
    </w:p>
    <w:p>
      <w:pPr>
        <w:spacing w:line="578" w:lineRule="exact"/>
        <w:ind w:firstLine="640" w:firstLineChars="200"/>
        <w:rPr>
          <w:rFonts w:hint="eastAsia" w:ascii="楷体" w:hAnsi="楷体" w:eastAsia="楷体" w:cs="楷体"/>
          <w:b/>
          <w:color w:val="auto"/>
          <w:sz w:val="32"/>
          <w:szCs w:val="32"/>
        </w:rPr>
      </w:pPr>
      <w:r>
        <w:rPr>
          <w:rFonts w:hint="eastAsia" w:ascii="仿宋_GB2312" w:hAnsi="Times New Roman" w:eastAsia="仿宋_GB2312" w:cs="Times New Roman"/>
          <w:color w:val="auto"/>
          <w:sz w:val="32"/>
          <w:szCs w:val="32"/>
        </w:rPr>
        <w:t>根据财政预算管理要求，三亚市天涯区</w:t>
      </w:r>
      <w:r>
        <w:rPr>
          <w:rFonts w:hint="eastAsia" w:ascii="仿宋_GB2312" w:hAnsi="Times New Roman" w:eastAsia="仿宋_GB2312" w:cs="Times New Roman"/>
          <w:color w:val="auto"/>
          <w:sz w:val="32"/>
          <w:szCs w:val="32"/>
          <w:lang w:eastAsia="zh-CN"/>
        </w:rPr>
        <w:t>凤凰</w:t>
      </w:r>
      <w:r>
        <w:rPr>
          <w:rFonts w:hint="eastAsia" w:ascii="仿宋_GB2312" w:hAnsi="Times New Roman" w:eastAsia="仿宋_GB2312" w:cs="Times New Roman"/>
          <w:color w:val="auto"/>
          <w:sz w:val="32"/>
          <w:szCs w:val="32"/>
        </w:rPr>
        <w:t>小学对202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年度一般公共预算项目支出全面开展绩效自评。自评项目</w:t>
      </w:r>
      <w:r>
        <w:rPr>
          <w:rFonts w:hint="eastAsia" w:ascii="仿宋_GB2312" w:hAnsi="Times New Roman" w:eastAsia="仿宋_GB2312" w:cs="Times New Roman"/>
          <w:color w:val="auto"/>
          <w:sz w:val="32"/>
          <w:szCs w:val="32"/>
          <w:lang w:val="en-US" w:eastAsia="zh-CN"/>
        </w:rPr>
        <w:t>6</w:t>
      </w:r>
      <w:r>
        <w:rPr>
          <w:rFonts w:hint="eastAsia" w:ascii="仿宋_GB2312" w:hAnsi="Times New Roman" w:eastAsia="仿宋_GB2312" w:cs="Times New Roman"/>
          <w:color w:val="auto"/>
          <w:sz w:val="32"/>
          <w:szCs w:val="32"/>
        </w:rPr>
        <w:t>个，共涉及资金</w:t>
      </w:r>
      <w:r>
        <w:rPr>
          <w:rFonts w:hint="eastAsia" w:ascii="仿宋_GB2312" w:hAnsi="Times New Roman" w:eastAsia="仿宋_GB2312" w:cs="Times New Roman"/>
          <w:color w:val="auto"/>
          <w:sz w:val="32"/>
          <w:szCs w:val="32"/>
          <w:lang w:val="en-US" w:eastAsia="zh-CN"/>
        </w:rPr>
        <w:t>221.92</w:t>
      </w:r>
      <w:r>
        <w:rPr>
          <w:rFonts w:hint="eastAsia" w:ascii="仿宋_GB2312" w:hAnsi="Times New Roman" w:eastAsia="仿宋_GB2312" w:cs="Times New Roman"/>
          <w:color w:val="auto"/>
          <w:sz w:val="32"/>
          <w:szCs w:val="32"/>
        </w:rPr>
        <w:t>万元，自评覆盖率达到100%。</w:t>
      </w:r>
    </w:p>
    <w:p>
      <w:pPr>
        <w:spacing w:line="578" w:lineRule="exact"/>
        <w:ind w:firstLine="643" w:firstLineChars="200"/>
        <w:rPr>
          <w:rFonts w:hint="eastAsia" w:ascii="楷体" w:hAnsi="楷体" w:eastAsia="楷体" w:cs="楷体"/>
          <w:b/>
          <w:color w:val="auto"/>
          <w:sz w:val="32"/>
          <w:szCs w:val="32"/>
          <w:lang w:val="en-US" w:eastAsia="zh-CN"/>
        </w:rPr>
      </w:pPr>
      <w:r>
        <w:rPr>
          <w:rFonts w:hint="eastAsia" w:ascii="楷体" w:hAnsi="楷体" w:eastAsia="楷体" w:cs="楷体"/>
          <w:b/>
          <w:color w:val="auto"/>
          <w:sz w:val="32"/>
          <w:szCs w:val="32"/>
        </w:rPr>
        <w:t>（三）财政评价项目绩效评价结果</w:t>
      </w:r>
      <w:r>
        <w:rPr>
          <w:rFonts w:hint="eastAsia" w:ascii="楷体" w:hAnsi="楷体" w:eastAsia="楷体" w:cs="楷体"/>
          <w:b/>
          <w:color w:val="auto"/>
          <w:sz w:val="32"/>
          <w:szCs w:val="32"/>
          <w:lang w:val="en-US" w:eastAsia="zh-CN"/>
        </w:rPr>
        <w:t>。</w:t>
      </w:r>
    </w:p>
    <w:p>
      <w:pPr>
        <w:spacing w:line="578" w:lineRule="exact"/>
        <w:ind w:firstLine="964" w:firstLineChars="300"/>
        <w:rPr>
          <w:rFonts w:hint="eastAsia" w:ascii="楷体" w:hAnsi="楷体" w:eastAsia="楷体" w:cs="楷体"/>
          <w:b/>
          <w:color w:val="auto"/>
          <w:sz w:val="32"/>
          <w:szCs w:val="32"/>
          <w:lang w:val="en-US" w:eastAsia="zh-CN"/>
        </w:rPr>
      </w:pPr>
      <w:r>
        <w:rPr>
          <w:rFonts w:hint="eastAsia" w:ascii="楷体" w:hAnsi="楷体" w:eastAsia="楷体" w:cs="楷体"/>
          <w:b/>
          <w:color w:val="auto"/>
          <w:sz w:val="32"/>
          <w:szCs w:val="32"/>
          <w:lang w:val="en-US" w:eastAsia="zh-CN"/>
        </w:rPr>
        <w:t>无</w:t>
      </w:r>
    </w:p>
    <w:p>
      <w:pPr>
        <w:numPr>
          <w:ilvl w:val="0"/>
          <w:numId w:val="3"/>
        </w:numPr>
        <w:spacing w:line="578" w:lineRule="exact"/>
        <w:ind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部门评价项目绩效评价结果。</w:t>
      </w:r>
    </w:p>
    <w:p>
      <w:pPr>
        <w:numPr>
          <w:ilvl w:val="0"/>
          <w:numId w:val="0"/>
        </w:numPr>
        <w:spacing w:line="578" w:lineRule="exact"/>
        <w:ind w:firstLine="964" w:firstLineChars="300"/>
        <w:rPr>
          <w:rFonts w:hint="eastAsia" w:ascii="楷体" w:hAnsi="楷体" w:eastAsia="楷体" w:cs="楷体"/>
          <w:b/>
          <w:color w:val="auto"/>
          <w:sz w:val="32"/>
          <w:szCs w:val="32"/>
          <w:lang w:eastAsia="zh-CN"/>
        </w:rPr>
      </w:pPr>
      <w:r>
        <w:rPr>
          <w:rFonts w:hint="eastAsia" w:ascii="楷体" w:hAnsi="楷体" w:eastAsia="楷体" w:cs="楷体"/>
          <w:b/>
          <w:color w:val="auto"/>
          <w:sz w:val="32"/>
          <w:szCs w:val="32"/>
          <w:lang w:eastAsia="zh-CN"/>
        </w:rPr>
        <w:t>无</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十三、其他重要事项情况说明。</w:t>
      </w:r>
    </w:p>
    <w:p>
      <w:pPr>
        <w:ind w:firstLine="643" w:firstLineChars="200"/>
        <w:rPr>
          <w:rFonts w:ascii="楷体" w:hAnsi="楷体" w:eastAsia="楷体" w:cs="楷体"/>
          <w:b/>
          <w:color w:val="auto"/>
          <w:sz w:val="32"/>
          <w:szCs w:val="32"/>
        </w:rPr>
      </w:pPr>
      <w:bookmarkStart w:id="99" w:name="_Toc5978_WPSOffice_Level2"/>
      <w:bookmarkStart w:id="100" w:name="_Toc15565_WPSOffice_Level2"/>
      <w:bookmarkStart w:id="101" w:name="_Toc18325_WPSOffice_Level2"/>
      <w:bookmarkStart w:id="102" w:name="_Toc23598_WPSOffice_Level2"/>
      <w:bookmarkStart w:id="103" w:name="_Toc32639_WPSOffice_Level2"/>
      <w:bookmarkStart w:id="104" w:name="_Toc15262_WPSOffice_Level2"/>
      <w:r>
        <w:rPr>
          <w:rFonts w:hint="eastAsia" w:ascii="楷体" w:hAnsi="楷体" w:eastAsia="楷体" w:cs="楷体"/>
          <w:b/>
          <w:color w:val="auto"/>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sz w:val="32"/>
          <w:szCs w:val="32"/>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凤凰</w:t>
      </w:r>
      <w:r>
        <w:rPr>
          <w:rFonts w:hint="eastAsia" w:ascii="仿宋_GB2312" w:hAnsi="ˎ̥" w:eastAsia="仿宋_GB2312" w:cs="Times New Roman"/>
          <w:color w:val="000000" w:themeColor="text1"/>
          <w:sz w:val="32"/>
          <w:szCs w:val="32"/>
          <w14:textFill>
            <w14:solidFill>
              <w14:schemeClr w14:val="tx1"/>
            </w14:solidFill>
          </w14:textFill>
        </w:rPr>
        <w:t>小学机关运行经费0万元。主要原因是：事业单位没</w:t>
      </w:r>
      <w:r>
        <w:rPr>
          <w:rFonts w:hint="eastAsia" w:ascii="仿宋_GB2312" w:hAnsi="ˎ̥" w:eastAsia="仿宋_GB2312" w:cs="Times New Roman"/>
          <w:sz w:val="32"/>
          <w:szCs w:val="32"/>
        </w:rPr>
        <w:t>有机关运行经费支出</w:t>
      </w:r>
    </w:p>
    <w:p>
      <w:pPr>
        <w:ind w:firstLine="643" w:firstLineChars="200"/>
        <w:rPr>
          <w:rFonts w:ascii="楷体" w:hAnsi="楷体" w:eastAsia="楷体" w:cs="楷体"/>
          <w:b/>
          <w:sz w:val="32"/>
          <w:szCs w:val="32"/>
        </w:rPr>
      </w:pPr>
      <w:bookmarkStart w:id="105" w:name="_Toc13084_WPSOffice_Level2"/>
      <w:bookmarkStart w:id="106" w:name="_Toc25333_WPSOffice_Level2"/>
      <w:bookmarkStart w:id="107" w:name="_Toc3131_WPSOffice_Level2"/>
      <w:bookmarkStart w:id="108" w:name="_Toc32689_WPSOffice_Level2"/>
      <w:bookmarkStart w:id="109" w:name="_Toc30383_WPSOffice_Level2"/>
      <w:bookmarkStart w:id="110" w:name="_Toc23966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eastAsia="zh-CN"/>
          <w14:textFill>
            <w14:solidFill>
              <w14:schemeClr w14:val="tx1"/>
            </w14:solidFill>
          </w14:textFill>
        </w:rPr>
        <w:t>凤凰</w:t>
      </w:r>
      <w:r>
        <w:rPr>
          <w:rFonts w:hint="eastAsia" w:ascii="仿宋_GB2312" w:hAnsi="ˎ̥" w:eastAsia="仿宋_GB2312" w:cs="Times New Roman"/>
          <w:color w:val="000000" w:themeColor="text1"/>
          <w:sz w:val="32"/>
          <w:szCs w:val="32"/>
          <w14:textFill>
            <w14:solidFill>
              <w14:schemeClr w14:val="tx1"/>
            </w14:solidFill>
          </w14:textFill>
        </w:rPr>
        <w:t>小学政府采购支出总额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3" w:firstLineChars="200"/>
        <w:rPr>
          <w:rFonts w:ascii="楷体" w:hAnsi="楷体" w:eastAsia="楷体" w:cs="楷体"/>
          <w:b/>
          <w:sz w:val="32"/>
          <w:szCs w:val="32"/>
        </w:rPr>
      </w:pPr>
      <w:bookmarkStart w:id="111" w:name="_Toc10902_WPSOffice_Level2"/>
      <w:bookmarkStart w:id="112" w:name="_Toc527_WPSOffice_Level2"/>
      <w:bookmarkStart w:id="113" w:name="_Toc15129_WPSOffice_Level2"/>
      <w:bookmarkStart w:id="114" w:name="_Toc29584_WPSOffice_Level2"/>
      <w:bookmarkStart w:id="115" w:name="_Toc19989_WPSOffice_Level2"/>
      <w:bookmarkStart w:id="116" w:name="_Toc6016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000000" w:themeColor="text1"/>
          <w:sz w:val="32"/>
          <w:szCs w:val="32"/>
          <w14:textFill>
            <w14:solidFill>
              <w14:schemeClr w14:val="tx1"/>
            </w14:solidFill>
          </w14:textFill>
        </w:rPr>
      </w:pPr>
      <w:r>
        <w:rPr>
          <w:rFonts w:hint="eastAsia" w:ascii="仿宋_GB2312" w:hAnsi="ˎ̥" w:eastAsia="仿宋_GB2312" w:cs="Times New Roman"/>
          <w:color w:val="000000" w:themeColor="text1"/>
          <w:sz w:val="32"/>
          <w:szCs w:val="32"/>
          <w14:textFill>
            <w14:solidFill>
              <w14:schemeClr w14:val="tx1"/>
            </w14:solidFill>
          </w14:textFill>
        </w:rPr>
        <w:t>截至202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年12月31日，本部门占用房屋面积</w:t>
      </w:r>
      <w:r>
        <w:rPr>
          <w:rFonts w:hint="eastAsia" w:ascii="仿宋_GB2312" w:hAnsi="ˎ̥" w:eastAsia="仿宋_GB2312" w:cs="Times New Roman"/>
          <w:color w:val="000000" w:themeColor="text1"/>
          <w:sz w:val="32"/>
          <w:szCs w:val="32"/>
          <w:lang w:val="en-US" w:eastAsia="zh-CN"/>
          <w14:textFill>
            <w14:solidFill>
              <w14:schemeClr w14:val="tx1"/>
            </w14:solidFill>
          </w14:textFill>
        </w:rPr>
        <w:t>7880</w:t>
      </w:r>
      <w:r>
        <w:rPr>
          <w:rFonts w:hint="eastAsia" w:ascii="仿宋_GB2312" w:hAnsi="ˎ̥" w:eastAsia="仿宋_GB2312" w:cs="Times New Roman"/>
          <w:color w:val="000000" w:themeColor="text1"/>
          <w:sz w:val="32"/>
          <w:szCs w:val="32"/>
          <w14:textFill>
            <w14:solidFill>
              <w14:schemeClr w14:val="tx1"/>
            </w14:solidFill>
          </w14:textFill>
        </w:rPr>
        <w:t>平方米，其中：办公用房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4850</w:t>
      </w:r>
      <w:r>
        <w:rPr>
          <w:rFonts w:hint="eastAsia" w:ascii="仿宋_GB2312" w:hAnsi="ˎ̥" w:eastAsia="仿宋_GB2312" w:cs="Times New Roman"/>
          <w:color w:val="000000" w:themeColor="text1"/>
          <w:sz w:val="32"/>
          <w:szCs w:val="32"/>
          <w14:textFill>
            <w14:solidFill>
              <w14:schemeClr w14:val="tx1"/>
            </w14:solidFill>
          </w14:textFill>
        </w:rPr>
        <w:t>平方米，</w:t>
      </w:r>
      <w:r>
        <w:rPr>
          <w:rFonts w:hint="eastAsia" w:ascii="仿宋_GB2312" w:hAnsi="ˎ̥" w:eastAsia="仿宋_GB2312" w:cs="Times New Roman"/>
          <w:color w:val="000000" w:themeColor="text1"/>
          <w:sz w:val="32"/>
          <w:szCs w:val="32"/>
          <w:lang w:eastAsia="zh-CN"/>
          <w14:textFill>
            <w14:solidFill>
              <w14:schemeClr w14:val="tx1"/>
            </w14:solidFill>
          </w14:textFill>
        </w:rPr>
        <w:t>生活</w:t>
      </w:r>
      <w:r>
        <w:rPr>
          <w:rFonts w:hint="eastAsia" w:ascii="仿宋_GB2312" w:hAnsi="ˎ̥" w:eastAsia="仿宋_GB2312" w:cs="Times New Roman"/>
          <w:color w:val="000000" w:themeColor="text1"/>
          <w:sz w:val="32"/>
          <w:szCs w:val="32"/>
          <w14:textFill>
            <w14:solidFill>
              <w14:schemeClr w14:val="tx1"/>
            </w14:solidFill>
          </w14:textFill>
        </w:rPr>
        <w:t>用房</w:t>
      </w:r>
      <w:r>
        <w:rPr>
          <w:rFonts w:hint="eastAsia" w:ascii="仿宋_GB2312" w:hAnsi="ˎ̥" w:eastAsia="仿宋_GB2312" w:cs="Times New Roman"/>
          <w:color w:val="000000" w:themeColor="text1"/>
          <w:sz w:val="32"/>
          <w:szCs w:val="32"/>
          <w:lang w:val="en-US" w:eastAsia="zh-CN"/>
          <w14:textFill>
            <w14:solidFill>
              <w14:schemeClr w14:val="tx1"/>
            </w14:solidFill>
          </w14:textFill>
        </w:rPr>
        <w:t>3030</w:t>
      </w:r>
      <w:r>
        <w:rPr>
          <w:rFonts w:hint="eastAsia" w:ascii="仿宋_GB2312" w:hAnsi="ˎ̥" w:eastAsia="仿宋_GB2312" w:cs="Times New Roman"/>
          <w:color w:val="000000" w:themeColor="text1"/>
          <w:sz w:val="32"/>
          <w:szCs w:val="32"/>
          <w14:textFill>
            <w14:solidFill>
              <w14:schemeClr w14:val="tx1"/>
            </w14:solidFill>
          </w14:textFill>
        </w:rPr>
        <w:t>平方米，其他（不含构筑物）0平方米。</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sz w:val="32"/>
          <w:szCs w:val="32"/>
        </w:rPr>
      </w:pPr>
      <w:r>
        <w:rPr>
          <w:rFonts w:hint="eastAsia" w:ascii="仿宋_GB2312" w:hAnsi="ˎ̥" w:eastAsia="仿宋_GB2312" w:cs="Times New Roman"/>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sz w:val="32"/>
          <w:szCs w:val="32"/>
        </w:rPr>
      </w:pPr>
      <w:r>
        <w:rPr>
          <w:rFonts w:hint="eastAsia" w:ascii="仿宋_GB2312" w:hAnsi="ˎ̥" w:eastAsia="仿宋_GB2312" w:cs="Times New Roman"/>
          <w:sz w:val="32"/>
          <w:szCs w:val="32"/>
        </w:rPr>
        <w:t>年末在建工程0万元。</w:t>
      </w: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spacing w:line="578" w:lineRule="exact"/>
        <w:ind w:firstLine="640" w:firstLineChars="200"/>
        <w:rPr>
          <w:rFonts w:hint="eastAsia" w:ascii="仿宋_GB2312" w:hAnsi="ˎ̥" w:eastAsia="仿宋_GB2312" w:cs="Times New Roman"/>
          <w:sz w:val="32"/>
          <w:szCs w:val="32"/>
        </w:rPr>
      </w:pPr>
    </w:p>
    <w:p>
      <w:pPr>
        <w:jc w:val="cente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黑体" w:hAnsi="ˎ̥" w:eastAsia="黑体"/>
          <w:color w:val="0D0D0D" w:themeColor="text1" w:themeTint="F2"/>
          <w:sz w:val="32"/>
          <w:szCs w:val="32"/>
          <w:u w:color="000000" w:themeColor="text1"/>
          <w:lang w:eastAsia="zh-CN"/>
          <w14:textFill>
            <w14:solidFill>
              <w14:schemeClr w14:val="tx1">
                <w14:lumMod w14:val="95000"/>
                <w14:lumOff w14:val="5000"/>
              </w14:schemeClr>
            </w14:solidFill>
          </w14:textFill>
        </w:rPr>
        <w:t>第四部分</w:t>
      </w:r>
      <w:r>
        <w:rPr>
          <w:rFonts w:hint="eastAsia" w:ascii="黑体" w:hAnsi="ˎ̥" w:eastAsia="黑体"/>
          <w:color w:val="0D0D0D" w:themeColor="text1" w:themeTint="F2"/>
          <w:sz w:val="32"/>
          <w:szCs w:val="32"/>
          <w:u w:color="000000" w:themeColor="text1"/>
          <w:lang w:val="en-US" w:eastAsia="zh-CN"/>
          <w14:textFill>
            <w14:solidFill>
              <w14:schemeClr w14:val="tx1">
                <w14:lumMod w14:val="95000"/>
                <w14:lumOff w14:val="5000"/>
              </w14:schemeClr>
            </w14:solidFill>
          </w14:textFill>
        </w:rPr>
        <w:t xml:space="preserve">  </w:t>
      </w:r>
      <w:r>
        <w:rPr>
          <w:rFonts w:hint="eastAsia" w:ascii="黑体" w:hAnsi="ˎ̥" w:eastAsia="黑体"/>
          <w:color w:val="0D0D0D" w:themeColor="text1" w:themeTint="F2"/>
          <w:sz w:val="32"/>
          <w:szCs w:val="32"/>
          <w:u w:color="000000" w:themeColor="text1"/>
          <w14:textFill>
            <w14:solidFill>
              <w14:schemeClr w14:val="tx1">
                <w14:lumMod w14:val="95000"/>
                <w14:lumOff w14:val="5000"/>
              </w14:schemeClr>
            </w14:solidFill>
          </w14:textFill>
        </w:rPr>
        <w:t>名词解释</w:t>
      </w:r>
    </w:p>
    <w:p>
      <w:pPr>
        <w:numPr>
          <w:ilvl w:val="0"/>
          <w:numId w:val="4"/>
        </w:num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财政拨款收入：指</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级</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政府财政部门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当年拨付的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各类财政拨款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二、上级补助收入：指事业单位从主管部门和上级单位取得的非财政补助收入。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事业收入：指事业单位开展专业业务活动及辅助活动取得的收入。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经营收入：指事业单位在专业业务活动及其辅助活动之外开展非独立核算经营活动取得的收入。</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五、附属单位上缴收入：指事业单位取得附属独立核算单位根据有关规定上缴的收入。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六、</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其他收入：指除上述“财政拨款收入”“事业收入”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“上级补助收入”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“经营收入”</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“附属单位上缴收入”</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等以外的收入。</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七、</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使用非财政拨款结余</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：指事业单位在当年的“财政拨款收入”“事业收入”“经营收入”“其他收入”</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不足以安排当年支出的情况下，使</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用以前年度积累的</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非限定用途的非同级财政拨款结余资金弥补本年度收支缺口。</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八、</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年初结转和结余：指以前年度尚未完成、结转到本年按有关规定继续使用的资金。</w:t>
      </w:r>
    </w:p>
    <w:p>
      <w:pPr>
        <w:ind w:firstLine="640" w:firstLineChars="200"/>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九、</w:t>
      </w:r>
      <w:r>
        <w:rPr>
          <w:rFonts w:hint="eastAsia" w:ascii="仿宋_GB2312" w:hAnsi="ˎ̥" w:eastAsia="仿宋_GB2312"/>
          <w:color w:val="0D0D0D" w:themeColor="text1" w:themeTint="F2"/>
          <w:sz w:val="32"/>
          <w:szCs w:val="32"/>
          <w:highlight w:val="none"/>
          <w:u w:color="000000" w:themeColor="text1"/>
          <w14:textFill>
            <w14:solidFill>
              <w14:schemeClr w14:val="tx1">
                <w14:lumMod w14:val="95000"/>
                <w14:lumOff w14:val="5000"/>
              </w14:schemeClr>
            </w14:solidFill>
          </w14:textFill>
        </w:rPr>
        <w:t>结余分配：指</w:t>
      </w:r>
      <w:r>
        <w:rPr>
          <w:rFonts w:hint="eastAsia" w:ascii="仿宋_GB2312" w:hAnsi="ˎ̥" w:eastAsia="仿宋_GB2312"/>
          <w:color w:val="0D0D0D" w:themeColor="text1" w:themeTint="F2"/>
          <w:sz w:val="32"/>
          <w:szCs w:val="32"/>
          <w:highlight w:val="none"/>
          <w:u w:color="000000" w:themeColor="text1"/>
          <w:lang w:eastAsia="zh-CN"/>
          <w14:textFill>
            <w14:solidFill>
              <w14:schemeClr w14:val="tx1">
                <w14:lumMod w14:val="95000"/>
                <w14:lumOff w14:val="5000"/>
              </w14:schemeClr>
            </w14:solidFill>
          </w14:textFill>
        </w:rPr>
        <w:t>事业</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单位缴纳企业所得税以及从非财政拨款结余或经营结余中提取各类结余的情况。</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年末结转和结余：指本年度或以前年度预算安排、因客观条件发生变化无法按原计划实施，需要延迟到以后年度按有关规定继续使用的资金</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不包括事业单位非财政拨款结余和专用结余</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十一、</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基本支出：指为保障机构正常运转、完成日常工作任务而发生的人员支出和公用支出。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二、</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项目支出：指在基本支出之外为完成特定行政任务和事业发展目标所发生的支出。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经营支出：指事业单位在专业业务活动及其辅助活动之外开展非独立核算经营活动发生的支出。</w:t>
      </w:r>
    </w:p>
    <w:p>
      <w:pPr>
        <w:ind w:firstLine="640" w:firstLineChars="200"/>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四、</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“三公”经费：纳入本级财政预决算管理的“三公”经费，是指用一般公共预算财政财政拨款</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、政府性基金</w:t>
      </w:r>
      <w:r>
        <w:rPr>
          <w:rFonts w:hint="eastAsia" w:ascii="仿宋_GB2312" w:hAnsi="ˎ̥" w:eastAsia="仿宋_GB2312" w:cs="Times New Roman"/>
          <w:b w:val="0"/>
          <w:bCs w:val="0"/>
          <w:color w:val="0D0D0D" w:themeColor="text1" w:themeTint="F2"/>
          <w:sz w:val="32"/>
          <w:szCs w:val="32"/>
          <w:u w:color="000000" w:themeColor="text1"/>
          <w14:textFill>
            <w14:solidFill>
              <w14:schemeClr w14:val="tx1">
                <w14:lumMod w14:val="95000"/>
                <w14:lumOff w14:val="5000"/>
              </w14:schemeClr>
            </w14:solidFill>
          </w14:textFill>
        </w:rPr>
        <w:t>预算财政拨款</w:t>
      </w:r>
      <w:r>
        <w:rPr>
          <w:rFonts w:hint="eastAsia" w:ascii="仿宋_GB2312" w:hAnsi="ˎ̥" w:eastAsia="仿宋_GB2312" w:cs="Times New Roman"/>
          <w:b w:val="0"/>
          <w:bCs w:val="0"/>
          <w:color w:val="0D0D0D" w:themeColor="text1" w:themeTint="F2"/>
          <w:sz w:val="32"/>
          <w:szCs w:val="32"/>
          <w:u w:color="000000" w:themeColor="text1"/>
          <w:lang w:eastAsia="zh-CN"/>
          <w14:textFill>
            <w14:solidFill>
              <w14:schemeClr w14:val="tx1">
                <w14:lumMod w14:val="95000"/>
                <w14:lumOff w14:val="5000"/>
              </w14:schemeClr>
            </w14:solidFill>
          </w14:textFill>
        </w:rPr>
        <w:t>及国有资本经营预算财政拨款</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安排的因公出国（境）费、公务用车购置及运行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费和公务接待费。其中，因公出国（境）费反映单位公务出国（境）的国际旅费、国外城市间交通费、住宿费、伙食费、培训费、公杂费等支出；公务用车购置及运行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维护</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费反映单位公务用车车辆购置支出（含车辆购置税</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、牌照费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）及燃料费、维修费、过路过桥费、保险费、安全奖励费用等支出；公务接待费反映单位按规定开支的各类公务接待（含外宾接待）</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费用</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645"/>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pP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十</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五</w:t>
      </w:r>
      <w:r>
        <w:rPr>
          <w:rFonts w:hint="eastAsia" w:ascii="仿宋_GB2312" w:hAnsi="ˎ̥" w:eastAsia="仿宋_GB2312"/>
          <w:color w:val="0D0D0D" w:themeColor="text1" w:themeTint="F2"/>
          <w:sz w:val="32"/>
          <w:szCs w:val="32"/>
          <w:u w:color="000000" w:themeColor="text1"/>
          <w:lang w:val="en-US" w:eastAsia="zh-CN"/>
          <w14:textFill>
            <w14:solidFill>
              <w14:schemeClr w14:val="tx1">
                <w14:lumMod w14:val="95000"/>
                <w14:lumOff w14:val="5000"/>
              </w14:schemeClr>
            </w14:solidFill>
          </w14:textFill>
        </w:rPr>
        <w:t>、</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机关运行经费：为保障行政单位（含参照公务员法管理的事业单位）运行</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使用</w:t>
      </w:r>
      <w:r>
        <w:rPr>
          <w:rFonts w:hint="eastAsia" w:ascii="仿宋_GB2312" w:hAnsi="ˎ̥" w:eastAsia="仿宋_GB2312" w:cs="Times New Roman"/>
          <w:color w:val="0D0D0D" w:themeColor="text1" w:themeTint="F2"/>
          <w:sz w:val="32"/>
          <w:szCs w:val="32"/>
          <w:u w:color="000000" w:themeColor="text1"/>
          <w:lang w:eastAsia="zh-CN"/>
          <w14:textFill>
            <w14:solidFill>
              <w14:schemeClr w14:val="tx1">
                <w14:lumMod w14:val="95000"/>
                <w14:lumOff w14:val="5000"/>
              </w14:schemeClr>
            </w14:solidFill>
          </w14:textFill>
        </w:rPr>
        <w:t>一般公共预算财政拨款安排的基本支出经费</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hAnsi="ˎ̥" w:eastAsia="仿宋_GB2312"/>
          <w:color w:val="0D0D0D" w:themeColor="text1" w:themeTint="F2"/>
          <w:sz w:val="32"/>
          <w:szCs w:val="32"/>
          <w:u w:color="000000" w:themeColor="text1"/>
          <w:lang w:eastAsia="zh-CN"/>
          <w14:textFill>
            <w14:solidFill>
              <w14:schemeClr w14:val="tx1">
                <w14:lumMod w14:val="95000"/>
                <w14:lumOff w14:val="5000"/>
              </w14:schemeClr>
            </w14:solidFill>
          </w14:textFill>
        </w:rPr>
        <w:t>等</w:t>
      </w:r>
      <w:r>
        <w:rPr>
          <w:rFonts w:hint="eastAsia" w:ascii="仿宋_GB2312" w:hAnsi="ˎ̥" w:eastAsia="仿宋_GB2312"/>
          <w:color w:val="0D0D0D" w:themeColor="text1" w:themeTint="F2"/>
          <w:sz w:val="32"/>
          <w:szCs w:val="32"/>
          <w:u w:color="000000" w:themeColor="text1"/>
          <w14:textFill>
            <w14:solidFill>
              <w14:schemeClr w14:val="tx1">
                <w14:lumMod w14:val="95000"/>
                <w14:lumOff w14:val="5000"/>
              </w14:schemeClr>
            </w14:solidFill>
          </w14:textFill>
        </w:rPr>
        <w:t>。</w:t>
      </w:r>
    </w:p>
    <w:p>
      <w:pPr>
        <w:ind w:firstLine="420" w:firstLineChars="200"/>
      </w:pP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860D64"/>
    <w:multiLevelType w:val="singleLevel"/>
    <w:tmpl w:val="A9860D64"/>
    <w:lvl w:ilvl="0" w:tentative="0">
      <w:start w:val="4"/>
      <w:numFmt w:val="chineseCounting"/>
      <w:suff w:val="nothing"/>
      <w:lvlText w:val="（%1）"/>
      <w:lvlJc w:val="left"/>
      <w:rPr>
        <w:rFonts w:hint="eastAsia"/>
      </w:rPr>
    </w:lvl>
  </w:abstractNum>
  <w:abstractNum w:abstractNumId="1">
    <w:nsid w:val="AFFC2DCC"/>
    <w:multiLevelType w:val="singleLevel"/>
    <w:tmpl w:val="AFFC2DCC"/>
    <w:lvl w:ilvl="0" w:tentative="0">
      <w:start w:val="1"/>
      <w:numFmt w:val="chineseCounting"/>
      <w:suff w:val="nothing"/>
      <w:lvlText w:val="%1、"/>
      <w:lvlJc w:val="left"/>
      <w:rPr>
        <w:rFonts w:hint="eastAsia"/>
      </w:rPr>
    </w:lvl>
  </w:abstractNum>
  <w:abstractNum w:abstractNumId="2">
    <w:nsid w:val="CC9B1439"/>
    <w:multiLevelType w:val="singleLevel"/>
    <w:tmpl w:val="CC9B1439"/>
    <w:lvl w:ilvl="0" w:tentative="0">
      <w:start w:val="2"/>
      <w:numFmt w:val="chineseCounting"/>
      <w:suff w:val="nothing"/>
      <w:lvlText w:val="（%1）"/>
      <w:lvlJc w:val="left"/>
      <w:rPr>
        <w:rFonts w:hint="eastAsia"/>
      </w:rPr>
    </w:lvl>
  </w:abstractNum>
  <w:abstractNum w:abstractNumId="3">
    <w:nsid w:val="72109F8D"/>
    <w:multiLevelType w:val="singleLevel"/>
    <w:tmpl w:val="72109F8D"/>
    <w:lvl w:ilvl="0" w:tentative="0">
      <w:start w:val="7"/>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MjI0YzM4NWI0Nzk1M2ZjYjI1MTczNTRiNzIyMjUifQ=="/>
  </w:docVars>
  <w:rsids>
    <w:rsidRoot w:val="00D32ACE"/>
    <w:rsid w:val="000819F9"/>
    <w:rsid w:val="000C0FC3"/>
    <w:rsid w:val="000C3289"/>
    <w:rsid w:val="00165BA4"/>
    <w:rsid w:val="001A7613"/>
    <w:rsid w:val="001B54A0"/>
    <w:rsid w:val="002102AF"/>
    <w:rsid w:val="00240B5C"/>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3B94246"/>
    <w:rsid w:val="04D05C71"/>
    <w:rsid w:val="06675247"/>
    <w:rsid w:val="07A45260"/>
    <w:rsid w:val="09996B20"/>
    <w:rsid w:val="0B0769CD"/>
    <w:rsid w:val="0C3F11F9"/>
    <w:rsid w:val="0D284F49"/>
    <w:rsid w:val="10CC3A03"/>
    <w:rsid w:val="10D52F79"/>
    <w:rsid w:val="113D17F5"/>
    <w:rsid w:val="11C10E95"/>
    <w:rsid w:val="126F367F"/>
    <w:rsid w:val="13B00636"/>
    <w:rsid w:val="151C63E2"/>
    <w:rsid w:val="177D5B4D"/>
    <w:rsid w:val="17CD5E4C"/>
    <w:rsid w:val="188624F1"/>
    <w:rsid w:val="19510D51"/>
    <w:rsid w:val="1B4548E5"/>
    <w:rsid w:val="1CC7757C"/>
    <w:rsid w:val="1EA411BF"/>
    <w:rsid w:val="213446DA"/>
    <w:rsid w:val="2B883264"/>
    <w:rsid w:val="2C571423"/>
    <w:rsid w:val="31D52773"/>
    <w:rsid w:val="34704282"/>
    <w:rsid w:val="35B2546F"/>
    <w:rsid w:val="37D9257F"/>
    <w:rsid w:val="3F9B06C8"/>
    <w:rsid w:val="42072A1C"/>
    <w:rsid w:val="42843695"/>
    <w:rsid w:val="42941DD7"/>
    <w:rsid w:val="48B6361D"/>
    <w:rsid w:val="4A821046"/>
    <w:rsid w:val="4E50754D"/>
    <w:rsid w:val="50EF2186"/>
    <w:rsid w:val="510079CF"/>
    <w:rsid w:val="5260366E"/>
    <w:rsid w:val="53DC2F4A"/>
    <w:rsid w:val="5496774D"/>
    <w:rsid w:val="56EA18C1"/>
    <w:rsid w:val="584C7DD6"/>
    <w:rsid w:val="58AC72BA"/>
    <w:rsid w:val="58DD09F8"/>
    <w:rsid w:val="5B293906"/>
    <w:rsid w:val="5B730780"/>
    <w:rsid w:val="5D4F1AC6"/>
    <w:rsid w:val="5E7C4B39"/>
    <w:rsid w:val="5F3008C4"/>
    <w:rsid w:val="61D96280"/>
    <w:rsid w:val="656B5768"/>
    <w:rsid w:val="66A9442D"/>
    <w:rsid w:val="66F20F27"/>
    <w:rsid w:val="67DB4D6A"/>
    <w:rsid w:val="6984740C"/>
    <w:rsid w:val="6A50071F"/>
    <w:rsid w:val="702D5ADF"/>
    <w:rsid w:val="727A3816"/>
    <w:rsid w:val="73CA3B64"/>
    <w:rsid w:val="779A2DD3"/>
    <w:rsid w:val="793F2035"/>
    <w:rsid w:val="79613C85"/>
    <w:rsid w:val="79EF52CF"/>
    <w:rsid w:val="7AF31F44"/>
    <w:rsid w:val="7BE704D9"/>
    <w:rsid w:val="7CF05068"/>
    <w:rsid w:val="7E2632E5"/>
    <w:rsid w:val="7EAA7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5181</Words>
  <Characters>5635</Characters>
  <Lines>51</Lines>
  <Paragraphs>14</Paragraphs>
  <TotalTime>0</TotalTime>
  <ScaleCrop>false</ScaleCrop>
  <LinksUpToDate>false</LinksUpToDate>
  <CharactersWithSpaces>5755</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甫君斯</cp:lastModifiedBy>
  <cp:lastPrinted>2022-11-12T02:46:00Z</cp:lastPrinted>
  <dcterms:modified xsi:type="dcterms:W3CDTF">2023-10-31T01:16:28Z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27328EE7ECD442B19DFA6E177831A7D5_13</vt:lpwstr>
  </property>
</Properties>
</file>