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宋体" w:eastAsia="黑体" w:cs="Times New Roman"/>
          <w:sz w:val="32"/>
          <w:szCs w:val="32"/>
        </w:rPr>
      </w:pPr>
      <w:r>
        <w:rPr>
          <w:rFonts w:hint="eastAsia" w:ascii="黑体" w:hAnsi="宋体" w:eastAsia="黑体" w:cs="Times New Roman"/>
          <w:sz w:val="32"/>
          <w:szCs w:val="32"/>
        </w:rPr>
        <w:t>附件1</w:t>
      </w:r>
    </w:p>
    <w:p>
      <w:pPr>
        <w:rPr>
          <w:rFonts w:ascii="宋体" w:hAnsi="宋体" w:eastAsia="宋体" w:cs="Times New Roman"/>
          <w:sz w:val="30"/>
          <w:szCs w:val="30"/>
        </w:rPr>
      </w:pPr>
    </w:p>
    <w:p>
      <w:pPr>
        <w:jc w:val="center"/>
        <w:rPr>
          <w:rFonts w:ascii="黑体" w:hAnsi="ˎ̥" w:eastAsia="黑体" w:cs="Times New Roman"/>
          <w:sz w:val="44"/>
          <w:szCs w:val="44"/>
        </w:rPr>
      </w:pPr>
      <w:r>
        <w:rPr>
          <w:rFonts w:hint="eastAsia" w:ascii="黑体" w:hAnsi="ˎ̥" w:eastAsia="黑体" w:cs="Times New Roman"/>
          <w:sz w:val="44"/>
          <w:szCs w:val="44"/>
        </w:rPr>
        <w:t>三亚市</w:t>
      </w:r>
      <w:r>
        <w:rPr>
          <w:rFonts w:hint="eastAsia" w:ascii="黑体" w:hAnsi="ˎ̥" w:eastAsia="黑体" w:cs="Times New Roman"/>
          <w:sz w:val="44"/>
          <w:szCs w:val="44"/>
          <w:lang w:eastAsia="zh-CN"/>
        </w:rPr>
        <w:t>第四</w:t>
      </w:r>
      <w:r>
        <w:rPr>
          <w:rFonts w:hint="eastAsia" w:ascii="黑体" w:hAnsi="ˎ̥" w:eastAsia="黑体" w:cs="Times New Roman"/>
          <w:sz w:val="44"/>
          <w:szCs w:val="44"/>
        </w:rPr>
        <w:t>小学202</w:t>
      </w:r>
      <w:r>
        <w:rPr>
          <w:rFonts w:hint="eastAsia" w:ascii="黑体" w:hAnsi="ˎ̥" w:eastAsia="黑体" w:cs="Times New Roman"/>
          <w:sz w:val="44"/>
          <w:szCs w:val="44"/>
          <w:lang w:val="en-US" w:eastAsia="zh-CN"/>
        </w:rPr>
        <w:t>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rPr>
        <w:t>部门决算公开文字说明</w:t>
      </w:r>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w:t>
      </w:r>
      <w:r>
        <w:rPr>
          <w:rFonts w:hint="eastAsia" w:ascii="黑体" w:hAnsi="ˎ̥" w:eastAsia="黑体" w:cs="Times New Roman"/>
          <w:kern w:val="0"/>
          <w:sz w:val="32"/>
          <w:szCs w:val="32"/>
          <w:lang w:eastAsia="zh-CN"/>
        </w:rPr>
        <w:t>第四</w:t>
      </w:r>
      <w:r>
        <w:rPr>
          <w:rFonts w:hint="eastAsia" w:ascii="黑体" w:hAnsi="ˎ̥" w:eastAsia="黑体" w:cs="Times New Roman"/>
          <w:kern w:val="0"/>
          <w:sz w:val="32"/>
          <w:szCs w:val="32"/>
        </w:rPr>
        <w:t>小学部概况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rPr>
        <w:t>第二部分  三亚</w:t>
      </w:r>
      <w:r>
        <w:rPr>
          <w:rFonts w:hint="eastAsia" w:ascii="黑体" w:hAnsi="ˎ̥" w:eastAsia="黑体" w:cs="Times New Roman"/>
          <w:kern w:val="0"/>
          <w:sz w:val="32"/>
          <w:szCs w:val="32"/>
          <w:lang w:eastAsia="zh-CN"/>
        </w:rPr>
        <w:t>市第四</w:t>
      </w:r>
      <w:r>
        <w:rPr>
          <w:rFonts w:hint="eastAsia" w:ascii="黑体" w:hAnsi="ˎ̥" w:eastAsia="黑体" w:cs="Times New Roman"/>
          <w:kern w:val="0"/>
          <w:sz w:val="32"/>
          <w:szCs w:val="32"/>
        </w:rPr>
        <w:t>小学202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年度部门决算公开表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w:t>
      </w:r>
      <w:r>
        <w:rPr>
          <w:rFonts w:hint="eastAsia" w:ascii="黑体" w:hAnsi="黑体" w:eastAsia="黑体" w:cs="Times New Roman"/>
          <w:kern w:val="0"/>
          <w:sz w:val="32"/>
          <w:szCs w:val="32"/>
          <w:lang w:eastAsia="zh-CN"/>
        </w:rPr>
        <w:t>第四</w:t>
      </w:r>
      <w:r>
        <w:rPr>
          <w:rFonts w:hint="eastAsia" w:ascii="黑体" w:hAnsi="黑体" w:eastAsia="黑体" w:cs="Times New Roman"/>
          <w:kern w:val="0"/>
          <w:sz w:val="32"/>
          <w:szCs w:val="32"/>
        </w:rPr>
        <w:t>小学</w:t>
      </w:r>
      <w:r>
        <w:rPr>
          <w:rFonts w:hint="eastAsia" w:ascii="黑体" w:hAnsi="ˎ̥" w:eastAsia="黑体" w:cs="Times New Roman"/>
          <w:kern w:val="0"/>
          <w:sz w:val="32"/>
          <w:szCs w:val="32"/>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年度部门决算情况说明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hint="eastAsia" w:ascii="仿宋" w:hAnsi="仿宋" w:eastAsia="仿宋" w:cs="仿宋"/>
          <w:kern w:val="0"/>
          <w:sz w:val="32"/>
          <w:szCs w:val="32"/>
        </w:rPr>
        <w:tab/>
      </w: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cs="Times New Roman"/>
          <w:kern w:val="0"/>
          <w:sz w:val="32"/>
          <w:szCs w:val="32"/>
          <w:lang w:eastAsia="zh-CN"/>
        </w:rPr>
      </w:pPr>
      <w:r>
        <w:fldChar w:fldCharType="begin"/>
      </w:r>
      <w:r>
        <w:instrText xml:space="preserve"> HYPERLINK \l "_Toc15425_WPSOffice_Level1" </w:instrText>
      </w:r>
      <w:r>
        <w:fldChar w:fldCharType="separate"/>
      </w:r>
      <w:r>
        <w:rPr>
          <w:rFonts w:hint="eastAsia" w:ascii="黑体" w:hAnsi="ˎ̥" w:eastAsia="黑体" w:cs="Times New Roman"/>
          <w:kern w:val="0"/>
          <w:sz w:val="32"/>
          <w:szCs w:val="32"/>
        </w:rPr>
        <w:t>第四部分  名词解释</w:t>
      </w:r>
      <w:r>
        <w:rPr>
          <w:rFonts w:ascii="Times New Roman" w:hAnsi="Times New Roman" w:eastAsia="宋体" w:cs="Times New Roman"/>
          <w:kern w:val="0"/>
          <w:sz w:val="32"/>
          <w:szCs w:val="32"/>
        </w:rPr>
        <w:tab/>
      </w:r>
      <w:bookmarkStart w:id="1" w:name="_Toc15425_WPSOffice_Level1Page"/>
      <w:r>
        <w:rPr>
          <w:rFonts w:ascii="Times New Roman" w:hAnsi="Times New Roman" w:eastAsia="宋体" w:cs="Times New Roman"/>
          <w:kern w:val="0"/>
          <w:sz w:val="32"/>
          <w:szCs w:val="32"/>
        </w:rPr>
        <w:t>1</w:t>
      </w:r>
      <w:bookmarkEnd w:id="1"/>
      <w:r>
        <w:rPr>
          <w:rFonts w:ascii="Times New Roman" w:hAnsi="Times New Roman" w:eastAsia="宋体" w:cs="Times New Roman"/>
          <w:kern w:val="0"/>
          <w:sz w:val="32"/>
          <w:szCs w:val="32"/>
        </w:rPr>
        <w:fldChar w:fldCharType="end"/>
      </w:r>
      <w:bookmarkEnd w:id="0"/>
      <w:r>
        <w:rPr>
          <w:rFonts w:hint="eastAsia" w:ascii="Times New Roman" w:hAnsi="Times New Roman" w:eastAsia="宋体" w:cs="Times New Roman"/>
          <w:kern w:val="0"/>
          <w:sz w:val="32"/>
          <w:szCs w:val="32"/>
          <w:lang w:val="en-US" w:eastAsia="zh-CN"/>
        </w:rPr>
        <w:t>2</w:t>
      </w:r>
    </w:p>
    <w:p>
      <w:pPr>
        <w:jc w:val="left"/>
        <w:rPr>
          <w:rFonts w:ascii="黑体" w:hAnsi="黑体" w:eastAsia="黑体" w:cs="黑体"/>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楷体" w:hAnsi="楷体" w:eastAsia="楷体" w:cs="楷体"/>
          <w:sz w:val="32"/>
          <w:szCs w:val="32"/>
        </w:rPr>
      </w:pPr>
      <w:bookmarkStart w:id="2" w:name="_Toc10049_WPSOffice_Level1"/>
      <w:bookmarkStart w:id="3" w:name="_Toc10720_WPSOffice_Level1"/>
      <w:bookmarkStart w:id="4" w:name="_Toc22941_WPSOffice_Level1"/>
      <w:bookmarkStart w:id="5" w:name="_Toc32433_WPSOffice_Level1"/>
      <w:bookmarkStart w:id="6" w:name="_Toc1704_WPSOffice_Level1"/>
      <w:bookmarkStart w:id="7" w:name="_Toc23465_WPSOffice_Level1"/>
      <w:bookmarkStart w:id="8" w:name="_Toc24238_WPSOffice_Level2"/>
      <w:bookmarkStart w:id="9" w:name="_Toc32622_WPSOffice_Level2"/>
      <w:bookmarkStart w:id="10" w:name="_Toc26580_WPSOffice_Level2"/>
      <w:bookmarkStart w:id="11" w:name="_Toc14159_WPSOffice_Level2"/>
      <w:bookmarkStart w:id="12" w:name="_Toc20205_WPSOffice_Level2"/>
      <w:bookmarkStart w:id="13" w:name="_Toc20274_WPSOffice_Level2"/>
      <w:r>
        <w:rPr>
          <w:rFonts w:hint="eastAsia" w:ascii="黑体" w:hAnsi="ˎ̥" w:eastAsia="黑体" w:cs="Times New Roman"/>
          <w:sz w:val="32"/>
          <w:szCs w:val="32"/>
        </w:rPr>
        <w:t>第一部分  三亚市</w:t>
      </w:r>
      <w:r>
        <w:rPr>
          <w:rFonts w:hint="eastAsia" w:ascii="黑体" w:hAnsi="ˎ̥" w:eastAsia="黑体" w:cs="Times New Roman"/>
          <w:sz w:val="32"/>
          <w:szCs w:val="32"/>
          <w:lang w:eastAsia="zh-CN"/>
        </w:rPr>
        <w:t>第四</w:t>
      </w:r>
      <w:r>
        <w:rPr>
          <w:rFonts w:hint="eastAsia" w:ascii="黑体" w:hAnsi="ˎ̥" w:eastAsia="黑体" w:cs="Times New Roman"/>
          <w:sz w:val="32"/>
          <w:szCs w:val="32"/>
        </w:rPr>
        <w:t>小学部门概况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一、部门</w:t>
      </w:r>
      <w:bookmarkEnd w:id="8"/>
      <w:r>
        <w:rPr>
          <w:rFonts w:hint="eastAsia" w:ascii="黑体" w:hAnsi="黑体" w:eastAsia="黑体" w:cs="黑体"/>
          <w:sz w:val="32"/>
          <w:szCs w:val="32"/>
        </w:rPr>
        <w:t>（单位）职责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24059_WPSOffice_Level2"/>
      <w:bookmarkStart w:id="15" w:name="_Toc6572_WPSOffice_Level2"/>
      <w:bookmarkStart w:id="16" w:name="_Toc24474_WPSOffice_Level2"/>
      <w:bookmarkStart w:id="17" w:name="_Toc4833_WPSOffice_Level2"/>
      <w:bookmarkStart w:id="18" w:name="_Toc17796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sz w:val="32"/>
          <w:szCs w:val="32"/>
        </w:rPr>
      </w:pPr>
      <w:bookmarkStart w:id="19" w:name="_Toc30451_WPSOffice_Level1"/>
      <w:bookmarkStart w:id="20" w:name="_Toc8164_WPSOffice_Level1"/>
      <w:bookmarkStart w:id="21" w:name="_Toc6234_WPSOffice_Level1"/>
      <w:bookmarkStart w:id="22" w:name="_Toc28253_WPSOffice_Level1"/>
      <w:bookmarkStart w:id="23" w:name="_Toc15521_WPSOffice_Level1"/>
      <w:bookmarkStart w:id="24" w:name="_Toc30690_WPSOffice_Level1"/>
      <w:bookmarkStart w:id="25" w:name="_Toc8867_WPSOffice_Level2"/>
      <w:bookmarkStart w:id="26" w:name="_Toc6211_WPSOffice_Level2"/>
      <w:bookmarkStart w:id="27" w:name="_Toc32695_WPSOffice_Level2"/>
      <w:bookmarkStart w:id="28" w:name="_Toc4029_WPSOffice_Level2"/>
      <w:bookmarkStart w:id="29" w:name="_Toc11518_WPSOffice_Level2"/>
      <w:bookmarkStart w:id="30" w:name="_Toc32472_WPSOffice_Level2"/>
      <w:r>
        <w:rPr>
          <w:rFonts w:hint="eastAsia" w:ascii="仿宋_GB2312" w:hAnsi="ˎ̥" w:eastAsia="仿宋_GB2312" w:cs="Times New Roman"/>
          <w:sz w:val="32"/>
          <w:szCs w:val="32"/>
        </w:rPr>
        <w:t>单位内设机构即包括：</w:t>
      </w:r>
    </w:p>
    <w:p>
      <w:pPr>
        <w:ind w:firstLine="640" w:firstLineChars="200"/>
        <w:rPr>
          <w:rFonts w:ascii="楷体" w:hAnsi="楷体" w:eastAsia="楷体" w:cs="楷体"/>
          <w:sz w:val="32"/>
          <w:szCs w:val="32"/>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19721_WPSOffice_Level2"/>
      <w:bookmarkStart w:id="34" w:name="_Toc4442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ˎ̥" w:eastAsia="黑体" w:cs="Times New Roman"/>
          <w:sz w:val="32"/>
          <w:szCs w:val="32"/>
        </w:rPr>
      </w:pPr>
      <w:r>
        <w:rPr>
          <w:rFonts w:hint="eastAsia" w:ascii="黑体" w:hAnsi="ˎ̥" w:eastAsia="黑体" w:cs="Times New Roman"/>
          <w:sz w:val="32"/>
          <w:szCs w:val="32"/>
        </w:rPr>
        <w:t>第二部分  三亚市</w:t>
      </w:r>
      <w:r>
        <w:rPr>
          <w:rFonts w:hint="eastAsia" w:ascii="黑体" w:hAnsi="ˎ̥" w:eastAsia="黑体" w:cs="Times New Roman"/>
          <w:sz w:val="32"/>
          <w:szCs w:val="32"/>
          <w:lang w:eastAsia="zh-CN"/>
        </w:rPr>
        <w:t>第四</w:t>
      </w:r>
      <w:r>
        <w:rPr>
          <w:rFonts w:hint="eastAsia" w:ascii="黑体" w:hAnsi="ˎ̥" w:eastAsia="黑体" w:cs="Times New Roman"/>
          <w:sz w:val="32"/>
          <w:szCs w:val="32"/>
        </w:rPr>
        <w:t>小学202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5608_WPSOffice_Level2"/>
      <w:bookmarkStart w:id="36" w:name="_Toc26621_WPSOffice_Level2"/>
      <w:bookmarkStart w:id="37" w:name="_Toc23139_WPSOffice_Level2"/>
      <w:bookmarkStart w:id="38" w:name="_Toc28622_WPSOffice_Level2"/>
      <w:bookmarkStart w:id="39" w:name="_Toc14349_WPSOffice_Level2"/>
      <w:bookmarkStart w:id="40" w:name="_Toc30334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858_WPSOffice_Level2"/>
      <w:bookmarkStart w:id="42" w:name="_Toc17626_WPSOffice_Level2"/>
      <w:bookmarkStart w:id="43" w:name="_Toc3262_WPSOffice_Level2"/>
      <w:bookmarkStart w:id="44" w:name="_Toc14658_WPSOffice_Level2"/>
      <w:bookmarkStart w:id="45" w:name="_Toc5489_WPSOffice_Level2"/>
      <w:bookmarkStart w:id="46" w:name="_Toc13854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1415_WPSOffice_Level2"/>
      <w:bookmarkStart w:id="48" w:name="_Toc23591_WPSOffice_Level2"/>
      <w:bookmarkStart w:id="49" w:name="_Toc13701_WPSOffice_Level2"/>
      <w:bookmarkStart w:id="50" w:name="_Toc7988_WPSOffice_Level2"/>
      <w:bookmarkStart w:id="51" w:name="_Toc4265_WPSOffice_Level2"/>
      <w:bookmarkStart w:id="52" w:name="_Toc23493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5166_WPSOffice_Level2"/>
      <w:bookmarkStart w:id="54" w:name="_Toc7879_WPSOffice_Level2"/>
      <w:bookmarkStart w:id="55" w:name="_Toc23829_WPSOffice_Level2"/>
      <w:bookmarkStart w:id="56" w:name="_Toc22783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17283_WPSOffice_Level2"/>
      <w:bookmarkStart w:id="61" w:name="_Toc5343_WPSOffice_Level2"/>
      <w:bookmarkStart w:id="62" w:name="_Toc8373_WPSOffice_Level2"/>
      <w:bookmarkStart w:id="63" w:name="_Toc25362_WPSOffice_Level2"/>
      <w:bookmarkStart w:id="64" w:name="_Toc2632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6020_WPSOffice_Level2"/>
      <w:bookmarkStart w:id="66" w:name="_Toc13345_WPSOffice_Level2"/>
      <w:bookmarkStart w:id="67" w:name="_Toc21310_WPSOffice_Level2"/>
      <w:bookmarkStart w:id="68" w:name="_Toc11799_WPSOffice_Level2"/>
      <w:bookmarkStart w:id="69" w:name="_Toc5594_WPSOffice_Level2"/>
      <w:bookmarkStart w:id="70" w:name="_Toc1533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19961_WPSOffice_Level2"/>
      <w:bookmarkStart w:id="72" w:name="_Toc29886_WPSOffice_Level2"/>
      <w:bookmarkStart w:id="73" w:name="_Toc1820_WPSOffice_Level2"/>
      <w:bookmarkStart w:id="74" w:name="_Toc9377_WPSOffice_Level2"/>
      <w:r>
        <w:rPr>
          <w:rFonts w:hint="eastAsia" w:ascii="黑体" w:hAnsi="黑体" w:eastAsia="黑体" w:cs="黑体"/>
          <w:sz w:val="32"/>
          <w:szCs w:val="32"/>
        </w:rPr>
        <w:t xml:space="preserve">    九、一般公共预算财政拨款“三公”经费支出决算</w:t>
      </w:r>
    </w:p>
    <w:p>
      <w:pPr>
        <w:rPr>
          <w:rFonts w:ascii="黑体" w:hAnsi="黑体" w:eastAsia="黑体" w:cs="黑体"/>
          <w:sz w:val="32"/>
          <w:szCs w:val="32"/>
        </w:rPr>
      </w:pPr>
      <w:r>
        <w:rPr>
          <w:rFonts w:hint="eastAsia"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十、政府性基金预算财政拨款“三公”经费支出决算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十一、国有资本经营预算财政拨款“三公”经费支出决算</w:t>
      </w:r>
    </w:p>
    <w:p>
      <w:pPr>
        <w:rPr>
          <w:rFonts w:ascii="黑体" w:hAnsi="黑体" w:eastAsia="黑体" w:cs="黑体"/>
          <w:sz w:val="32"/>
          <w:szCs w:val="32"/>
        </w:rPr>
      </w:pPr>
      <w:r>
        <w:rPr>
          <w:rFonts w:hint="eastAsia" w:ascii="黑体" w:hAnsi="黑体" w:eastAsia="黑体" w:cs="黑体"/>
          <w:w w:val="96"/>
          <w:sz w:val="32"/>
          <w:szCs w:val="32"/>
        </w:rPr>
        <w:t xml:space="preserve">          公开表</w:t>
      </w:r>
      <w:r>
        <w:rPr>
          <w:rFonts w:hint="eastAsia" w:ascii="黑体" w:hAnsi="黑体" w:eastAsia="黑体" w:cs="黑体"/>
          <w:sz w:val="32"/>
          <w:szCs w:val="32"/>
        </w:rPr>
        <w:t>（见正文附件）。</w:t>
      </w:r>
    </w:p>
    <w:p>
      <w:pPr>
        <w:jc w:val="center"/>
        <w:rPr>
          <w:rFonts w:ascii="黑体" w:hAnsi="ˎ̥" w:eastAsia="黑体" w:cs="Times New Roman"/>
          <w:sz w:val="32"/>
          <w:szCs w:val="32"/>
        </w:rPr>
      </w:pPr>
      <w:bookmarkStart w:id="75" w:name="_Toc16686_WPSOffice_Level1"/>
      <w:bookmarkStart w:id="76" w:name="_Toc31264_WPSOffice_Level1"/>
      <w:bookmarkStart w:id="77" w:name="_Toc28629_WPSOffice_Level1"/>
      <w:bookmarkStart w:id="78" w:name="_Toc27590_WPSOffice_Level1"/>
      <w:bookmarkStart w:id="79" w:name="_Toc4402_WPSOffice_Level1"/>
      <w:bookmarkStart w:id="80" w:name="_Toc29683_WPSOffice_Level1"/>
      <w:r>
        <w:rPr>
          <w:rFonts w:hint="eastAsia" w:ascii="黑体" w:hAnsi="ˎ̥" w:eastAsia="黑体" w:cs="Times New Roman"/>
          <w:sz w:val="32"/>
          <w:szCs w:val="32"/>
        </w:rPr>
        <w:t>第三部分  三亚市</w:t>
      </w:r>
      <w:r>
        <w:rPr>
          <w:rFonts w:hint="eastAsia" w:ascii="黑体" w:hAnsi="ˎ̥" w:eastAsia="黑体" w:cs="Times New Roman"/>
          <w:sz w:val="32"/>
          <w:szCs w:val="32"/>
          <w:lang w:eastAsia="zh-CN"/>
        </w:rPr>
        <w:t>第四</w:t>
      </w:r>
      <w:r>
        <w:rPr>
          <w:rFonts w:hint="eastAsia" w:ascii="黑体" w:hAnsi="ˎ̥" w:eastAsia="黑体" w:cs="Times New Roman"/>
          <w:sz w:val="32"/>
          <w:szCs w:val="32"/>
        </w:rPr>
        <w:t>小学202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年度部门决算情况说明</w:t>
      </w:r>
      <w:bookmarkEnd w:id="75"/>
      <w:bookmarkEnd w:id="76"/>
      <w:bookmarkEnd w:id="77"/>
      <w:bookmarkEnd w:id="78"/>
      <w:bookmarkEnd w:id="79"/>
      <w:bookmarkEnd w:id="80"/>
    </w:p>
    <w:p>
      <w:pPr>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一、收入支出决算总体情况说明</w:t>
      </w:r>
    </w:p>
    <w:p>
      <w:pPr>
        <w:numPr>
          <w:ilvl w:val="0"/>
          <w:numId w:val="0"/>
        </w:numPr>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年度收、支总计</w:t>
      </w:r>
      <w:r>
        <w:rPr>
          <w:rFonts w:hint="eastAsia" w:ascii="仿宋_GB2312" w:hAnsi="ˎ̥" w:eastAsia="仿宋_GB2312" w:cs="Times New Roman"/>
          <w:sz w:val="32"/>
          <w:szCs w:val="32"/>
          <w:lang w:val="en-US" w:eastAsia="zh-CN"/>
        </w:rPr>
        <w:t>4286.78</w:t>
      </w:r>
      <w:r>
        <w:rPr>
          <w:rFonts w:hint="eastAsia" w:ascii="仿宋_GB2312" w:hAnsi="ˎ̥" w:eastAsia="仿宋_GB2312" w:cs="Times New Roman"/>
          <w:sz w:val="32"/>
          <w:szCs w:val="32"/>
        </w:rPr>
        <w:t>万元，与20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年度相比，收入总计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82.86</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 xml:space="preserve"> 3.87</w:t>
      </w:r>
      <w:r>
        <w:rPr>
          <w:rFonts w:hint="eastAsia" w:ascii="仿宋_GB2312" w:hAnsi="ˎ̥" w:eastAsia="仿宋_GB2312" w:cs="Times New Roman"/>
          <w:sz w:val="32"/>
          <w:szCs w:val="32"/>
        </w:rPr>
        <w:t>%、支出总计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72.82</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3.40</w:t>
      </w:r>
      <w:r>
        <w:rPr>
          <w:rFonts w:hint="eastAsia" w:ascii="仿宋_GB2312" w:hAnsi="ˎ̥" w:eastAsia="仿宋_GB2312" w:cs="Times New Roman"/>
          <w:sz w:val="32"/>
          <w:szCs w:val="32"/>
        </w:rPr>
        <w:t>%。</w:t>
      </w:r>
      <w:r>
        <w:rPr>
          <w:rFonts w:hint="eastAsia" w:ascii="仿宋_GB2312" w:hAnsi="ˎ̥" w:eastAsia="仿宋_GB2312"/>
          <w:color w:val="000000" w:themeColor="text1"/>
          <w:sz w:val="32"/>
          <w:szCs w:val="32"/>
          <w:highlight w:val="none"/>
          <w14:textFill>
            <w14:solidFill>
              <w14:schemeClr w14:val="tx1"/>
            </w14:solidFill>
          </w14:textFill>
        </w:rPr>
        <w:t>主要原因：人员增加、工资福利支出增加</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sz w:val="32"/>
          <w:szCs w:val="32"/>
        </w:rPr>
        <w:t>使用非财政拨款结余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年度决算数减少</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万元，主要是财政拨款结转，较20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eastAsia="zh-CN"/>
        </w:rPr>
        <w:t>减少</w:t>
      </w:r>
      <w:r>
        <w:rPr>
          <w:rFonts w:hint="eastAsia" w:ascii="仿宋_GB2312" w:hAnsi="ˎ̥" w:eastAsia="仿宋_GB2312" w:cs="Times New Roman"/>
          <w:sz w:val="32"/>
          <w:szCs w:val="32"/>
          <w:lang w:val="en-US" w:eastAsia="zh-CN"/>
        </w:rPr>
        <w:t>10.04</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下降</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主</w:t>
      </w:r>
      <w:r>
        <w:rPr>
          <w:rFonts w:hint="default" w:ascii="仿宋_GB2312" w:hAnsi="ˎ̥" w:eastAsia="仿宋_GB2312" w:cs="仿宋_GB2312"/>
          <w:color w:val="000000" w:themeColor="text1"/>
          <w:sz w:val="32"/>
          <w:szCs w:val="32"/>
          <w:highlight w:val="none"/>
          <w14:textFill>
            <w14:solidFill>
              <w14:schemeClr w14:val="tx1"/>
            </w14:solidFill>
          </w14:textFill>
        </w:rPr>
        <w:t>要原因是</w:t>
      </w:r>
      <w:r>
        <w:rPr>
          <w:rFonts w:hint="eastAsia" w:ascii="仿宋_GB2312" w:hAnsi="ˎ̥" w:eastAsia="仿宋_GB2312"/>
          <w:color w:val="000000" w:themeColor="text1"/>
          <w:sz w:val="32"/>
          <w:szCs w:val="32"/>
          <w:highlight w:val="none"/>
          <w14:textFill>
            <w14:solidFill>
              <w14:schemeClr w14:val="tx1"/>
            </w14:solidFill>
          </w14:textFill>
        </w:rPr>
        <w:t>人员增加，导致工资福利增加</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sz w:val="32"/>
          <w:szCs w:val="32"/>
        </w:rPr>
        <w:t>年末结转结余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万元，主要是财政拨款结转，较20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年度决算数减少</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下降</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无</w:t>
      </w:r>
      <w:r>
        <w:rPr>
          <w:rFonts w:hint="eastAsia" w:ascii="仿宋_GB2312" w:hAnsi="ˎ̥" w:eastAsia="仿宋_GB2312" w:cs="Times New Roman"/>
          <w:color w:val="000000" w:themeColor="text1"/>
          <w:sz w:val="32"/>
          <w:szCs w:val="32"/>
          <w:highlight w:val="none"/>
          <w14:textFill>
            <w14:solidFill>
              <w14:schemeClr w14:val="tx1"/>
            </w14:solidFill>
          </w14:textFill>
        </w:rPr>
        <w:t>年末结转结余</w:t>
      </w:r>
      <w:r>
        <w:rPr>
          <w:rFonts w:hint="eastAsia" w:ascii="仿宋_GB2312" w:hAnsi="??" w:eastAsia="仿宋_GB2312"/>
          <w:color w:val="000000" w:themeColor="text1"/>
          <w:sz w:val="32"/>
          <w:szCs w:val="32"/>
          <w:highlight w:val="none"/>
          <w14:textFill>
            <w14:solidFill>
              <w14:schemeClr w14:val="tx1"/>
            </w14:solidFill>
          </w14:textFill>
        </w:rPr>
        <w:t>。</w:t>
      </w:r>
    </w:p>
    <w:p>
      <w:pPr>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二、收入决算情况说明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 xml:space="preserve"> 本年收入合计</w:t>
      </w:r>
      <w:r>
        <w:rPr>
          <w:rFonts w:hint="eastAsia" w:ascii="仿宋_GB2312" w:hAnsi="ˎ̥" w:eastAsia="仿宋_GB2312" w:cs="Times New Roman"/>
          <w:sz w:val="32"/>
          <w:szCs w:val="32"/>
          <w:lang w:val="en-US" w:eastAsia="zh-CN"/>
        </w:rPr>
        <w:t>2143.39</w:t>
      </w:r>
      <w:r>
        <w:rPr>
          <w:rFonts w:hint="eastAsia" w:ascii="仿宋_GB2312" w:hAnsi="ˎ̥" w:eastAsia="仿宋_GB2312" w:cs="Times New Roman"/>
          <w:sz w:val="32"/>
          <w:szCs w:val="32"/>
        </w:rPr>
        <w:t>万元，其中：财政拨款收入</w:t>
      </w:r>
      <w:r>
        <w:rPr>
          <w:rFonts w:hint="eastAsia" w:ascii="仿宋_GB2312" w:hAnsi="ˎ̥" w:eastAsia="仿宋_GB2312" w:cs="Times New Roman"/>
          <w:sz w:val="32"/>
          <w:szCs w:val="32"/>
          <w:lang w:val="en-US" w:eastAsia="zh-CN"/>
        </w:rPr>
        <w:t>2143.21</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99.99</w:t>
      </w:r>
      <w:r>
        <w:rPr>
          <w:rFonts w:hint="eastAsia" w:ascii="仿宋_GB2312" w:hAnsi="ˎ̥" w:eastAsia="仿宋_GB2312" w:cs="Times New Roman"/>
          <w:sz w:val="32"/>
          <w:szCs w:val="32"/>
        </w:rPr>
        <w:t>%；其他收入</w:t>
      </w:r>
      <w:r>
        <w:rPr>
          <w:rFonts w:hint="eastAsia" w:ascii="仿宋_GB2312" w:hAnsi="ˎ̥" w:eastAsia="仿宋_GB2312" w:cs="Times New Roman"/>
          <w:sz w:val="32"/>
          <w:szCs w:val="32"/>
          <w:lang w:val="en-US" w:eastAsia="zh-CN"/>
        </w:rPr>
        <w:t>0.18</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0.008</w:t>
      </w:r>
      <w:r>
        <w:rPr>
          <w:rFonts w:hint="eastAsia" w:ascii="仿宋_GB2312" w:hAnsi="ˎ̥" w:eastAsia="仿宋_GB2312" w:cs="Times New Roman"/>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本年支出合计</w:t>
      </w:r>
      <w:r>
        <w:rPr>
          <w:rFonts w:hint="eastAsia" w:ascii="仿宋_GB2312" w:hAnsi="ˎ̥" w:eastAsia="仿宋_GB2312" w:cs="Times New Roman"/>
          <w:sz w:val="32"/>
          <w:szCs w:val="32"/>
          <w:lang w:val="en-US" w:eastAsia="zh-CN"/>
        </w:rPr>
        <w:t>2143.39</w:t>
      </w:r>
      <w:r>
        <w:rPr>
          <w:rFonts w:hint="eastAsia" w:ascii="仿宋_GB2312" w:hAnsi="ˎ̥" w:eastAsia="仿宋_GB2312" w:cs="Times New Roman"/>
          <w:sz w:val="32"/>
          <w:szCs w:val="32"/>
        </w:rPr>
        <w:t>万元，其中：教育支出</w:t>
      </w:r>
      <w:r>
        <w:rPr>
          <w:rFonts w:hint="eastAsia" w:ascii="仿宋_GB2312" w:hAnsi="ˎ̥" w:eastAsia="仿宋_GB2312" w:cs="Times New Roman"/>
          <w:sz w:val="32"/>
          <w:szCs w:val="32"/>
          <w:lang w:val="en-US" w:eastAsia="zh-CN"/>
        </w:rPr>
        <w:t>1701.56</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79.39</w:t>
      </w:r>
      <w:r>
        <w:rPr>
          <w:rFonts w:hint="eastAsia" w:ascii="仿宋_GB2312" w:hAnsi="ˎ̥" w:eastAsia="仿宋_GB2312" w:cs="Times New Roman"/>
          <w:sz w:val="32"/>
          <w:szCs w:val="32"/>
        </w:rPr>
        <w:t>%；社会保障和就业支出</w:t>
      </w:r>
      <w:r>
        <w:rPr>
          <w:rFonts w:hint="eastAsia" w:ascii="仿宋_GB2312" w:hAnsi="ˎ̥" w:eastAsia="仿宋_GB2312" w:cs="Times New Roman"/>
          <w:sz w:val="32"/>
          <w:szCs w:val="32"/>
          <w:lang w:val="en-US" w:eastAsia="zh-CN"/>
        </w:rPr>
        <w:t>155.31</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7.25</w:t>
      </w:r>
      <w:r>
        <w:rPr>
          <w:rFonts w:hint="eastAsia" w:ascii="仿宋_GB2312" w:hAnsi="ˎ̥" w:eastAsia="仿宋_GB2312" w:cs="Times New Roman"/>
          <w:sz w:val="32"/>
          <w:szCs w:val="32"/>
        </w:rPr>
        <w:t>%；卫生健康支出</w:t>
      </w:r>
      <w:r>
        <w:rPr>
          <w:rFonts w:hint="eastAsia" w:ascii="仿宋_GB2312" w:hAnsi="ˎ̥" w:eastAsia="仿宋_GB2312" w:cs="Times New Roman"/>
          <w:sz w:val="32"/>
          <w:szCs w:val="32"/>
          <w:lang w:val="en-US" w:eastAsia="zh-CN"/>
        </w:rPr>
        <w:t>196.09</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9.15</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城乡社区支出</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w:t>
      </w:r>
      <w:r>
        <w:rPr>
          <w:rFonts w:hint="eastAsia" w:ascii="仿宋_GB2312" w:hAnsi="ˎ̥" w:eastAsia="仿宋_GB2312" w:cs="Times New Roman"/>
          <w:sz w:val="32"/>
          <w:szCs w:val="32"/>
        </w:rPr>
        <w:t>占</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hint="eastAsia" w:ascii="仿宋_GB2312" w:hAnsi="ˎ̥" w:eastAsia="仿宋_GB2312" w:cs="Times New Roman"/>
          <w:sz w:val="32"/>
          <w:szCs w:val="32"/>
        </w:rPr>
        <w:t>住房保障支出</w:t>
      </w:r>
      <w:r>
        <w:rPr>
          <w:rFonts w:hint="eastAsia" w:ascii="仿宋_GB2312" w:hAnsi="ˎ̥" w:eastAsia="仿宋_GB2312" w:cs="Times New Roman"/>
          <w:sz w:val="32"/>
          <w:szCs w:val="32"/>
          <w:lang w:val="en-US" w:eastAsia="zh-CN"/>
        </w:rPr>
        <w:t>90.44</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4.21</w:t>
      </w:r>
      <w:r>
        <w:rPr>
          <w:rFonts w:hint="eastAsia" w:ascii="仿宋_GB2312" w:hAnsi="ˎ̥" w:eastAsia="仿宋_GB2312" w:cs="Times New Roman"/>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年度财政拨款收入、支出总计</w:t>
      </w:r>
      <w:r>
        <w:rPr>
          <w:rFonts w:hint="eastAsia" w:ascii="仿宋_GB2312" w:hAnsi="ˎ̥" w:eastAsia="仿宋_GB2312" w:cs="Times New Roman"/>
          <w:sz w:val="32"/>
          <w:szCs w:val="32"/>
          <w:lang w:val="en-US" w:eastAsia="zh-CN"/>
        </w:rPr>
        <w:t>4286.78</w:t>
      </w:r>
      <w:r>
        <w:rPr>
          <w:rFonts w:hint="eastAsia" w:ascii="仿宋_GB2312" w:hAnsi="ˎ̥" w:eastAsia="仿宋_GB2312" w:cs="Times New Roman"/>
          <w:sz w:val="32"/>
          <w:szCs w:val="32"/>
        </w:rPr>
        <w:t>万元。与20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年度相比，财政拨款收入总计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82.86</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3.87</w:t>
      </w:r>
      <w:r>
        <w:rPr>
          <w:rFonts w:hint="eastAsia" w:ascii="仿宋_GB2312" w:hAnsi="ˎ̥" w:eastAsia="仿宋_GB2312" w:cs="Times New Roman"/>
          <w:sz w:val="32"/>
          <w:szCs w:val="32"/>
        </w:rPr>
        <w:t>%。支出总计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72.82</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3.4</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hint="eastAsia" w:ascii="仿宋_GB2312" w:hAnsi="ˎ̥" w:eastAsia="仿宋_GB2312"/>
          <w:color w:val="000000" w:themeColor="text1"/>
          <w:sz w:val="32"/>
          <w:szCs w:val="32"/>
          <w:highlight w:val="none"/>
          <w14:textFill>
            <w14:solidFill>
              <w14:schemeClr w14:val="tx1"/>
            </w14:solidFill>
          </w14:textFill>
        </w:rPr>
        <w:t>主要原因：人员增加、工资福利支出增加</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财政拨款年初结转结余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万元，主要是教育支出，较20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eastAsia="zh-CN"/>
        </w:rPr>
        <w:t>减少</w:t>
      </w:r>
      <w:r>
        <w:rPr>
          <w:rFonts w:hint="eastAsia" w:ascii="仿宋_GB2312" w:hAnsi="ˎ̥" w:eastAsia="仿宋_GB2312" w:cs="Times New Roman"/>
          <w:sz w:val="32"/>
          <w:szCs w:val="32"/>
          <w:lang w:val="en-US" w:eastAsia="zh-CN"/>
        </w:rPr>
        <w:t>10.04</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下降</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主</w:t>
      </w:r>
      <w:r>
        <w:rPr>
          <w:rFonts w:hint="default" w:ascii="仿宋_GB2312" w:hAnsi="ˎ̥" w:eastAsia="仿宋_GB2312" w:cs="仿宋_GB2312"/>
          <w:color w:val="000000" w:themeColor="text1"/>
          <w:sz w:val="32"/>
          <w:szCs w:val="32"/>
          <w:highlight w:val="none"/>
          <w14:textFill>
            <w14:solidFill>
              <w14:schemeClr w14:val="tx1"/>
            </w14:solidFill>
          </w14:textFill>
        </w:rPr>
        <w:t>要原因是</w:t>
      </w:r>
      <w:r>
        <w:rPr>
          <w:rFonts w:hint="eastAsia" w:ascii="仿宋_GB2312" w:hAnsi="ˎ̥" w:eastAsia="仿宋_GB2312"/>
          <w:color w:val="000000" w:themeColor="text1"/>
          <w:sz w:val="32"/>
          <w:szCs w:val="32"/>
          <w:highlight w:val="none"/>
          <w14:textFill>
            <w14:solidFill>
              <w14:schemeClr w14:val="tx1"/>
            </w14:solidFill>
          </w14:textFill>
        </w:rPr>
        <w:t>人员增加，导致工资福利增加</w:t>
      </w:r>
      <w:r>
        <w:rPr>
          <w:rFonts w:hint="eastAsia" w:ascii="仿宋_GB2312" w:hAnsi="ˎ̥" w:eastAsia="仿宋_GB2312" w:cs="Times New Roman"/>
          <w:color w:val="000000" w:themeColor="text1"/>
          <w:sz w:val="32"/>
          <w:szCs w:val="32"/>
          <w:highlight w:val="none"/>
          <w14:textFill>
            <w14:solidFill>
              <w14:schemeClr w14:val="tx1"/>
            </w14:solidFill>
          </w14:textFill>
        </w:rPr>
        <w:t>。</w:t>
      </w:r>
    </w:p>
    <w:p>
      <w:pPr>
        <w:numPr>
          <w:ilvl w:val="0"/>
          <w:numId w:val="0"/>
        </w:num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财政拨款年末结转结余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w:t>
      </w:r>
      <w:r>
        <w:rPr>
          <w:rFonts w:hint="eastAsia" w:ascii="仿宋_GB2312" w:hAnsi="ˎ̥" w:eastAsia="仿宋_GB2312" w:cs="Times New Roman"/>
          <w:color w:val="000000" w:themeColor="text1"/>
          <w:sz w:val="32"/>
          <w:szCs w:val="32"/>
          <w14:textFill>
            <w14:solidFill>
              <w14:schemeClr w14:val="tx1"/>
            </w14:solidFill>
          </w14:textFill>
        </w:rPr>
        <w:t>是教育支出</w:t>
      </w:r>
      <w:r>
        <w:rPr>
          <w:rFonts w:hint="eastAsia" w:ascii="仿宋_GB2312" w:hAnsi="ˎ̥" w:eastAsia="仿宋_GB2312" w:cs="Times New Roman"/>
          <w:sz w:val="32"/>
          <w:szCs w:val="32"/>
        </w:rPr>
        <w:t>，较20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年度年末决算数</w:t>
      </w:r>
      <w:r>
        <w:rPr>
          <w:rFonts w:hint="eastAsia" w:ascii="仿宋_GB2312" w:hAnsi="ˎ̥" w:eastAsia="仿宋_GB2312" w:cs="Times New Roman"/>
          <w:sz w:val="32"/>
          <w:szCs w:val="32"/>
          <w:lang w:eastAsia="zh-CN"/>
        </w:rPr>
        <w:t>减少</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下降</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无</w:t>
      </w:r>
      <w:r>
        <w:rPr>
          <w:rFonts w:hint="eastAsia" w:ascii="仿宋_GB2312" w:hAnsi="ˎ̥" w:eastAsia="仿宋_GB2312" w:cs="Times New Roman"/>
          <w:color w:val="000000" w:themeColor="text1"/>
          <w:sz w:val="32"/>
          <w:szCs w:val="32"/>
          <w:highlight w:val="none"/>
          <w14:textFill>
            <w14:solidFill>
              <w14:schemeClr w14:val="tx1"/>
            </w14:solidFill>
          </w14:textFill>
        </w:rPr>
        <w:t>年末结转结余</w:t>
      </w:r>
      <w:r>
        <w:rPr>
          <w:rFonts w:hint="eastAsia" w:ascii="仿宋_GB2312" w:hAnsi="??" w:eastAsia="仿宋_GB2312"/>
          <w:color w:val="000000" w:themeColor="text1"/>
          <w:sz w:val="32"/>
          <w:szCs w:val="32"/>
          <w:highlight w:val="none"/>
          <w14:textFill>
            <w14:solidFill>
              <w14:schemeClr w14:val="tx1"/>
            </w14:solidFill>
          </w14:textFill>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1737_WPSOffice_Level2"/>
      <w:bookmarkStart w:id="84" w:name="_Toc23005_WPSOffice_Level2"/>
      <w:bookmarkStart w:id="85" w:name="_Toc9989_WPSOffice_Level2"/>
      <w:bookmarkStart w:id="86" w:name="_Toc1966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2143.21</w:t>
      </w:r>
      <w:r>
        <w:rPr>
          <w:rFonts w:hint="eastAsia" w:ascii="仿宋_GB2312" w:hAnsi="ˎ̥" w:eastAsia="仿宋_GB2312" w:cs="Times New Roman"/>
          <w:sz w:val="32"/>
          <w:szCs w:val="32"/>
        </w:rPr>
        <w:t>万元，占本年支出合计的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年度相比，一般公共预算财政拨款支出</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76.35</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3.56</w:t>
      </w:r>
      <w:r>
        <w:rPr>
          <w:rFonts w:hint="eastAsia" w:ascii="仿宋_GB2312" w:hAnsi="ˎ̥" w:eastAsia="仿宋_GB2312" w:cs="Times New Roman"/>
          <w:sz w:val="32"/>
          <w:szCs w:val="32"/>
        </w:rPr>
        <w:t>%。</w:t>
      </w:r>
    </w:p>
    <w:p>
      <w:pPr>
        <w:ind w:firstLine="640" w:firstLineChars="200"/>
        <w:rPr>
          <w:rFonts w:ascii="楷体" w:hAnsi="楷体" w:eastAsia="楷体" w:cs="楷体"/>
          <w:sz w:val="32"/>
          <w:szCs w:val="32"/>
        </w:rPr>
      </w:pPr>
      <w:bookmarkStart w:id="87" w:name="_Toc18793_WPSOffice_Level2"/>
      <w:bookmarkStart w:id="88" w:name="_Toc2711_WPSOffice_Level2"/>
      <w:bookmarkStart w:id="89" w:name="_Toc23864_WPSOffice_Level2"/>
      <w:bookmarkStart w:id="90" w:name="_Toc27767_WPSOffice_Level2"/>
      <w:bookmarkStart w:id="91" w:name="_Toc19535_WPSOffice_Level2"/>
      <w:bookmarkStart w:id="92" w:name="_Toc19075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2143.21</w:t>
      </w:r>
      <w:r>
        <w:rPr>
          <w:rFonts w:hint="eastAsia" w:ascii="仿宋_GB2312" w:hAnsi="ˎ̥" w:eastAsia="仿宋_GB2312" w:cs="Times New Roman"/>
          <w:sz w:val="32"/>
          <w:szCs w:val="32"/>
        </w:rPr>
        <w:t>万元，主要用于以下方面：</w:t>
      </w:r>
      <w:r>
        <w:rPr>
          <w:rFonts w:hint="eastAsia" w:ascii="仿宋_GB2312" w:hAnsi="ˎ̥" w:eastAsia="仿宋_GB2312" w:cs="Times New Roman"/>
          <w:b/>
          <w:sz w:val="32"/>
          <w:szCs w:val="32"/>
        </w:rPr>
        <w:t>教育（类）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1701.56</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79.39</w:t>
      </w:r>
      <w:r>
        <w:rPr>
          <w:rFonts w:hint="eastAsia" w:ascii="仿宋_GB2312" w:hAnsi="ˎ̥" w:eastAsia="仿宋_GB2312" w:cs="Times New Roman"/>
          <w:sz w:val="32"/>
          <w:szCs w:val="32"/>
        </w:rPr>
        <w:t>%；</w:t>
      </w:r>
      <w:r>
        <w:rPr>
          <w:rFonts w:hint="eastAsia" w:ascii="仿宋_GB2312" w:hAnsi="ˎ̥" w:eastAsia="仿宋_GB2312" w:cs="Times New Roman"/>
          <w:b/>
          <w:sz w:val="32"/>
          <w:szCs w:val="32"/>
        </w:rPr>
        <w:t>社会保障和就业（类）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155.31</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7.25</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住房保障（类）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90.44</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4.21</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卫生健康（类）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196.09</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9.15</w:t>
      </w:r>
      <w:r>
        <w:rPr>
          <w:rFonts w:hint="eastAsia" w:ascii="仿宋_GB2312" w:hAnsi="ˎ̥" w:eastAsia="仿宋_GB2312" w:cs="Times New Roman"/>
          <w:sz w:val="32"/>
          <w:szCs w:val="32"/>
        </w:rPr>
        <w:t>%。</w:t>
      </w:r>
    </w:p>
    <w:p>
      <w:pPr>
        <w:ind w:firstLine="640" w:firstLineChars="200"/>
        <w:rPr>
          <w:rFonts w:ascii="楷体" w:hAnsi="楷体" w:eastAsia="楷体" w:cs="楷体"/>
          <w:sz w:val="32"/>
          <w:szCs w:val="32"/>
        </w:rPr>
      </w:pPr>
      <w:bookmarkStart w:id="93" w:name="_Toc21701_WPSOffice_Level2"/>
      <w:bookmarkStart w:id="94" w:name="_Toc9502_WPSOffice_Level2"/>
      <w:bookmarkStart w:id="95" w:name="_Toc25136_WPSOffice_Level2"/>
      <w:bookmarkStart w:id="96" w:name="_Toc22318_WPSOffice_Level2"/>
      <w:bookmarkStart w:id="97" w:name="_Toc29364_WPSOffice_Level2"/>
      <w:bookmarkStart w:id="98" w:name="_Toc15415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年度一般公共预算财政拨款支出年初预算为</w:t>
      </w:r>
      <w:r>
        <w:rPr>
          <w:rFonts w:hint="eastAsia" w:ascii="仿宋_GB2312" w:hAnsi="ˎ̥" w:eastAsia="仿宋_GB2312" w:cs="Times New Roman"/>
          <w:sz w:val="32"/>
          <w:szCs w:val="32"/>
          <w:lang w:val="en-US" w:eastAsia="zh-CN"/>
        </w:rPr>
        <w:t>2143.21</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2143.21</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%。其中：</w:t>
      </w:r>
    </w:p>
    <w:p>
      <w:pPr>
        <w:ind w:firstLine="640" w:firstLineChars="200"/>
        <w:rPr>
          <w:rFonts w:ascii="仿宋_GB2312" w:hAnsi="ˎ̥" w:eastAsia="仿宋_GB2312" w:cs="Times New Roman"/>
          <w:b/>
          <w:sz w:val="32"/>
          <w:szCs w:val="32"/>
        </w:rPr>
      </w:pPr>
      <w:r>
        <w:rPr>
          <w:rFonts w:hint="eastAsia" w:ascii="仿宋_GB2312" w:hAnsi="ˎ̥" w:eastAsia="仿宋_GB2312" w:cs="Times New Roman"/>
          <w:sz w:val="32"/>
          <w:szCs w:val="32"/>
        </w:rPr>
        <w:t>1.</w:t>
      </w:r>
      <w:r>
        <w:rPr>
          <w:rFonts w:hint="eastAsia" w:ascii="仿宋_GB2312" w:hAnsi="ˎ̥" w:eastAsia="仿宋_GB2312" w:cs="Times New Roman"/>
          <w:b/>
          <w:sz w:val="32"/>
          <w:szCs w:val="32"/>
        </w:rPr>
        <w:t>教育（类）普通教育（款）小学教育（项）。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1701.56</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1701.56</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w:t>
      </w:r>
      <w:r>
        <w:rPr>
          <w:rFonts w:hint="eastAsia" w:ascii="仿宋_GB2312" w:hAnsi="ˎ̥" w:eastAsia="仿宋_GB2312" w:cs="Times New Roman"/>
          <w:b/>
          <w:sz w:val="32"/>
          <w:szCs w:val="32"/>
        </w:rPr>
        <w:t>社会保障和就业（类）</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155.31</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155.31</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7.25</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val="en-US" w:eastAsia="zh-CN"/>
        </w:rPr>
        <w:t>3</w:t>
      </w:r>
      <w:r>
        <w:rPr>
          <w:rFonts w:hint="eastAsia" w:ascii="仿宋_GB2312" w:hAnsi="ˎ̥" w:eastAsia="仿宋_GB2312" w:cs="Times New Roman"/>
          <w:sz w:val="32"/>
          <w:szCs w:val="32"/>
        </w:rPr>
        <w:t>.</w:t>
      </w:r>
      <w:r>
        <w:rPr>
          <w:rFonts w:hint="eastAsia" w:ascii="仿宋_GB2312" w:hAnsi="ˎ̥" w:eastAsia="仿宋_GB2312" w:cs="Times New Roman"/>
          <w:b/>
          <w:sz w:val="32"/>
          <w:szCs w:val="32"/>
        </w:rPr>
        <w:t>卫生健康（类）行政事业单位医疗（款）</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196.09</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196.09</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val="en-US" w:eastAsia="zh-CN"/>
        </w:rPr>
        <w:t>4</w:t>
      </w:r>
      <w:r>
        <w:rPr>
          <w:rFonts w:hint="eastAsia" w:ascii="仿宋_GB2312" w:hAnsi="ˎ̥" w:eastAsia="仿宋_GB2312" w:cs="Times New Roman"/>
          <w:sz w:val="32"/>
          <w:szCs w:val="32"/>
        </w:rPr>
        <w:t>.</w:t>
      </w:r>
      <w:r>
        <w:rPr>
          <w:rFonts w:hint="eastAsia" w:ascii="仿宋_GB2312" w:hAnsi="ˎ̥" w:eastAsia="仿宋_GB2312" w:cs="Times New Roman"/>
          <w:b/>
          <w:sz w:val="32"/>
          <w:szCs w:val="32"/>
        </w:rPr>
        <w:t>住房保障（类）住房改革支出（款）住房公积金（项）。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90.44</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90.44</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4.21</w:t>
      </w:r>
      <w:r>
        <w:rPr>
          <w:rFonts w:hint="eastAsia" w:ascii="仿宋_GB2312" w:hAnsi="ˎ̥" w:eastAsia="仿宋_GB2312" w:cs="Times New Roman"/>
          <w:sz w:val="32"/>
          <w:szCs w:val="32"/>
        </w:rPr>
        <w:t>%。</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年度财政拨款基本支出</w:t>
      </w:r>
      <w:r>
        <w:rPr>
          <w:rFonts w:hint="eastAsia" w:ascii="仿宋_GB2312" w:hAnsi="ˎ̥" w:eastAsia="仿宋_GB2312" w:cs="Times New Roman"/>
          <w:sz w:val="32"/>
          <w:szCs w:val="32"/>
          <w:lang w:val="en-US" w:eastAsia="zh-CN"/>
        </w:rPr>
        <w:t>1516.86</w:t>
      </w:r>
      <w:r>
        <w:rPr>
          <w:rFonts w:hint="eastAsia" w:ascii="仿宋_GB2312" w:hAnsi="ˎ̥" w:eastAsia="仿宋_GB2312" w:cs="Times New Roman"/>
          <w:sz w:val="32"/>
          <w:szCs w:val="32"/>
        </w:rPr>
        <w:t>万元，其中：人员经费</w:t>
      </w:r>
      <w:r>
        <w:rPr>
          <w:rFonts w:hint="eastAsia" w:ascii="仿宋_GB2312" w:hAnsi="ˎ̥" w:eastAsia="仿宋_GB2312" w:cs="Times New Roman"/>
          <w:sz w:val="32"/>
          <w:szCs w:val="32"/>
          <w:lang w:val="en-US" w:eastAsia="zh-CN"/>
        </w:rPr>
        <w:t>1477.26</w:t>
      </w:r>
      <w:r>
        <w:rPr>
          <w:rFonts w:hint="eastAsia" w:ascii="仿宋_GB2312" w:hAnsi="ˎ̥" w:eastAsia="仿宋_GB2312" w:cs="Times New Roman"/>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ˎ̥" w:eastAsia="仿宋_GB2312" w:cs="Times New Roman"/>
          <w:sz w:val="32"/>
          <w:szCs w:val="32"/>
          <w:lang w:val="en-US" w:eastAsia="zh-CN"/>
        </w:rPr>
        <w:t>39.60</w:t>
      </w:r>
      <w:r>
        <w:rPr>
          <w:rFonts w:hint="eastAsia" w:ascii="仿宋_GB2312" w:hAnsi="ˎ̥" w:eastAsia="仿宋_GB2312" w:cs="Times New Roman"/>
          <w:sz w:val="32"/>
          <w:szCs w:val="32"/>
        </w:rPr>
        <w:t>万元，主要包括：邮电费、工会经费、其他商品和服务支出。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年度政府性基金预算财政拨款支出0万元，占本年支出合计的0%。与20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w:t>
      </w:r>
      <w:r>
        <w:rPr>
          <w:rFonts w:hint="eastAsia" w:ascii="仿宋_GB2312" w:hAnsi="ˎ̥" w:eastAsia="仿宋_GB2312" w:cs="Times New Roman"/>
          <w:sz w:val="32"/>
          <w:szCs w:val="32"/>
          <w:lang w:val="en-US" w:eastAsia="zh-CN"/>
        </w:rPr>
        <w:t>22</w:t>
      </w:r>
      <w:r>
        <w:rPr>
          <w:rFonts w:hint="eastAsia" w:ascii="仿宋_GB2312" w:hAnsi="ˎ̥" w:eastAsia="仿宋_GB2312" w:cs="Times New Roman"/>
          <w:sz w:val="32"/>
          <w:szCs w:val="32"/>
        </w:rPr>
        <w:t>年度国有资本经营预算财政拨款支出0万元，占本年支出合计的0%。与20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rPr>
          <w:rFonts w:ascii="仿宋_GB2312" w:hAnsi="ˎ̥" w:eastAsia="仿宋_GB2312" w:cs="Times New Roman"/>
          <w:color w:val="auto"/>
          <w:sz w:val="32"/>
          <w:szCs w:val="32"/>
        </w:rPr>
      </w:pPr>
      <w:r>
        <w:rPr>
          <w:rFonts w:hint="eastAsia" w:ascii="仿宋_GB2312" w:hAnsi="ˎ̥" w:eastAsia="仿宋_GB2312" w:cs="Times New Roman"/>
          <w:sz w:val="32"/>
          <w:szCs w:val="32"/>
        </w:rPr>
        <w:t xml:space="preserve">    </w:t>
      </w: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年度一般公共预算财政拨款“三公”经费支出预算为0万元，支出决算为0万元，</w:t>
      </w:r>
      <w:r>
        <w:rPr>
          <w:rFonts w:hint="eastAsia" w:ascii="仿宋_GB2312" w:hAnsi="ˎ̥" w:eastAsia="仿宋_GB2312"/>
          <w:color w:val="auto"/>
          <w:sz w:val="32"/>
          <w:szCs w:val="32"/>
          <w:lang w:val="zh-CN"/>
        </w:rPr>
        <w:t>与预算数持平</w:t>
      </w:r>
      <w:r>
        <w:rPr>
          <w:rFonts w:hint="eastAsia" w:ascii="仿宋_GB2312" w:hAnsi="ˎ̥" w:eastAsia="仿宋_GB2312" w:cs="Times New Roman"/>
          <w:color w:val="auto"/>
          <w:sz w:val="32"/>
          <w:szCs w:val="32"/>
        </w:rPr>
        <w:t>。</w:t>
      </w:r>
    </w:p>
    <w:p>
      <w:pPr>
        <w:rPr>
          <w:rFonts w:ascii="楷体" w:hAnsi="楷体" w:eastAsia="楷体" w:cs="楷体"/>
          <w:b/>
          <w:bCs/>
          <w:color w:val="auto"/>
          <w:sz w:val="32"/>
          <w:szCs w:val="32"/>
        </w:rPr>
      </w:pPr>
      <w:r>
        <w:rPr>
          <w:rFonts w:hint="eastAsia" w:ascii="楷体" w:hAnsi="楷体" w:eastAsia="楷体" w:cs="楷体"/>
          <w:b/>
          <w:bCs/>
          <w:color w:val="auto"/>
          <w:sz w:val="32"/>
          <w:szCs w:val="32"/>
        </w:rPr>
        <w:t xml:space="preserve">    （二）一般公共预算财政拨款“三公”经费支出决算具体情况说明。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年度一般公共预算财政拨款“三公”经费支出决算中，因公出国（境）费支出决算0万元，占0%；公务用车购置及运行费支出决算0万元，占0%；公务接待费支出决算0万元，占0%。具体情况如下：</w:t>
      </w:r>
    </w:p>
    <w:p>
      <w:pPr>
        <w:ind w:firstLine="643" w:firstLineChars="200"/>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1.因公出国（境）费</w:t>
      </w:r>
      <w:r>
        <w:rPr>
          <w:rFonts w:hint="eastAsia" w:ascii="仿宋_GB2312" w:hAnsi="ˎ̥" w:eastAsia="仿宋_GB2312" w:cs="Times New Roman"/>
          <w:color w:val="auto"/>
          <w:sz w:val="32"/>
          <w:szCs w:val="32"/>
        </w:rPr>
        <w:t>支出0万元。全年安排因公出国（境）团组0个，因公出国（境）0人次。</w:t>
      </w:r>
      <w:r>
        <w:rPr>
          <w:rFonts w:hint="eastAsia" w:ascii="仿宋_GB2312" w:hAnsi="ˎ̥" w:eastAsia="仿宋_GB2312"/>
          <w:color w:val="auto"/>
          <w:sz w:val="32"/>
          <w:szCs w:val="32"/>
        </w:rPr>
        <w:t>因公出国（境）费支出决算与预算数持平。</w:t>
      </w:r>
    </w:p>
    <w:p>
      <w:pPr>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 xml:space="preserve">    2.公务用车购置及运行费支出</w:t>
      </w:r>
      <w:r>
        <w:rPr>
          <w:rFonts w:hint="eastAsia" w:ascii="仿宋_GB2312" w:hAnsi="ˎ̥" w:eastAsia="仿宋_GB2312" w:cs="Times New Roman"/>
          <w:color w:val="auto"/>
          <w:sz w:val="32"/>
          <w:szCs w:val="32"/>
        </w:rPr>
        <w:t>0万元。其中：</w:t>
      </w:r>
    </w:p>
    <w:p>
      <w:pPr>
        <w:ind w:firstLine="643" w:firstLineChars="200"/>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公务用车购置支出</w:t>
      </w:r>
      <w:r>
        <w:rPr>
          <w:rFonts w:hint="eastAsia" w:ascii="仿宋_GB2312" w:hAnsi="ˎ̥" w:eastAsia="仿宋_GB2312" w:cs="Times New Roman"/>
          <w:color w:val="auto"/>
          <w:sz w:val="32"/>
          <w:szCs w:val="32"/>
        </w:rPr>
        <w:t>0万元，全年购置公务用车0辆，年末公务用车保有量0辆。</w:t>
      </w:r>
    </w:p>
    <w:p>
      <w:pPr>
        <w:ind w:firstLine="643" w:firstLineChars="200"/>
        <w:rPr>
          <w:rFonts w:hint="eastAsia" w:ascii="仿宋_GB2312" w:hAnsi="ˎ̥" w:eastAsia="仿宋_GB2312" w:cs="Times New Roman"/>
          <w:color w:val="auto"/>
          <w:sz w:val="32"/>
          <w:szCs w:val="32"/>
        </w:rPr>
      </w:pPr>
      <w:r>
        <w:rPr>
          <w:rFonts w:hint="eastAsia" w:ascii="仿宋_GB2312" w:hAnsi="ˎ̥" w:eastAsia="仿宋_GB2312" w:cs="Times New Roman"/>
          <w:b/>
          <w:color w:val="auto"/>
          <w:sz w:val="32"/>
          <w:szCs w:val="32"/>
        </w:rPr>
        <w:t>公务用车运行维护费</w:t>
      </w:r>
      <w:r>
        <w:rPr>
          <w:rFonts w:hint="eastAsia" w:ascii="仿宋_GB2312" w:hAnsi="ˎ̥" w:eastAsia="仿宋_GB2312" w:cs="Times New Roman"/>
          <w:color w:val="auto"/>
          <w:sz w:val="32"/>
          <w:szCs w:val="32"/>
        </w:rPr>
        <w:t>支出0万元。</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公务用车购置及运行费支出决算与预算数持平。</w:t>
      </w:r>
    </w:p>
    <w:p>
      <w:pPr>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 xml:space="preserve">    3.公务接待费支出</w:t>
      </w:r>
      <w:r>
        <w:rPr>
          <w:rFonts w:hint="eastAsia" w:ascii="仿宋_GB2312" w:hAnsi="ˎ̥" w:eastAsia="仿宋_GB2312" w:cs="Times New Roman"/>
          <w:color w:val="auto"/>
          <w:sz w:val="32"/>
          <w:szCs w:val="32"/>
        </w:rPr>
        <w:t>0万元，其中：</w:t>
      </w:r>
    </w:p>
    <w:p>
      <w:pPr>
        <w:ind w:firstLine="643" w:firstLineChars="200"/>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国内接待费</w:t>
      </w:r>
      <w:r>
        <w:rPr>
          <w:rFonts w:hint="eastAsia" w:ascii="仿宋_GB2312" w:hAnsi="ˎ̥" w:eastAsia="仿宋_GB2312" w:cs="Times New Roman"/>
          <w:color w:val="auto"/>
          <w:sz w:val="32"/>
          <w:szCs w:val="32"/>
        </w:rPr>
        <w:t>支出0万元，国内公务接待0批次，接待0人次。</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国（境）外接待费支出0万元，国（境）外公务接待0批次，接待0人次。</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olor w:val="auto"/>
          <w:sz w:val="32"/>
          <w:szCs w:val="32"/>
          <w:lang w:val="zh-CN"/>
        </w:rPr>
        <w:t>公务接待费支出决算数与预算数持平。</w:t>
      </w:r>
    </w:p>
    <w:p>
      <w:pPr>
        <w:ind w:firstLine="627" w:firstLineChars="196"/>
        <w:rPr>
          <w:rFonts w:ascii="仿宋_GB2312" w:hAnsi="ˎ̥" w:eastAsia="楷体_GB2312" w:cs="Times New Roman"/>
          <w:color w:val="auto"/>
          <w:sz w:val="32"/>
          <w:szCs w:val="32"/>
        </w:rPr>
      </w:pPr>
      <w:r>
        <w:rPr>
          <w:rFonts w:hint="eastAsia" w:ascii="黑体" w:hAnsi="黑体" w:eastAsia="黑体" w:cs="黑体"/>
          <w:bCs/>
          <w:color w:val="auto"/>
          <w:sz w:val="32"/>
          <w:szCs w:val="32"/>
        </w:rPr>
        <w:t>十、政府性基金预算财政拨款“三公”经费支出决算情况说明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cs="Times New Roman"/>
          <w:color w:val="auto"/>
          <w:sz w:val="32"/>
          <w:szCs w:val="32"/>
        </w:rPr>
      </w:pPr>
      <w:r>
        <w:rPr>
          <w:rFonts w:hint="eastAsia" w:ascii="黑体" w:hAnsi="黑体" w:eastAsia="黑体" w:cs="黑体"/>
          <w:bCs/>
          <w:color w:val="auto"/>
          <w:sz w:val="32"/>
          <w:szCs w:val="32"/>
        </w:rPr>
        <w:t>十一、国有资本经营预算财政拨款“三公”经费支出决算情况说明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十二、预算绩效情况说明。</w:t>
      </w:r>
    </w:p>
    <w:p>
      <w:pPr>
        <w:spacing w:line="578" w:lineRule="exact"/>
        <w:ind w:firstLine="643" w:firstLineChars="200"/>
        <w:rPr>
          <w:rFonts w:ascii="楷体" w:hAnsi="楷体" w:eastAsia="楷体" w:cs="楷体"/>
          <w:b/>
          <w:color w:val="auto"/>
          <w:sz w:val="32"/>
          <w:szCs w:val="32"/>
        </w:rPr>
      </w:pPr>
      <w:r>
        <w:rPr>
          <w:rFonts w:hint="eastAsia" w:ascii="楷体" w:hAnsi="楷体" w:eastAsia="楷体" w:cs="楷体"/>
          <w:b/>
          <w:color w:val="auto"/>
          <w:sz w:val="32"/>
          <w:szCs w:val="32"/>
        </w:rPr>
        <w:t>（一）绩效管理工作开展情况。</w:t>
      </w:r>
    </w:p>
    <w:p>
      <w:pPr>
        <w:spacing w:line="578" w:lineRule="exact"/>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根据财政预算管理要求，三亚市</w:t>
      </w:r>
      <w:r>
        <w:rPr>
          <w:rFonts w:hint="eastAsia" w:ascii="仿宋_GB2312" w:hAnsi="Times New Roman" w:eastAsia="仿宋_GB2312" w:cs="Times New Roman"/>
          <w:color w:val="auto"/>
          <w:sz w:val="32"/>
          <w:szCs w:val="32"/>
          <w:lang w:eastAsia="zh-CN"/>
        </w:rPr>
        <w:t>第四小学</w:t>
      </w:r>
      <w:r>
        <w:rPr>
          <w:rFonts w:hint="eastAsia" w:ascii="仿宋_GB2312" w:hAnsi="Times New Roman" w:eastAsia="仿宋_GB2312" w:cs="Times New Roman"/>
          <w:color w:val="auto"/>
          <w:sz w:val="32"/>
          <w:szCs w:val="32"/>
        </w:rPr>
        <w:t>对202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年度一般公共预算项目支出全面开展绩效自评。自评项目</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个，共涉及资金</w:t>
      </w:r>
      <w:r>
        <w:rPr>
          <w:rFonts w:hint="eastAsia" w:ascii="仿宋_GB2312" w:hAnsi="Times New Roman" w:eastAsia="仿宋_GB2312" w:cs="Times New Roman"/>
          <w:color w:val="auto"/>
          <w:sz w:val="32"/>
          <w:szCs w:val="32"/>
          <w:lang w:val="en-US" w:eastAsia="zh-CN"/>
        </w:rPr>
        <w:t>605.86</w:t>
      </w:r>
      <w:r>
        <w:rPr>
          <w:rFonts w:hint="eastAsia" w:ascii="仿宋_GB2312" w:hAnsi="Times New Roman" w:eastAsia="仿宋_GB2312" w:cs="Times New Roman"/>
          <w:color w:val="auto"/>
          <w:sz w:val="32"/>
          <w:szCs w:val="32"/>
        </w:rPr>
        <w:t>万元，自评覆盖率达到100%。</w:t>
      </w:r>
    </w:p>
    <w:p>
      <w:pPr>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共组织对“人才引进及师资队伍建设”、“教育教学管理及监督”、“公用经费”</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个项目开展了部门评价，涉及资金</w:t>
      </w:r>
      <w:r>
        <w:rPr>
          <w:rFonts w:hint="eastAsia" w:ascii="仿宋_GB2312" w:hAnsi="Times New Roman" w:eastAsia="仿宋_GB2312" w:cs="Times New Roman"/>
          <w:color w:val="auto"/>
          <w:sz w:val="32"/>
          <w:szCs w:val="32"/>
          <w:lang w:val="en-US" w:eastAsia="zh-CN"/>
        </w:rPr>
        <w:t>609.59</w:t>
      </w:r>
      <w:r>
        <w:rPr>
          <w:rFonts w:hint="eastAsia" w:ascii="仿宋_GB2312" w:hAnsi="Times New Roman" w:eastAsia="仿宋_GB2312" w:cs="Times New Roman"/>
          <w:color w:val="auto"/>
          <w:sz w:val="32"/>
          <w:szCs w:val="32"/>
        </w:rPr>
        <w:t>万元。</w:t>
      </w:r>
    </w:p>
    <w:p>
      <w:pPr>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开展整体支出绩效评价，涉及资金</w:t>
      </w:r>
      <w:r>
        <w:rPr>
          <w:rFonts w:hint="eastAsia" w:ascii="仿宋_GB2312" w:hAnsi="Times New Roman" w:eastAsia="仿宋_GB2312" w:cs="Times New Roman"/>
          <w:color w:val="auto"/>
          <w:sz w:val="32"/>
          <w:szCs w:val="32"/>
          <w:lang w:val="en-US" w:eastAsia="zh-CN"/>
        </w:rPr>
        <w:t>609.59</w:t>
      </w:r>
      <w:r>
        <w:rPr>
          <w:rFonts w:hint="eastAsia" w:ascii="仿宋_GB2312" w:hAnsi="Times New Roman" w:eastAsia="仿宋_GB2312" w:cs="Times New Roman"/>
          <w:color w:val="auto"/>
          <w:sz w:val="32"/>
          <w:szCs w:val="32"/>
        </w:rPr>
        <w:t>万元。</w:t>
      </w:r>
    </w:p>
    <w:p>
      <w:pPr>
        <w:numPr>
          <w:ilvl w:val="0"/>
          <w:numId w:val="2"/>
        </w:numPr>
        <w:spacing w:line="578" w:lineRule="exact"/>
        <w:ind w:firstLine="643"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部门决算中项目绩效自评结果。</w:t>
      </w:r>
    </w:p>
    <w:p>
      <w:pPr>
        <w:spacing w:line="578" w:lineRule="exact"/>
        <w:ind w:firstLine="640" w:firstLineChars="200"/>
        <w:rPr>
          <w:rFonts w:hint="eastAsia" w:ascii="楷体" w:hAnsi="楷体" w:eastAsia="楷体" w:cs="楷体"/>
          <w:b/>
          <w:color w:val="auto"/>
          <w:sz w:val="32"/>
          <w:szCs w:val="32"/>
        </w:rPr>
      </w:pPr>
      <w:r>
        <w:rPr>
          <w:rFonts w:hint="eastAsia" w:ascii="仿宋_GB2312" w:hAnsi="Times New Roman" w:eastAsia="仿宋_GB2312" w:cs="Times New Roman"/>
          <w:color w:val="auto"/>
          <w:sz w:val="32"/>
          <w:szCs w:val="32"/>
        </w:rPr>
        <w:t>根据财政预算管理要求，三亚市</w:t>
      </w:r>
      <w:r>
        <w:rPr>
          <w:rFonts w:hint="eastAsia" w:ascii="仿宋_GB2312" w:hAnsi="Times New Roman" w:eastAsia="仿宋_GB2312" w:cs="Times New Roman"/>
          <w:color w:val="auto"/>
          <w:sz w:val="32"/>
          <w:szCs w:val="32"/>
          <w:lang w:eastAsia="zh-CN"/>
        </w:rPr>
        <w:t>第四</w:t>
      </w:r>
      <w:r>
        <w:rPr>
          <w:rFonts w:hint="eastAsia" w:ascii="仿宋_GB2312" w:hAnsi="Times New Roman" w:eastAsia="仿宋_GB2312" w:cs="Times New Roman"/>
          <w:color w:val="auto"/>
          <w:sz w:val="32"/>
          <w:szCs w:val="32"/>
        </w:rPr>
        <w:t>小学对202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年度一般公共预算项目支出全面开展绩效自评。自评项目</w:t>
      </w:r>
      <w:r>
        <w:rPr>
          <w:rFonts w:hint="eastAsia" w:ascii="仿宋_GB2312" w:hAnsi="Times New Roman"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rPr>
        <w:t>个，共涉及资金</w:t>
      </w:r>
      <w:r>
        <w:rPr>
          <w:rFonts w:hint="eastAsia" w:ascii="仿宋_GB2312" w:hAnsi="Times New Roman" w:eastAsia="仿宋_GB2312" w:cs="Times New Roman"/>
          <w:color w:val="auto"/>
          <w:sz w:val="32"/>
          <w:szCs w:val="32"/>
          <w:lang w:val="en-US" w:eastAsia="zh-CN"/>
        </w:rPr>
        <w:t>605.86</w:t>
      </w:r>
      <w:r>
        <w:rPr>
          <w:rFonts w:hint="eastAsia" w:ascii="仿宋_GB2312" w:hAnsi="Times New Roman" w:eastAsia="仿宋_GB2312" w:cs="Times New Roman"/>
          <w:color w:val="auto"/>
          <w:sz w:val="32"/>
          <w:szCs w:val="32"/>
        </w:rPr>
        <w:t>万元，自评覆盖率达到100%。</w:t>
      </w:r>
    </w:p>
    <w:p>
      <w:pPr>
        <w:spacing w:line="578" w:lineRule="exact"/>
        <w:ind w:firstLine="643" w:firstLineChars="200"/>
        <w:rPr>
          <w:rFonts w:hint="eastAsia" w:ascii="楷体" w:hAnsi="楷体" w:eastAsia="楷体" w:cs="楷体"/>
          <w:b/>
          <w:color w:val="auto"/>
          <w:sz w:val="32"/>
          <w:szCs w:val="32"/>
          <w:lang w:val="en-US" w:eastAsia="zh-CN"/>
        </w:rPr>
      </w:pPr>
      <w:r>
        <w:rPr>
          <w:rFonts w:hint="eastAsia" w:ascii="楷体" w:hAnsi="楷体" w:eastAsia="楷体" w:cs="楷体"/>
          <w:b/>
          <w:color w:val="auto"/>
          <w:sz w:val="32"/>
          <w:szCs w:val="32"/>
        </w:rPr>
        <w:t>（三）财政评价项目绩效评价结果</w:t>
      </w:r>
      <w:r>
        <w:rPr>
          <w:rFonts w:hint="eastAsia" w:ascii="楷体" w:hAnsi="楷体" w:eastAsia="楷体" w:cs="楷体"/>
          <w:b/>
          <w:color w:val="auto"/>
          <w:sz w:val="32"/>
          <w:szCs w:val="32"/>
          <w:lang w:val="en-US" w:eastAsia="zh-CN"/>
        </w:rPr>
        <w:t>。</w:t>
      </w:r>
    </w:p>
    <w:p>
      <w:pPr>
        <w:spacing w:line="578" w:lineRule="exact"/>
        <w:ind w:firstLine="964" w:firstLineChars="300"/>
        <w:rPr>
          <w:rFonts w:hint="eastAsia" w:ascii="楷体" w:hAnsi="楷体" w:eastAsia="楷体" w:cs="楷体"/>
          <w:b/>
          <w:color w:val="000000" w:themeColor="text1"/>
          <w:sz w:val="32"/>
          <w:szCs w:val="32"/>
          <w:lang w:val="en-US" w:eastAsia="zh-CN"/>
          <w14:textFill>
            <w14:solidFill>
              <w14:schemeClr w14:val="tx1"/>
            </w14:solidFill>
          </w14:textFill>
        </w:rPr>
      </w:pPr>
      <w:r>
        <w:rPr>
          <w:rFonts w:hint="eastAsia" w:ascii="楷体" w:hAnsi="楷体" w:eastAsia="楷体" w:cs="楷体"/>
          <w:b/>
          <w:color w:val="000000" w:themeColor="text1"/>
          <w:sz w:val="32"/>
          <w:szCs w:val="32"/>
          <w:lang w:val="en-US" w:eastAsia="zh-CN"/>
          <w14:textFill>
            <w14:solidFill>
              <w14:schemeClr w14:val="tx1"/>
            </w14:solidFill>
          </w14:textFill>
        </w:rPr>
        <w:t>无</w:t>
      </w:r>
    </w:p>
    <w:p>
      <w:pPr>
        <w:numPr>
          <w:ilvl w:val="0"/>
          <w:numId w:val="3"/>
        </w:numPr>
        <w:spacing w:line="578" w:lineRule="exact"/>
        <w:ind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部门评价项目绩效评价结果。</w:t>
      </w:r>
    </w:p>
    <w:p>
      <w:pPr>
        <w:numPr>
          <w:ilvl w:val="0"/>
          <w:numId w:val="0"/>
        </w:numPr>
        <w:spacing w:line="578" w:lineRule="exact"/>
        <w:ind w:firstLine="964" w:firstLineChars="300"/>
        <w:rPr>
          <w:rFonts w:hint="eastAsia" w:ascii="楷体" w:hAnsi="楷体" w:eastAsia="楷体" w:cs="楷体"/>
          <w:b/>
          <w:color w:val="000000" w:themeColor="text1"/>
          <w:sz w:val="32"/>
          <w:szCs w:val="32"/>
          <w:lang w:eastAsia="zh-CN"/>
          <w14:textFill>
            <w14:solidFill>
              <w14:schemeClr w14:val="tx1"/>
            </w14:solidFill>
          </w14:textFill>
        </w:rPr>
      </w:pPr>
      <w:r>
        <w:rPr>
          <w:rFonts w:hint="eastAsia" w:ascii="楷体" w:hAnsi="楷体" w:eastAsia="楷体" w:cs="楷体"/>
          <w:b/>
          <w:color w:val="000000" w:themeColor="text1"/>
          <w:sz w:val="32"/>
          <w:szCs w:val="32"/>
          <w:lang w:eastAsia="zh-CN"/>
          <w14:textFill>
            <w14:solidFill>
              <w14:schemeClr w14:val="tx1"/>
            </w14:solidFill>
          </w14:textFill>
        </w:rPr>
        <w:t>无</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5262_WPSOffice_Level2"/>
      <w:bookmarkStart w:id="100" w:name="_Toc18325_WPSOffice_Level2"/>
      <w:bookmarkStart w:id="101" w:name="_Toc15565_WPSOffice_Level2"/>
      <w:bookmarkStart w:id="102" w:name="_Toc5978_WPSOffice_Level2"/>
      <w:bookmarkStart w:id="103" w:name="_Toc23598_WPSOffice_Level2"/>
      <w:bookmarkStart w:id="104" w:name="_Toc32639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w:t>
      </w:r>
      <w:r>
        <w:rPr>
          <w:rFonts w:hint="eastAsia" w:ascii="仿宋_GB2312" w:hAnsi="ˎ̥" w:eastAsia="仿宋_GB2312" w:cs="Times New Roman"/>
          <w:color w:val="000000" w:themeColor="text1"/>
          <w:sz w:val="32"/>
          <w:szCs w:val="32"/>
          <w:lang w:eastAsia="zh-CN"/>
          <w14:textFill>
            <w14:solidFill>
              <w14:schemeClr w14:val="tx1"/>
            </w14:solidFill>
          </w14:textFill>
        </w:rPr>
        <w:t>第四</w:t>
      </w:r>
      <w:r>
        <w:rPr>
          <w:rFonts w:hint="eastAsia" w:ascii="仿宋_GB2312" w:hAnsi="ˎ̥" w:eastAsia="仿宋_GB2312" w:cs="Times New Roman"/>
          <w:color w:val="000000" w:themeColor="text1"/>
          <w:sz w:val="32"/>
          <w:szCs w:val="32"/>
          <w14:textFill>
            <w14:solidFill>
              <w14:schemeClr w14:val="tx1"/>
            </w14:solidFill>
          </w14:textFill>
        </w:rPr>
        <w:t>小学机关运行经费0万元。主要原因是：事业单位没</w:t>
      </w:r>
      <w:r>
        <w:rPr>
          <w:rFonts w:hint="eastAsia" w:ascii="仿宋_GB2312" w:hAnsi="ˎ̥" w:eastAsia="仿宋_GB2312" w:cs="Times New Roman"/>
          <w:sz w:val="32"/>
          <w:szCs w:val="32"/>
        </w:rPr>
        <w:t>有机关运行经费支出</w:t>
      </w:r>
    </w:p>
    <w:p>
      <w:pPr>
        <w:ind w:firstLine="643" w:firstLineChars="200"/>
        <w:rPr>
          <w:rFonts w:ascii="楷体" w:hAnsi="楷体" w:eastAsia="楷体" w:cs="楷体"/>
          <w:b/>
          <w:sz w:val="32"/>
          <w:szCs w:val="32"/>
        </w:rPr>
      </w:pPr>
      <w:bookmarkStart w:id="105" w:name="_Toc13084_WPSOffice_Level2"/>
      <w:bookmarkStart w:id="106" w:name="_Toc32689_WPSOffice_Level2"/>
      <w:bookmarkStart w:id="107" w:name="_Toc30383_WPSOffice_Level2"/>
      <w:bookmarkStart w:id="108" w:name="_Toc3131_WPSOffice_Level2"/>
      <w:bookmarkStart w:id="109" w:name="_Toc23966_WPSOffice_Level2"/>
      <w:bookmarkStart w:id="110" w:name="_Toc25333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w:t>
      </w:r>
      <w:r>
        <w:rPr>
          <w:rFonts w:hint="eastAsia" w:ascii="仿宋_GB2312" w:hAnsi="ˎ̥" w:eastAsia="仿宋_GB2312" w:cs="Times New Roman"/>
          <w:color w:val="000000" w:themeColor="text1"/>
          <w:sz w:val="32"/>
          <w:szCs w:val="32"/>
          <w:lang w:eastAsia="zh-CN"/>
          <w14:textFill>
            <w14:solidFill>
              <w14:schemeClr w14:val="tx1"/>
            </w14:solidFill>
          </w14:textFill>
        </w:rPr>
        <w:t>第四</w:t>
      </w:r>
      <w:r>
        <w:rPr>
          <w:rFonts w:hint="eastAsia" w:ascii="仿宋_GB2312" w:hAnsi="ˎ̥" w:eastAsia="仿宋_GB2312" w:cs="Times New Roman"/>
          <w:color w:val="000000" w:themeColor="text1"/>
          <w:sz w:val="32"/>
          <w:szCs w:val="32"/>
          <w14:textFill>
            <w14:solidFill>
              <w14:schemeClr w14:val="tx1"/>
            </w14:solidFill>
          </w14:textFill>
        </w:rPr>
        <w:t>小学政府采购支出总额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7.22</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3" w:firstLineChars="200"/>
        <w:rPr>
          <w:rFonts w:ascii="楷体" w:hAnsi="楷体" w:eastAsia="楷体" w:cs="楷体"/>
          <w:b/>
          <w:sz w:val="32"/>
          <w:szCs w:val="32"/>
        </w:rPr>
      </w:pPr>
      <w:bookmarkStart w:id="111" w:name="_Toc527_WPSOffice_Level2"/>
      <w:bookmarkStart w:id="112" w:name="_Toc6016_WPSOffice_Level2"/>
      <w:bookmarkStart w:id="113" w:name="_Toc19989_WPSOffice_Level2"/>
      <w:bookmarkStart w:id="114" w:name="_Toc29584_WPSOffice_Level2"/>
      <w:bookmarkStart w:id="115" w:name="_Toc10902_WPSOffice_Level2"/>
      <w:bookmarkStart w:id="116" w:name="_Toc15129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14:textFill>
            <w14:solidFill>
              <w14:schemeClr w14:val="tx1"/>
            </w14:solidFill>
          </w14:textFill>
        </w:rPr>
        <w:t>截至202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年12月31日，本部门占用房屋面积</w:t>
      </w:r>
      <w:r>
        <w:rPr>
          <w:rFonts w:hint="eastAsia" w:ascii="仿宋_GB2312" w:hAnsi="ˎ̥" w:eastAsia="仿宋_GB2312" w:cs="Times New Roman"/>
          <w:color w:val="000000" w:themeColor="text1"/>
          <w:sz w:val="32"/>
          <w:szCs w:val="32"/>
          <w:lang w:val="en-US" w:eastAsia="zh-CN"/>
          <w14:textFill>
            <w14:solidFill>
              <w14:schemeClr w14:val="tx1"/>
            </w14:solidFill>
          </w14:textFill>
        </w:rPr>
        <w:t>7320</w:t>
      </w:r>
      <w:r>
        <w:rPr>
          <w:rFonts w:hint="eastAsia" w:ascii="仿宋_GB2312" w:hAnsi="ˎ̥" w:eastAsia="仿宋_GB2312" w:cs="Times New Roman"/>
          <w:color w:val="000000" w:themeColor="text1"/>
          <w:sz w:val="32"/>
          <w:szCs w:val="32"/>
          <w14:textFill>
            <w14:solidFill>
              <w14:schemeClr w14:val="tx1"/>
            </w14:solidFill>
          </w14:textFill>
        </w:rPr>
        <w:t>平方米，其中：办公用房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7320</w:t>
      </w:r>
      <w:r>
        <w:rPr>
          <w:rFonts w:hint="eastAsia" w:ascii="仿宋_GB2312" w:hAnsi="ˎ̥" w:eastAsia="仿宋_GB2312" w:cs="Times New Roman"/>
          <w:color w:val="000000" w:themeColor="text1"/>
          <w:sz w:val="32"/>
          <w:szCs w:val="32"/>
          <w14:textFill>
            <w14:solidFill>
              <w14:schemeClr w14:val="tx1"/>
            </w14:solidFill>
          </w14:textFill>
        </w:rPr>
        <w:t>平方米，</w:t>
      </w:r>
      <w:r>
        <w:rPr>
          <w:rFonts w:hint="eastAsia" w:ascii="仿宋_GB2312" w:hAnsi="ˎ̥" w:eastAsia="仿宋_GB2312" w:cs="Times New Roman"/>
          <w:color w:val="000000" w:themeColor="text1"/>
          <w:sz w:val="32"/>
          <w:szCs w:val="32"/>
          <w:lang w:eastAsia="zh-CN"/>
          <w14:textFill>
            <w14:solidFill>
              <w14:schemeClr w14:val="tx1"/>
            </w14:solidFill>
          </w14:textFill>
        </w:rPr>
        <w:t>生活</w:t>
      </w:r>
      <w:r>
        <w:rPr>
          <w:rFonts w:hint="eastAsia" w:ascii="仿宋_GB2312" w:hAnsi="ˎ̥" w:eastAsia="仿宋_GB2312" w:cs="Times New Roman"/>
          <w:color w:val="000000" w:themeColor="text1"/>
          <w:sz w:val="32"/>
          <w:szCs w:val="32"/>
          <w14:textFill>
            <w14:solidFill>
              <w14:schemeClr w14:val="tx1"/>
            </w14:solidFill>
          </w14:textFill>
        </w:rPr>
        <w:t>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平方米，其他（不含构筑物）0平方米。</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单位价值50万元（含）以上通用设备0台（套），单价100万元（含）以上专用设备0台（套）。</w:t>
      </w:r>
    </w:p>
    <w:p>
      <w:pPr>
        <w:spacing w:line="578" w:lineRule="exact"/>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年末在建工程0万元。</w:t>
      </w: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jc w:val="center"/>
        <w:rPr>
          <w:rFonts w:ascii="黑体" w:hAnsi="ˎ̥" w:eastAsia="黑体" w:cs="Times New Roman"/>
          <w:sz w:val="32"/>
          <w:szCs w:val="32"/>
        </w:rPr>
      </w:pPr>
      <w:bookmarkStart w:id="117" w:name="_Toc17580_WPSOffice_Level1"/>
      <w:bookmarkStart w:id="118" w:name="_Toc8808_WPSOffice_Level1"/>
      <w:bookmarkStart w:id="119" w:name="_Toc11039_WPSOffice_Level1"/>
      <w:bookmarkStart w:id="120" w:name="_Toc4398_WPSOffice_Level1"/>
      <w:bookmarkStart w:id="121" w:name="_Toc8874_WPSOffice_Level1"/>
      <w:bookmarkStart w:id="122" w:name="_Toc15425_WPSOffice_Level1"/>
      <w:r>
        <w:rPr>
          <w:rFonts w:hint="eastAsia" w:ascii="黑体" w:hAnsi="ˎ̥" w:eastAsia="黑体" w:cs="Times New Roman"/>
          <w:sz w:val="32"/>
          <w:szCs w:val="32"/>
        </w:rPr>
        <w:t>第四部分  名词解释</w:t>
      </w:r>
      <w:bookmarkEnd w:id="117"/>
      <w:bookmarkEnd w:id="118"/>
      <w:bookmarkEnd w:id="119"/>
      <w:bookmarkEnd w:id="120"/>
      <w:bookmarkEnd w:id="121"/>
      <w:bookmarkEnd w:id="122"/>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一、财政拨款收入：指本级财政当年拨付的资金。</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二、事业收入：指事业单位开展专业业务活动及辅助活动取得的收入。</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三、经营收入：指事业单位在专业业务活动及其辅助活动之外开展非独立核算经营活动取得的收入。</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四、其他收入：指除上述“财政拨款收入”“事业收入”“经营收入”等以外的收入。</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六、年初结转和结余：指以前年度尚未完成、结转到本年按有关规定继续使用的资金。</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七、结余分配：指事业单位按规定提取的职工福利基金、事业基金和缴纳的所得税，以及建设单位按规定应交回的基本建设竣工项目结余资金。</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八、年末结转和结余：指本年度或以前年度预算安排、因客观条件发生变化无法按原计划实施，需要延迟到以后年度按有关规定继续使用的资金。</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九、基本支出：指为保障机构正常运转、完成日常工作任务而发生的人员支出和公用支出。</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十、项目支出：指在基本支出之外为完成特定行政任务和事业发展目标所发生的支出。</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十一、经营支出：指事业单位在专业业务活动及其辅助活动之外开展非独立核算经营活动发生的支出。</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十二、“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仿宋_GB2312" w:hAnsi="ˎ̥" w:eastAsia="仿宋_GB2312" w:cs="Times New Roman"/>
          <w:sz w:val="32"/>
          <w:szCs w:val="32"/>
        </w:rPr>
      </w:pPr>
      <w:bookmarkStart w:id="123" w:name="_GoBack"/>
      <w:bookmarkEnd w:id="123"/>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
    <w:altName w:val="Times New Roman"/>
    <w:panose1 w:val="00000000000000000000"/>
    <w:charset w:val="00"/>
    <w:family w:val="swiss"/>
    <w:pitch w:val="default"/>
    <w:sig w:usb0="00000000" w:usb1="00000000" w:usb2="00000000" w:usb3="00000000" w:csb0="0000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860D64"/>
    <w:multiLevelType w:val="singleLevel"/>
    <w:tmpl w:val="A9860D64"/>
    <w:lvl w:ilvl="0" w:tentative="0">
      <w:start w:val="4"/>
      <w:numFmt w:val="chineseCounting"/>
      <w:suff w:val="nothing"/>
      <w:lvlText w:val="（%1）"/>
      <w:lvlJc w:val="left"/>
      <w:rPr>
        <w:rFonts w:hint="eastAsia"/>
      </w:rPr>
    </w:lvl>
  </w:abstractNum>
  <w:abstractNum w:abstractNumId="1">
    <w:nsid w:val="CC9B1439"/>
    <w:multiLevelType w:val="singleLevel"/>
    <w:tmpl w:val="CC9B1439"/>
    <w:lvl w:ilvl="0" w:tentative="0">
      <w:start w:val="2"/>
      <w:numFmt w:val="chineseCounting"/>
      <w:suff w:val="nothing"/>
      <w:lvlText w:val="（%1）"/>
      <w:lvlJc w:val="left"/>
      <w:rPr>
        <w:rFonts w:hint="eastAsia"/>
      </w:rPr>
    </w:lvl>
  </w:abstractNum>
  <w:abstractNum w:abstractNumId="2">
    <w:nsid w:val="72109F8D"/>
    <w:multiLevelType w:val="singleLevel"/>
    <w:tmpl w:val="72109F8D"/>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wMjI0YzM4NWI0Nzk1M2ZjYjI1MTczNTRiNzIyMjUifQ=="/>
  </w:docVars>
  <w:rsids>
    <w:rsidRoot w:val="00D32ACE"/>
    <w:rsid w:val="000819F9"/>
    <w:rsid w:val="000C0FC3"/>
    <w:rsid w:val="000C3289"/>
    <w:rsid w:val="00165BA4"/>
    <w:rsid w:val="001A7613"/>
    <w:rsid w:val="001B54A0"/>
    <w:rsid w:val="002102AF"/>
    <w:rsid w:val="00240B5C"/>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77D96"/>
    <w:rsid w:val="00880C2C"/>
    <w:rsid w:val="008D3791"/>
    <w:rsid w:val="00914ABF"/>
    <w:rsid w:val="00930AC0"/>
    <w:rsid w:val="00943DE7"/>
    <w:rsid w:val="00954A09"/>
    <w:rsid w:val="009C68E4"/>
    <w:rsid w:val="009E6620"/>
    <w:rsid w:val="00A062C9"/>
    <w:rsid w:val="00A133CD"/>
    <w:rsid w:val="00A20588"/>
    <w:rsid w:val="00A54072"/>
    <w:rsid w:val="00A92FC5"/>
    <w:rsid w:val="00AF1C32"/>
    <w:rsid w:val="00B512BF"/>
    <w:rsid w:val="00C01B66"/>
    <w:rsid w:val="00C3564D"/>
    <w:rsid w:val="00CD5803"/>
    <w:rsid w:val="00CF76E7"/>
    <w:rsid w:val="00D16F7B"/>
    <w:rsid w:val="00D30F7F"/>
    <w:rsid w:val="00D32ACE"/>
    <w:rsid w:val="00DB6ECB"/>
    <w:rsid w:val="00DD0AC5"/>
    <w:rsid w:val="00E23916"/>
    <w:rsid w:val="00EC1A2B"/>
    <w:rsid w:val="00F054C6"/>
    <w:rsid w:val="00F11B99"/>
    <w:rsid w:val="00F12AB2"/>
    <w:rsid w:val="00F93E07"/>
    <w:rsid w:val="00FC402A"/>
    <w:rsid w:val="01180EAD"/>
    <w:rsid w:val="06675247"/>
    <w:rsid w:val="07A45260"/>
    <w:rsid w:val="09996B20"/>
    <w:rsid w:val="0C3F11F9"/>
    <w:rsid w:val="0D284F49"/>
    <w:rsid w:val="0F144A26"/>
    <w:rsid w:val="10CC3A03"/>
    <w:rsid w:val="113D17F5"/>
    <w:rsid w:val="115E33C8"/>
    <w:rsid w:val="11C10E95"/>
    <w:rsid w:val="126F367F"/>
    <w:rsid w:val="127C2296"/>
    <w:rsid w:val="138A20F1"/>
    <w:rsid w:val="13B00636"/>
    <w:rsid w:val="151C63E2"/>
    <w:rsid w:val="177D5B4D"/>
    <w:rsid w:val="17CD5E4C"/>
    <w:rsid w:val="188624F1"/>
    <w:rsid w:val="19510D51"/>
    <w:rsid w:val="1B4548E5"/>
    <w:rsid w:val="1CC7757C"/>
    <w:rsid w:val="213446DA"/>
    <w:rsid w:val="22A344DA"/>
    <w:rsid w:val="24CE7A69"/>
    <w:rsid w:val="2BBA6C9E"/>
    <w:rsid w:val="31D52773"/>
    <w:rsid w:val="34704282"/>
    <w:rsid w:val="42072A1C"/>
    <w:rsid w:val="42941DD7"/>
    <w:rsid w:val="48B6361D"/>
    <w:rsid w:val="4A673CF1"/>
    <w:rsid w:val="4A821046"/>
    <w:rsid w:val="4B337A07"/>
    <w:rsid w:val="4B904E59"/>
    <w:rsid w:val="4D265A75"/>
    <w:rsid w:val="4E50754D"/>
    <w:rsid w:val="50EF2186"/>
    <w:rsid w:val="510079CF"/>
    <w:rsid w:val="5260366E"/>
    <w:rsid w:val="53DC2F4A"/>
    <w:rsid w:val="5496774D"/>
    <w:rsid w:val="56EA18C1"/>
    <w:rsid w:val="584C7DD6"/>
    <w:rsid w:val="589F66DB"/>
    <w:rsid w:val="58DD09F8"/>
    <w:rsid w:val="591C1DD1"/>
    <w:rsid w:val="5B293906"/>
    <w:rsid w:val="5D9A6A95"/>
    <w:rsid w:val="5E7C4B39"/>
    <w:rsid w:val="5F3008C4"/>
    <w:rsid w:val="60675D31"/>
    <w:rsid w:val="61D96280"/>
    <w:rsid w:val="656B5768"/>
    <w:rsid w:val="65854168"/>
    <w:rsid w:val="66A9442D"/>
    <w:rsid w:val="66F20F27"/>
    <w:rsid w:val="67DB4D6A"/>
    <w:rsid w:val="6984740C"/>
    <w:rsid w:val="6A50071F"/>
    <w:rsid w:val="702D5ADF"/>
    <w:rsid w:val="727A3816"/>
    <w:rsid w:val="73CA3B64"/>
    <w:rsid w:val="74D80F71"/>
    <w:rsid w:val="775F6491"/>
    <w:rsid w:val="779A2DD3"/>
    <w:rsid w:val="77ED700C"/>
    <w:rsid w:val="793F2035"/>
    <w:rsid w:val="7BE704D9"/>
    <w:rsid w:val="7CF05068"/>
    <w:rsid w:val="7EAA7B8F"/>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5178</Words>
  <Characters>5632</Characters>
  <Lines>51</Lines>
  <Paragraphs>14</Paragraphs>
  <ScaleCrop>false</ScaleCrop>
  <LinksUpToDate>false</LinksUpToDate>
  <CharactersWithSpaces>5749</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尹华源</cp:lastModifiedBy>
  <cp:lastPrinted>2022-11-13T02:24:00Z</cp:lastPrinted>
  <dcterms:modified xsi:type="dcterms:W3CDTF">2023-09-25T09:14:14Z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4E1DFEEB931B42B78662AD519D4372D8_13</vt:lpwstr>
  </property>
</Properties>
</file>