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黑体" w:hAnsi="ˎ̥" w:eastAsia="黑体" w:cs="Times New Roman"/>
          <w:sz w:val="44"/>
          <w:szCs w:val="44"/>
        </w:rPr>
      </w:pPr>
      <w:r>
        <w:rPr>
          <w:rFonts w:hint="eastAsia" w:ascii="黑体" w:hAnsi="ˎ̥" w:eastAsia="黑体" w:cs="Times New Roman"/>
          <w:sz w:val="44"/>
          <w:szCs w:val="44"/>
        </w:rPr>
        <w:t>三亚市天涯区</w:t>
      </w:r>
      <w:r>
        <w:rPr>
          <w:rFonts w:hint="eastAsia" w:ascii="黑体" w:hAnsi="ˎ̥" w:eastAsia="黑体" w:cs="Times New Roman"/>
          <w:sz w:val="44"/>
          <w:szCs w:val="44"/>
          <w:lang w:eastAsia="zh-CN"/>
        </w:rPr>
        <w:t>回新逸夫</w:t>
      </w:r>
      <w:r>
        <w:rPr>
          <w:rFonts w:hint="eastAsia" w:ascii="黑体" w:hAnsi="ˎ̥" w:eastAsia="黑体" w:cs="Times New Roman"/>
          <w:sz w:val="44"/>
          <w:szCs w:val="44"/>
        </w:rPr>
        <w:t>小学20</w:t>
      </w:r>
      <w:r>
        <w:rPr>
          <w:rFonts w:hint="eastAsia" w:ascii="黑体" w:hAnsi="ˎ̥" w:eastAsia="黑体" w:cs="Times New Roman"/>
          <w:sz w:val="44"/>
          <w:szCs w:val="44"/>
          <w:lang w:val="en-US" w:eastAsia="zh-CN"/>
        </w:rPr>
        <w:t>22</w:t>
      </w:r>
      <w:r>
        <w:rPr>
          <w:rFonts w:hint="eastAsia" w:ascii="黑体" w:hAnsi="ˎ̥" w:eastAsia="黑体" w:cs="Times New Roman"/>
          <w:sz w:val="44"/>
          <w:szCs w:val="44"/>
        </w:rPr>
        <w:t>年度</w:t>
      </w:r>
    </w:p>
    <w:p>
      <w:pPr>
        <w:jc w:val="center"/>
        <w:rPr>
          <w:rFonts w:ascii="黑体" w:hAnsi="ˎ̥" w:eastAsia="黑体" w:cs="Times New Roman"/>
          <w:sz w:val="44"/>
          <w:szCs w:val="44"/>
        </w:rPr>
      </w:pPr>
      <w:r>
        <w:rPr>
          <w:rFonts w:hint="eastAsia" w:ascii="黑体" w:hAnsi="ˎ̥" w:eastAsia="黑体" w:cs="Times New Roman"/>
          <w:sz w:val="44"/>
          <w:szCs w:val="44"/>
          <w:lang w:val="en-US" w:eastAsia="zh-CN"/>
        </w:rPr>
        <w:t>部门</w:t>
      </w:r>
      <w:r>
        <w:rPr>
          <w:rFonts w:hint="eastAsia" w:ascii="黑体" w:hAnsi="ˎ̥" w:eastAsia="黑体" w:cs="Times New Roman"/>
          <w:sz w:val="44"/>
          <w:szCs w:val="44"/>
        </w:rPr>
        <w:t>决算公开文字说明</w:t>
      </w:r>
    </w:p>
    <w:p>
      <w:pPr>
        <w:jc w:val="center"/>
        <w:rPr>
          <w:rFonts w:ascii="黑体" w:hAnsi="ˎ̥" w:eastAsia="黑体" w:cs="Times New Roman"/>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"_Toc1704_WPSOffice_Level1" </w:instrText>
      </w:r>
      <w:r>
        <w:fldChar w:fldCharType="separate"/>
      </w:r>
      <w:r>
        <w:rPr>
          <w:rFonts w:hint="eastAsia" w:ascii="黑体" w:hAnsi="ˎ̥" w:eastAsia="黑体" w:cs="Times New Roman"/>
          <w:kern w:val="0"/>
          <w:sz w:val="32"/>
          <w:szCs w:val="32"/>
        </w:rPr>
        <w:t>第一部分  三亚市天涯区</w:t>
      </w:r>
      <w:r>
        <w:rPr>
          <w:rFonts w:hint="eastAsia" w:ascii="黑体" w:hAnsi="ˎ̥" w:eastAsia="黑体" w:cs="Times New Roman"/>
          <w:kern w:val="0"/>
          <w:sz w:val="32"/>
          <w:szCs w:val="32"/>
          <w:lang w:eastAsia="zh-CN"/>
        </w:rPr>
        <w:t>回新逸夫</w:t>
      </w:r>
      <w:r>
        <w:rPr>
          <w:rFonts w:hint="eastAsia" w:ascii="黑体" w:hAnsi="ˎ̥" w:eastAsia="黑体" w:cs="Times New Roman"/>
          <w:kern w:val="0"/>
          <w:sz w:val="32"/>
          <w:szCs w:val="32"/>
        </w:rPr>
        <w:t>小学概况</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"_Toc28253_WPSOffice_Level1" </w:instrText>
      </w:r>
      <w:r>
        <w:fldChar w:fldCharType="separate"/>
      </w:r>
      <w:r>
        <w:rPr>
          <w:rFonts w:hint="eastAsia" w:ascii="黑体" w:hAnsi="ˎ̥" w:eastAsia="黑体" w:cs="Times New Roman"/>
          <w:kern w:val="0"/>
          <w:sz w:val="32"/>
          <w:szCs w:val="32"/>
        </w:rPr>
        <w:t>第二部分  三亚市天涯区</w:t>
      </w:r>
      <w:r>
        <w:rPr>
          <w:rFonts w:hint="eastAsia" w:ascii="黑体" w:hAnsi="ˎ̥" w:eastAsia="黑体" w:cs="Times New Roman"/>
          <w:kern w:val="0"/>
          <w:sz w:val="32"/>
          <w:szCs w:val="32"/>
          <w:lang w:eastAsia="zh-CN"/>
        </w:rPr>
        <w:t>回新逸夫</w:t>
      </w:r>
      <w:r>
        <w:rPr>
          <w:rFonts w:hint="eastAsia" w:ascii="黑体" w:hAnsi="ˎ̥" w:eastAsia="黑体" w:cs="Times New Roman"/>
          <w:kern w:val="0"/>
          <w:sz w:val="32"/>
          <w:szCs w:val="32"/>
        </w:rPr>
        <w:t>小学202</w:t>
      </w:r>
      <w:r>
        <w:rPr>
          <w:rFonts w:hint="eastAsia" w:ascii="黑体" w:hAnsi="ˎ̥" w:eastAsia="黑体" w:cs="Times New Roman"/>
          <w:kern w:val="0"/>
          <w:sz w:val="32"/>
          <w:szCs w:val="32"/>
          <w:lang w:val="en-US" w:eastAsia="zh-CN"/>
        </w:rPr>
        <w:t>1</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决算公开表</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Times New Roman" w:hAnsi="Times New Roman" w:eastAsia="宋体" w:cs="Times New Roman"/>
          <w:kern w:val="0"/>
          <w:sz w:val="32"/>
          <w:szCs w:val="32"/>
        </w:rPr>
        <w:t xml:space="preserve">  </w:t>
      </w:r>
      <w:r>
        <w:rPr>
          <w:rFonts w:hint="eastAsia" w:ascii="黑体" w:hAnsi="黑体" w:eastAsia="黑体" w:cs="Times New Roman"/>
          <w:kern w:val="0"/>
          <w:sz w:val="32"/>
          <w:szCs w:val="32"/>
        </w:rPr>
        <w:t>三亚市天涯区</w:t>
      </w:r>
      <w:r>
        <w:rPr>
          <w:rFonts w:hint="eastAsia" w:ascii="黑体" w:hAnsi="黑体" w:eastAsia="黑体" w:cs="Times New Roman"/>
          <w:kern w:val="0"/>
          <w:sz w:val="32"/>
          <w:szCs w:val="32"/>
          <w:lang w:eastAsia="zh-CN"/>
        </w:rPr>
        <w:t>回新逸夫</w:t>
      </w:r>
      <w:r>
        <w:rPr>
          <w:rFonts w:hint="eastAsia" w:ascii="黑体" w:hAnsi="黑体" w:eastAsia="黑体" w:cs="Times New Roman"/>
          <w:kern w:val="0"/>
          <w:sz w:val="32"/>
          <w:szCs w:val="32"/>
        </w:rPr>
        <w:t>小学</w:t>
      </w:r>
      <w:r>
        <w:rPr>
          <w:rFonts w:hint="eastAsia" w:ascii="黑体" w:hAnsi="ˎ̥" w:eastAsia="黑体" w:cs="Times New Roman"/>
          <w:kern w:val="0"/>
          <w:sz w:val="32"/>
          <w:szCs w:val="32"/>
        </w:rPr>
        <w:t>202</w:t>
      </w:r>
      <w:r>
        <w:rPr>
          <w:rFonts w:hint="eastAsia" w:ascii="黑体" w:hAnsi="ˎ̥" w:eastAsia="黑体" w:cs="Times New Roman"/>
          <w:kern w:val="0"/>
          <w:sz w:val="32"/>
          <w:szCs w:val="32"/>
          <w:lang w:val="en-US" w:eastAsia="zh-CN"/>
        </w:rPr>
        <w:t>1</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决算情况说明</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4</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hint="eastAsia" w:ascii="仿宋" w:hAnsi="仿宋" w:eastAsia="仿宋" w:cs="仿宋"/>
          <w:kern w:val="0"/>
          <w:sz w:val="32"/>
          <w:szCs w:val="32"/>
        </w:rPr>
        <w:tab/>
      </w:r>
      <w:r>
        <w:rPr>
          <w:rFonts w:hint="eastAsia" w:ascii="仿宋" w:hAnsi="仿宋" w:eastAsia="仿宋" w:cs="仿宋"/>
          <w:kern w:val="0"/>
          <w:sz w:val="32"/>
          <w:szCs w:val="32"/>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6</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hint="eastAsia" w:ascii="仿宋" w:hAnsi="仿宋" w:eastAsia="仿宋" w:cs="仿宋"/>
          <w:kern w:val="0"/>
          <w:sz w:val="32"/>
          <w:szCs w:val="32"/>
        </w:rPr>
        <w:tab/>
      </w:r>
      <w:r>
        <w:rPr>
          <w:rFonts w:hint="eastAsia"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10</w:t>
      </w:r>
    </w:p>
    <w:p>
      <w:pPr>
        <w:rPr>
          <w:rFonts w:ascii="仿宋" w:hAnsi="仿宋" w:eastAsia="仿宋" w:cs="仿宋"/>
          <w:w w:val="91"/>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10</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十三、其他重要事项情况说明</w:t>
      </w:r>
      <w:r>
        <w:rPr>
          <w:rFonts w:hint="eastAsia" w:ascii="仿宋" w:hAnsi="仿宋" w:eastAsia="仿宋" w:cs="仿宋"/>
          <w:kern w:val="0"/>
          <w:sz w:val="32"/>
          <w:szCs w:val="32"/>
        </w:rPr>
        <w:tab/>
      </w:r>
      <w:r>
        <w:rPr>
          <w:rFonts w:hint="eastAsia" w:ascii="仿宋" w:hAnsi="仿宋" w:eastAsia="仿宋" w:cs="仿宋"/>
          <w:kern w:val="0"/>
          <w:sz w:val="32"/>
          <w:szCs w:val="32"/>
        </w:rPr>
        <w:t>11</w:t>
      </w:r>
    </w:p>
    <w:p>
      <w:pPr>
        <w:widowControl/>
        <w:tabs>
          <w:tab w:val="right" w:leader="dot" w:pos="8306"/>
        </w:tabs>
        <w:jc w:val="left"/>
        <w:rPr>
          <w:rFonts w:hint="eastAsia" w:ascii="Times New Roman" w:hAnsi="Times New Roman" w:eastAsia="宋体" w:cs="Times New Roman"/>
          <w:kern w:val="0"/>
          <w:sz w:val="32"/>
          <w:szCs w:val="32"/>
          <w:lang w:eastAsia="zh-CN"/>
        </w:rPr>
      </w:pPr>
      <w:r>
        <w:fldChar w:fldCharType="begin"/>
      </w:r>
      <w:r>
        <w:instrText xml:space="preserve"> HYPERLINK \l "_Toc15425_WPSOffice_Level1" </w:instrText>
      </w:r>
      <w:r>
        <w:fldChar w:fldCharType="separate"/>
      </w:r>
      <w:r>
        <w:rPr>
          <w:rFonts w:hint="eastAsia" w:ascii="黑体" w:hAnsi="ˎ̥" w:eastAsia="黑体" w:cs="Times New Roman"/>
          <w:kern w:val="0"/>
          <w:sz w:val="32"/>
          <w:szCs w:val="32"/>
        </w:rPr>
        <w:t>第四部分  名词解释</w:t>
      </w:r>
      <w:r>
        <w:rPr>
          <w:rFonts w:ascii="Times New Roman" w:hAnsi="Times New Roman" w:eastAsia="宋体" w:cs="Times New Roman"/>
          <w:kern w:val="0"/>
          <w:sz w:val="32"/>
          <w:szCs w:val="32"/>
        </w:rPr>
        <w:tab/>
      </w:r>
      <w:bookmarkStart w:id="1" w:name="_Toc15425_WPSOffice_Level1Page"/>
      <w:r>
        <w:rPr>
          <w:rFonts w:ascii="Times New Roman" w:hAnsi="Times New Roman" w:eastAsia="宋体" w:cs="Times New Roman"/>
          <w:kern w:val="0"/>
          <w:sz w:val="32"/>
          <w:szCs w:val="32"/>
        </w:rPr>
        <w:t>1</w:t>
      </w:r>
      <w:bookmarkEnd w:id="1"/>
      <w:r>
        <w:rPr>
          <w:rFonts w:ascii="Times New Roman" w:hAnsi="Times New Roman" w:eastAsia="宋体" w:cs="Times New Roman"/>
          <w:kern w:val="0"/>
          <w:sz w:val="32"/>
          <w:szCs w:val="32"/>
        </w:rPr>
        <w:fldChar w:fldCharType="end"/>
      </w:r>
      <w:bookmarkEnd w:id="0"/>
      <w:r>
        <w:rPr>
          <w:rFonts w:hint="eastAsia" w:ascii="Times New Roman" w:hAnsi="Times New Roman" w:eastAsia="宋体" w:cs="Times New Roman"/>
          <w:kern w:val="0"/>
          <w:sz w:val="32"/>
          <w:szCs w:val="32"/>
          <w:lang w:val="en-US" w:eastAsia="zh-CN"/>
        </w:rPr>
        <w:t>2</w:t>
      </w:r>
    </w:p>
    <w:p>
      <w:pPr>
        <w:jc w:val="left"/>
        <w:rPr>
          <w:rFonts w:ascii="黑体" w:hAnsi="黑体" w:eastAsia="黑体" w:cs="黑体"/>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楷体" w:hAnsi="楷体" w:eastAsia="楷体" w:cs="楷体"/>
          <w:sz w:val="32"/>
          <w:szCs w:val="32"/>
        </w:rPr>
      </w:pPr>
      <w:bookmarkStart w:id="2" w:name="_Toc10049_WPSOffice_Level1"/>
      <w:bookmarkStart w:id="3" w:name="_Toc32433_WPSOffice_Level1"/>
      <w:bookmarkStart w:id="4" w:name="_Toc23465_WPSOffice_Level1"/>
      <w:bookmarkStart w:id="5" w:name="_Toc22941_WPSOffice_Level1"/>
      <w:bookmarkStart w:id="6" w:name="_Toc1704_WPSOffice_Level1"/>
      <w:bookmarkStart w:id="7" w:name="_Toc10720_WPSOffice_Level1"/>
      <w:bookmarkStart w:id="8" w:name="_Toc24238_WPSOffice_Level2"/>
      <w:bookmarkStart w:id="9" w:name="_Toc26580_WPSOffice_Level2"/>
      <w:bookmarkStart w:id="10" w:name="_Toc20274_WPSOffice_Level2"/>
      <w:bookmarkStart w:id="11" w:name="_Toc20205_WPSOffice_Level2"/>
      <w:bookmarkStart w:id="12" w:name="_Toc32622_WPSOffice_Level2"/>
      <w:bookmarkStart w:id="13" w:name="_Toc14159_WPSOffice_Level2"/>
      <w:r>
        <w:rPr>
          <w:rFonts w:hint="eastAsia" w:ascii="黑体" w:hAnsi="ˎ̥" w:eastAsia="黑体" w:cs="Times New Roman"/>
          <w:sz w:val="32"/>
          <w:szCs w:val="32"/>
        </w:rPr>
        <w:t>第一部分  三亚市天涯区</w:t>
      </w:r>
      <w:r>
        <w:rPr>
          <w:rFonts w:hint="eastAsia" w:ascii="黑体" w:hAnsi="ˎ̥" w:eastAsia="黑体" w:cs="Times New Roman"/>
          <w:sz w:val="32"/>
          <w:szCs w:val="32"/>
          <w:lang w:eastAsia="zh-CN"/>
        </w:rPr>
        <w:t>回新逸夫</w:t>
      </w:r>
      <w:r>
        <w:rPr>
          <w:rFonts w:hint="eastAsia" w:ascii="黑体" w:hAnsi="ˎ̥" w:eastAsia="黑体" w:cs="Times New Roman"/>
          <w:sz w:val="32"/>
          <w:szCs w:val="32"/>
        </w:rPr>
        <w:t>小学</w:t>
      </w:r>
      <w:r>
        <w:rPr>
          <w:rFonts w:hint="eastAsia" w:ascii="黑体" w:hAnsi="ˎ̥" w:eastAsia="黑体" w:cs="Times New Roman"/>
          <w:sz w:val="32"/>
          <w:szCs w:val="32"/>
          <w:lang w:eastAsia="zh-CN"/>
        </w:rPr>
        <w:t>单位</w:t>
      </w:r>
      <w:r>
        <w:rPr>
          <w:rFonts w:hint="eastAsia" w:ascii="黑体" w:hAnsi="ˎ̥" w:eastAsia="黑体" w:cs="Times New Roman"/>
          <w:sz w:val="32"/>
          <w:szCs w:val="32"/>
        </w:rPr>
        <w:t>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lang w:val="en-US" w:eastAsia="zh-CN"/>
        </w:rPr>
        <w:t>单位</w:t>
      </w:r>
      <w:r>
        <w:rPr>
          <w:rFonts w:hint="eastAsia" w:ascii="黑体" w:hAnsi="黑体" w:eastAsia="黑体" w:cs="黑体"/>
          <w:sz w:val="32"/>
          <w:szCs w:val="32"/>
        </w:rPr>
        <w:t>职责</w:t>
      </w:r>
      <w:bookmarkEnd w:id="9"/>
      <w:bookmarkEnd w:id="10"/>
      <w:bookmarkEnd w:id="11"/>
      <w:bookmarkEnd w:id="12"/>
      <w:bookmarkEnd w:id="13"/>
    </w:p>
    <w:p>
      <w:pPr>
        <w:pStyle w:val="10"/>
        <w:ind w:firstLineChars="0"/>
        <w:jc w:val="left"/>
        <w:rPr>
          <w:rFonts w:ascii="黑体" w:hAnsi="黑体" w:eastAsia="黑体" w:cs="仿宋_GB2312"/>
          <w:sz w:val="32"/>
          <w:szCs w:val="32"/>
        </w:rPr>
      </w:pPr>
      <w:bookmarkStart w:id="14" w:name="_Toc17796_WPSOffice_Level2"/>
      <w:bookmarkStart w:id="15" w:name="_Toc24474_WPSOffice_Level2"/>
      <w:bookmarkStart w:id="16" w:name="_Toc6572_WPSOffice_Level2"/>
      <w:bookmarkStart w:id="17" w:name="_Toc4833_WPSOffice_Level2"/>
      <w:bookmarkStart w:id="18" w:name="_Toc24059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ˎ̥" w:eastAsia="仿宋_GB2312" w:cs="Times New Roman"/>
          <w:sz w:val="32"/>
          <w:szCs w:val="32"/>
        </w:rPr>
      </w:pPr>
      <w:bookmarkStart w:id="19" w:name="_Toc8164_WPSOffice_Level1"/>
      <w:bookmarkStart w:id="20" w:name="_Toc15521_WPSOffice_Level1"/>
      <w:bookmarkStart w:id="21" w:name="_Toc30451_WPSOffice_Level1"/>
      <w:bookmarkStart w:id="22" w:name="_Toc6234_WPSOffice_Level1"/>
      <w:bookmarkStart w:id="23" w:name="_Toc30690_WPSOffice_Level1"/>
      <w:bookmarkStart w:id="24" w:name="_Toc28253_WPSOffice_Level1"/>
      <w:bookmarkStart w:id="25" w:name="_Toc6211_WPSOffice_Level2"/>
      <w:bookmarkStart w:id="26" w:name="_Toc32695_WPSOffice_Level2"/>
      <w:bookmarkStart w:id="27" w:name="_Toc8867_WPSOffice_Level2"/>
      <w:bookmarkStart w:id="28" w:name="_Toc4029_WPSOffice_Level2"/>
      <w:bookmarkStart w:id="29" w:name="_Toc32472_WPSOffice_Level2"/>
      <w:bookmarkStart w:id="30" w:name="_Toc11518_WPSOffice_Level2"/>
      <w:r>
        <w:rPr>
          <w:rFonts w:hint="eastAsia" w:ascii="仿宋_GB2312" w:hAnsi="ˎ̥" w:eastAsia="仿宋_GB2312" w:cs="Times New Roman"/>
          <w:sz w:val="32"/>
          <w:szCs w:val="32"/>
        </w:rPr>
        <w:t>单位内设机构即包括：</w:t>
      </w:r>
    </w:p>
    <w:p>
      <w:pPr>
        <w:ind w:firstLine="640" w:firstLineChars="200"/>
        <w:rPr>
          <w:rFonts w:ascii="楷体" w:hAnsi="楷体" w:eastAsia="楷体" w:cs="楷体"/>
          <w:sz w:val="32"/>
          <w:szCs w:val="32"/>
        </w:rPr>
      </w:pPr>
      <w:bookmarkStart w:id="31" w:name="_Toc25738_WPSOffice_Level2"/>
      <w:bookmarkStart w:id="32" w:name="_Toc24421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ˎ̥" w:eastAsia="黑体" w:cs="Times New Roman"/>
          <w:sz w:val="32"/>
          <w:szCs w:val="32"/>
        </w:rPr>
      </w:pPr>
      <w:r>
        <w:rPr>
          <w:rFonts w:hint="eastAsia" w:ascii="黑体" w:hAnsi="ˎ̥" w:eastAsia="黑体" w:cs="Times New Roman"/>
          <w:sz w:val="32"/>
          <w:szCs w:val="32"/>
        </w:rPr>
        <w:t>第二部分  三亚市天涯区</w:t>
      </w:r>
      <w:r>
        <w:rPr>
          <w:rFonts w:hint="eastAsia" w:ascii="黑体" w:hAnsi="ˎ̥" w:eastAsia="黑体" w:cs="Times New Roman"/>
          <w:sz w:val="32"/>
          <w:szCs w:val="32"/>
          <w:lang w:eastAsia="zh-CN"/>
        </w:rPr>
        <w:t>回新逸夫</w:t>
      </w:r>
      <w:r>
        <w:rPr>
          <w:rFonts w:hint="eastAsia" w:ascii="黑体" w:hAnsi="ˎ̥" w:eastAsia="黑体" w:cs="Times New Roman"/>
          <w:sz w:val="32"/>
          <w:szCs w:val="32"/>
        </w:rPr>
        <w:t>小学202</w:t>
      </w:r>
      <w:r>
        <w:rPr>
          <w:rFonts w:hint="eastAsia" w:ascii="黑体" w:hAnsi="ˎ̥" w:eastAsia="黑体" w:cs="Times New Roman"/>
          <w:sz w:val="32"/>
          <w:szCs w:val="32"/>
          <w:lang w:val="en-US" w:eastAsia="zh-CN"/>
        </w:rPr>
        <w:t>1</w:t>
      </w:r>
      <w:r>
        <w:rPr>
          <w:rFonts w:hint="eastAsia" w:ascii="黑体" w:hAnsi="ˎ̥" w:eastAsia="黑体" w:cs="Times New Roman"/>
          <w:sz w:val="32"/>
          <w:szCs w:val="32"/>
        </w:rPr>
        <w:t>年度</w:t>
      </w:r>
      <w:r>
        <w:rPr>
          <w:rFonts w:hint="eastAsia" w:ascii="黑体" w:hAnsi="ˎ̥" w:eastAsia="黑体" w:cs="Times New Roman"/>
          <w:sz w:val="32"/>
          <w:szCs w:val="32"/>
          <w:lang w:val="en-US" w:eastAsia="zh-CN"/>
        </w:rPr>
        <w:t>部门</w:t>
      </w:r>
      <w:r>
        <w:rPr>
          <w:rFonts w:hint="eastAsia" w:ascii="黑体" w:hAnsi="ˎ̥" w:eastAsia="黑体" w:cs="Times New Roman"/>
          <w:sz w:val="32"/>
          <w:szCs w:val="32"/>
        </w:rPr>
        <w:t>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5608_WPSOffice_Level2"/>
      <w:bookmarkStart w:id="37" w:name="_Toc23139_WPSOffice_Level2"/>
      <w:bookmarkStart w:id="38" w:name="_Toc14349_WPSOffice_Level2"/>
      <w:bookmarkStart w:id="39" w:name="_Toc28622_WPSOffice_Level2"/>
      <w:bookmarkStart w:id="40" w:name="_Toc30334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626_WPSOffice_Level2"/>
      <w:bookmarkStart w:id="42" w:name="_Toc3262_WPSOffice_Level2"/>
      <w:bookmarkStart w:id="43" w:name="_Toc17858_WPSOffice_Level2"/>
      <w:bookmarkStart w:id="44" w:name="_Toc5489_WPSOffice_Level2"/>
      <w:bookmarkStart w:id="45" w:name="_Toc13854_WPSOffice_Level2"/>
      <w:bookmarkStart w:id="46" w:name="_Toc14658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3591_WPSOffice_Level2"/>
      <w:bookmarkStart w:id="48" w:name="_Toc13701_WPSOffice_Level2"/>
      <w:bookmarkStart w:id="49" w:name="_Toc21415_WPSOffice_Level2"/>
      <w:bookmarkStart w:id="50" w:name="_Toc4265_WPSOffice_Level2"/>
      <w:bookmarkStart w:id="51" w:name="_Toc23493_WPSOffice_Level2"/>
      <w:bookmarkStart w:id="52" w:name="_Toc7988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2783_WPSOffice_Level2"/>
      <w:bookmarkStart w:id="54" w:name="_Toc25166_WPSOffice_Level2"/>
      <w:bookmarkStart w:id="55" w:name="_Toc7879_WPSOffice_Level2"/>
      <w:bookmarkStart w:id="56" w:name="_Toc23829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833_WPSOffice_Level2"/>
      <w:bookmarkStart w:id="60" w:name="_Toc5343_WPSOffice_Level2"/>
      <w:bookmarkStart w:id="61" w:name="_Toc25362_WPSOffice_Level2"/>
      <w:bookmarkStart w:id="62" w:name="_Toc2632_WPSOffice_Level2"/>
      <w:bookmarkStart w:id="63" w:name="_Toc17283_WPSOffice_Level2"/>
      <w:bookmarkStart w:id="64" w:name="_Toc837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1533_WPSOffice_Level2"/>
      <w:bookmarkStart w:id="66" w:name="_Toc5594_WPSOffice_Level2"/>
      <w:bookmarkStart w:id="67" w:name="_Toc6020_WPSOffice_Level2"/>
      <w:bookmarkStart w:id="68" w:name="_Toc11799_WPSOffice_Level2"/>
      <w:bookmarkStart w:id="69" w:name="_Toc21310_WPSOffice_Level2"/>
      <w:bookmarkStart w:id="70" w:name="_Toc13345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29886_WPSOffice_Level2"/>
      <w:bookmarkStart w:id="72" w:name="_Toc19961_WPSOffice_Level2"/>
      <w:bookmarkStart w:id="73" w:name="_Toc1820_WPSOffice_Level2"/>
      <w:bookmarkStart w:id="74" w:name="_Toc9377_WPSOffice_Level2"/>
      <w:r>
        <w:rPr>
          <w:rFonts w:hint="eastAsia" w:ascii="黑体" w:hAnsi="黑体" w:eastAsia="黑体" w:cs="黑体"/>
          <w:sz w:val="32"/>
          <w:szCs w:val="32"/>
        </w:rPr>
        <w:t xml:space="preserve">    九、一般公共预算财政拨款“三公”经费支出决算</w:t>
      </w:r>
    </w:p>
    <w:p>
      <w:pPr>
        <w:rPr>
          <w:rFonts w:ascii="黑体" w:hAnsi="黑体" w:eastAsia="黑体" w:cs="黑体"/>
          <w:sz w:val="32"/>
          <w:szCs w:val="32"/>
        </w:rPr>
      </w:pPr>
      <w:r>
        <w:rPr>
          <w:rFonts w:hint="eastAsia"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十、政府性基金预算财政拨款“三公”经费支出决算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十一、国有资本经营预算财政拨款“三公”经费支出决算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jc w:val="center"/>
        <w:rPr>
          <w:rFonts w:ascii="黑体" w:hAnsi="ˎ̥" w:eastAsia="黑体" w:cs="Times New Roman"/>
          <w:sz w:val="32"/>
          <w:szCs w:val="32"/>
        </w:rPr>
      </w:pPr>
      <w:bookmarkStart w:id="75" w:name="_Toc29683_WPSOffice_Level1"/>
      <w:bookmarkStart w:id="76" w:name="_Toc31264_WPSOffice_Level1"/>
      <w:bookmarkStart w:id="77" w:name="_Toc16686_WPSOffice_Level1"/>
      <w:bookmarkStart w:id="78" w:name="_Toc28629_WPSOffice_Level1"/>
      <w:bookmarkStart w:id="79" w:name="_Toc4402_WPSOffice_Level1"/>
      <w:bookmarkStart w:id="80" w:name="_Toc27590_WPSOffice_Level1"/>
      <w:r>
        <w:rPr>
          <w:rFonts w:hint="eastAsia" w:ascii="黑体" w:hAnsi="ˎ̥" w:eastAsia="黑体" w:cs="Times New Roman"/>
          <w:sz w:val="32"/>
          <w:szCs w:val="32"/>
        </w:rPr>
        <w:t>第三部分  三亚市天涯区</w:t>
      </w:r>
      <w:r>
        <w:rPr>
          <w:rFonts w:hint="eastAsia" w:ascii="黑体" w:hAnsi="ˎ̥" w:eastAsia="黑体" w:cs="Times New Roman"/>
          <w:sz w:val="32"/>
          <w:szCs w:val="32"/>
          <w:lang w:eastAsia="zh-CN"/>
        </w:rPr>
        <w:t>回新逸夫小学</w:t>
      </w:r>
      <w:r>
        <w:rPr>
          <w:rFonts w:hint="eastAsia" w:ascii="黑体" w:hAnsi="ˎ̥" w:eastAsia="黑体" w:cs="Times New Roman"/>
          <w:sz w:val="32"/>
          <w:szCs w:val="32"/>
        </w:rPr>
        <w:t>小学202</w:t>
      </w:r>
      <w:r>
        <w:rPr>
          <w:rFonts w:hint="eastAsia" w:ascii="黑体" w:hAnsi="ˎ̥" w:eastAsia="黑体" w:cs="Times New Roman"/>
          <w:sz w:val="32"/>
          <w:szCs w:val="32"/>
          <w:lang w:val="en-US" w:eastAsia="zh-CN"/>
        </w:rPr>
        <w:t>1</w:t>
      </w:r>
      <w:r>
        <w:rPr>
          <w:rFonts w:hint="eastAsia" w:ascii="黑体" w:hAnsi="ˎ̥" w:eastAsia="黑体" w:cs="Times New Roman"/>
          <w:sz w:val="32"/>
          <w:szCs w:val="32"/>
        </w:rPr>
        <w:t>年度</w:t>
      </w:r>
      <w:r>
        <w:rPr>
          <w:rFonts w:hint="eastAsia" w:ascii="黑体" w:hAnsi="ˎ̥" w:eastAsia="黑体" w:cs="Times New Roman"/>
          <w:sz w:val="32"/>
          <w:szCs w:val="32"/>
          <w:lang w:eastAsia="zh-CN"/>
        </w:rPr>
        <w:t>单位</w:t>
      </w:r>
      <w:r>
        <w:rPr>
          <w:rFonts w:hint="eastAsia" w:ascii="黑体" w:hAnsi="ˎ̥" w:eastAsia="黑体" w:cs="Times New Roman"/>
          <w:sz w:val="32"/>
          <w:szCs w:val="32"/>
        </w:rPr>
        <w:t>决算情况说明</w:t>
      </w:r>
      <w:bookmarkEnd w:id="75"/>
      <w:bookmarkEnd w:id="76"/>
      <w:bookmarkEnd w:id="77"/>
      <w:bookmarkEnd w:id="78"/>
      <w:bookmarkEnd w:id="79"/>
      <w:bookmarkEnd w:id="80"/>
    </w:p>
    <w:p>
      <w:pPr>
        <w:numPr>
          <w:ilvl w:val="0"/>
          <w:numId w:val="0"/>
        </w:numPr>
        <w:ind w:firstLine="640" w:firstLineChars="200"/>
        <w:rPr>
          <w:rFonts w:hint="eastAsia" w:ascii="仿宋_GB2312" w:hAnsi="ˎ̥" w:eastAsia="仿宋_GB2312" w:cs="Times New Roman"/>
          <w:sz w:val="32"/>
          <w:szCs w:val="32"/>
        </w:rPr>
      </w:pPr>
      <w:r>
        <w:rPr>
          <w:rFonts w:hint="eastAsia" w:ascii="黑体" w:hAnsi="黑体" w:eastAsia="黑体" w:cs="黑体"/>
          <w:bCs/>
          <w:sz w:val="32"/>
          <w:szCs w:val="32"/>
          <w:lang w:eastAsia="zh-CN"/>
        </w:rPr>
        <w:t>一、</w:t>
      </w:r>
      <w:r>
        <w:rPr>
          <w:rFonts w:hint="eastAsia" w:ascii="黑体" w:hAnsi="黑体" w:eastAsia="黑体" w:cs="黑体"/>
          <w:bCs/>
          <w:sz w:val="32"/>
          <w:szCs w:val="32"/>
        </w:rPr>
        <w:t>收入支出决算总体情况说明</w:t>
      </w:r>
    </w:p>
    <w:p>
      <w:pPr>
        <w:numPr>
          <w:ilvl w:val="0"/>
          <w:numId w:val="0"/>
        </w:numPr>
        <w:rPr>
          <w:rFonts w:hint="eastAsia" w:ascii="仿宋_GB2312" w:hAnsi="ˎ̥" w:eastAsia="仿宋_GB2312" w:cs="Times New Roman"/>
          <w:sz w:val="32"/>
          <w:szCs w:val="32"/>
        </w:rPr>
      </w:pPr>
      <w:r>
        <w:rPr>
          <w:rFonts w:hint="eastAsia" w:ascii="仿宋_GB2312" w:hAnsi="ˎ̥" w:eastAsia="仿宋_GB2312" w:cs="Times New Roman"/>
          <w:sz w:val="32"/>
          <w:szCs w:val="32"/>
        </w:rPr>
        <w:t xml:space="preserve"> 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年度收入总计5</w:t>
      </w:r>
      <w:r>
        <w:rPr>
          <w:rFonts w:hint="eastAsia" w:ascii="仿宋_GB2312" w:hAnsi="ˎ̥" w:eastAsia="仿宋_GB2312" w:cs="Times New Roman"/>
          <w:sz w:val="32"/>
          <w:szCs w:val="32"/>
          <w:lang w:val="en-US" w:eastAsia="zh-CN"/>
        </w:rPr>
        <w:t>79.76</w:t>
      </w:r>
      <w:r>
        <w:rPr>
          <w:rFonts w:hint="eastAsia" w:ascii="仿宋_GB2312" w:hAnsi="ˎ̥" w:eastAsia="仿宋_GB2312" w:cs="Times New Roman"/>
          <w:sz w:val="32"/>
          <w:szCs w:val="32"/>
        </w:rPr>
        <w:t>万元，支出总计</w:t>
      </w:r>
      <w:r>
        <w:rPr>
          <w:rFonts w:hint="eastAsia" w:ascii="仿宋_GB2312" w:hAnsi="ˎ̥" w:eastAsia="仿宋_GB2312" w:cs="Times New Roman"/>
          <w:sz w:val="32"/>
          <w:szCs w:val="32"/>
          <w:lang w:val="en-US" w:eastAsia="zh-CN"/>
        </w:rPr>
        <w:t>579.76</w:t>
      </w:r>
      <w:r>
        <w:rPr>
          <w:rFonts w:hint="eastAsia" w:ascii="仿宋_GB2312" w:hAnsi="ˎ̥" w:eastAsia="仿宋_GB2312" w:cs="Times New Roman"/>
          <w:sz w:val="32"/>
          <w:szCs w:val="32"/>
        </w:rPr>
        <w:t>万元，与20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年度相比，收入总计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76.93</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增长13.27</w:t>
      </w:r>
      <w:r>
        <w:rPr>
          <w:rFonts w:hint="eastAsia" w:ascii="仿宋_GB2312" w:hAnsi="ˎ̥" w:eastAsia="仿宋_GB2312" w:cs="Times New Roman"/>
          <w:sz w:val="32"/>
          <w:szCs w:val="32"/>
        </w:rPr>
        <w:t>%、支出总计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76.93</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增长13.27</w:t>
      </w:r>
      <w:r>
        <w:rPr>
          <w:rFonts w:hint="eastAsia" w:ascii="仿宋_GB2312" w:hAnsi="ˎ̥" w:eastAsia="仿宋_GB2312" w:cs="Times New Roman"/>
          <w:sz w:val="32"/>
          <w:szCs w:val="32"/>
        </w:rPr>
        <w:t>%。使用非财政拨款结余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w:t>
      </w:r>
      <w:r>
        <w:rPr>
          <w:rFonts w:hint="eastAsia" w:ascii="仿宋_GB2312" w:hAnsi="ˎ̥" w:eastAsia="仿宋_GB2312" w:cs="Times New Roman"/>
          <w:sz w:val="32"/>
          <w:szCs w:val="32"/>
        </w:rPr>
        <w:t>较</w:t>
      </w:r>
      <w:r>
        <w:rPr>
          <w:rFonts w:hint="default" w:ascii="仿宋_GB2312" w:hAnsi="ˎ̥" w:eastAsia="仿宋_GB2312" w:cs="Times New Roman"/>
          <w:sz w:val="32"/>
          <w:szCs w:val="32"/>
          <w:lang w:val="en-US"/>
        </w:rPr>
        <w:t>202</w:t>
      </w:r>
      <w:r>
        <w:rPr>
          <w:rFonts w:hint="eastAsia" w:ascii="仿宋_GB2312" w:hAnsi="ˎ̥" w:eastAsia="仿宋_GB2312" w:cs="Times New Roman"/>
          <w:sz w:val="32"/>
          <w:szCs w:val="32"/>
          <w:lang w:val="en-US" w:eastAsia="zh-CN"/>
        </w:rPr>
        <w:t>1</w:t>
      </w:r>
      <w:r>
        <w:rPr>
          <w:rFonts w:hint="default" w:ascii="仿宋_GB2312" w:hAnsi="ˎ̥" w:eastAsia="仿宋_GB2312" w:cs="Times New Roman"/>
          <w:sz w:val="32"/>
          <w:szCs w:val="32"/>
        </w:rPr>
        <w:t>年度决算数增加</w:t>
      </w:r>
      <w:r>
        <w:rPr>
          <w:rFonts w:hint="eastAsia" w:ascii="仿宋_GB2312" w:hAnsi="ˎ̥" w:eastAsia="仿宋_GB2312" w:cs="Times New Roman"/>
          <w:sz w:val="32"/>
          <w:szCs w:val="32"/>
          <w:lang w:val="en-US" w:eastAsia="zh-CN"/>
        </w:rPr>
        <w:t>76.93</w:t>
      </w:r>
      <w:r>
        <w:rPr>
          <w:rFonts w:hint="default" w:ascii="仿宋_GB2312" w:hAnsi="ˎ̥" w:eastAsia="仿宋_GB2312" w:cs="Times New Roman"/>
          <w:sz w:val="32"/>
          <w:szCs w:val="32"/>
        </w:rPr>
        <w:t>万元，主要原因是</w:t>
      </w:r>
      <w:r>
        <w:rPr>
          <w:rFonts w:hint="eastAsia" w:ascii="仿宋_GB2312" w:hAnsi="ˎ̥" w:eastAsia="仿宋_GB2312" w:cs="Times New Roman"/>
          <w:sz w:val="32"/>
          <w:szCs w:val="32"/>
          <w:lang w:eastAsia="zh-CN"/>
        </w:rPr>
        <w:t>学生人数增加活动随之增加，教师人员增加</w:t>
      </w:r>
      <w:r>
        <w:rPr>
          <w:rFonts w:hint="eastAsia" w:ascii="仿宋_GB2312" w:hAnsi="ˎ̥" w:eastAsia="仿宋_GB2312" w:cs="Times New Roman"/>
          <w:sz w:val="32"/>
          <w:szCs w:val="32"/>
        </w:rPr>
        <w:t>。年初结转结余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万元，主要是财政拨款</w:t>
      </w:r>
      <w:r>
        <w:rPr>
          <w:rFonts w:hint="eastAsia" w:ascii="仿宋_GB2312" w:hAnsi="ˎ̥" w:eastAsia="仿宋_GB2312" w:cs="Times New Roman"/>
          <w:sz w:val="32"/>
          <w:szCs w:val="32"/>
          <w:lang w:eastAsia="zh-CN"/>
        </w:rPr>
        <w:t>未</w:t>
      </w:r>
      <w:r>
        <w:rPr>
          <w:rFonts w:hint="eastAsia" w:ascii="仿宋_GB2312" w:hAnsi="ˎ̥" w:eastAsia="仿宋_GB2312" w:cs="Times New Roman"/>
          <w:sz w:val="32"/>
          <w:szCs w:val="32"/>
        </w:rPr>
        <w:t>结转，较20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年度决算数</w:t>
      </w:r>
      <w:r>
        <w:rPr>
          <w:rFonts w:hint="eastAsia" w:ascii="仿宋_GB2312" w:hAnsi="ˎ̥" w:eastAsia="仿宋_GB2312" w:cs="Times New Roman"/>
          <w:sz w:val="32"/>
          <w:szCs w:val="32"/>
          <w:lang w:eastAsia="zh-CN"/>
        </w:rPr>
        <w:t>减少</w:t>
      </w:r>
      <w:r>
        <w:rPr>
          <w:rFonts w:hint="eastAsia" w:ascii="仿宋_GB2312" w:hAnsi="ˎ̥" w:eastAsia="仿宋_GB2312" w:cs="Times New Roman"/>
          <w:sz w:val="32"/>
          <w:szCs w:val="32"/>
          <w:lang w:val="en-US" w:eastAsia="zh-CN"/>
        </w:rPr>
        <w:t>1.99</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减少</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hint="default" w:ascii="仿宋_GB2312" w:hAnsi="ˎ̥" w:eastAsia="仿宋_GB2312" w:cs="Times New Roman"/>
          <w:sz w:val="32"/>
          <w:szCs w:val="32"/>
        </w:rPr>
        <w:t>主要原因是</w:t>
      </w:r>
      <w:r>
        <w:rPr>
          <w:rFonts w:hint="eastAsia" w:ascii="仿宋_GB2312" w:hAnsi="ˎ̥" w:eastAsia="仿宋_GB2312" w:cs="Times New Roman"/>
          <w:sz w:val="32"/>
          <w:szCs w:val="32"/>
          <w:lang w:eastAsia="zh-CN"/>
        </w:rPr>
        <w:t>教育支出</w:t>
      </w:r>
      <w:r>
        <w:rPr>
          <w:rFonts w:hint="eastAsia" w:ascii="仿宋_GB2312" w:hAnsi="ˎ̥" w:eastAsia="仿宋_GB2312" w:cs="Times New Roman"/>
          <w:sz w:val="32"/>
          <w:szCs w:val="32"/>
        </w:rPr>
        <w:t>。结余分配</w:t>
      </w:r>
      <w:r>
        <w:rPr>
          <w:rFonts w:hint="default" w:ascii="仿宋_GB2312" w:hAnsi="ˎ̥" w:eastAsia="仿宋_GB2312" w:cs="Times New Roman"/>
          <w:sz w:val="32"/>
          <w:szCs w:val="32"/>
          <w:lang w:val="en-US"/>
        </w:rPr>
        <w:t>0.00</w:t>
      </w:r>
      <w:r>
        <w:rPr>
          <w:rFonts w:hint="default" w:ascii="仿宋_GB2312" w:hAnsi="ˎ̥" w:eastAsia="仿宋_GB2312" w:cs="Times New Roman"/>
          <w:sz w:val="32"/>
          <w:szCs w:val="32"/>
        </w:rPr>
        <w:t>万元，较</w:t>
      </w:r>
      <w:r>
        <w:rPr>
          <w:rFonts w:hint="default" w:ascii="仿宋_GB2312" w:hAnsi="ˎ̥" w:eastAsia="仿宋_GB2312" w:cs="Times New Roman"/>
          <w:sz w:val="32"/>
          <w:szCs w:val="32"/>
          <w:lang w:val="en-US"/>
        </w:rPr>
        <w:t>202</w:t>
      </w:r>
      <w:r>
        <w:rPr>
          <w:rFonts w:hint="eastAsia" w:ascii="仿宋_GB2312" w:hAnsi="ˎ̥" w:eastAsia="仿宋_GB2312" w:cs="Times New Roman"/>
          <w:sz w:val="32"/>
          <w:szCs w:val="32"/>
          <w:lang w:val="en-US" w:eastAsia="zh-CN"/>
        </w:rPr>
        <w:t>1</w:t>
      </w:r>
      <w:r>
        <w:rPr>
          <w:rFonts w:hint="default" w:ascii="仿宋_GB2312" w:hAnsi="ˎ̥" w:eastAsia="仿宋_GB2312" w:cs="Times New Roman"/>
          <w:sz w:val="32"/>
          <w:szCs w:val="32"/>
        </w:rPr>
        <w:t>年度决算数增加</w:t>
      </w:r>
      <w:r>
        <w:rPr>
          <w:rFonts w:hint="eastAsia" w:ascii="仿宋_GB2312" w:hAnsi="ˎ̥" w:eastAsia="仿宋_GB2312" w:cs="Times New Roman"/>
          <w:sz w:val="32"/>
          <w:szCs w:val="32"/>
          <w:lang w:val="en-US" w:eastAsia="zh-CN"/>
        </w:rPr>
        <w:t>0</w:t>
      </w:r>
      <w:r>
        <w:rPr>
          <w:rFonts w:hint="default" w:ascii="仿宋_GB2312" w:hAnsi="ˎ̥" w:eastAsia="仿宋_GB2312" w:cs="Times New Roman"/>
          <w:sz w:val="32"/>
          <w:szCs w:val="32"/>
        </w:rPr>
        <w:t>万元，增长</w:t>
      </w:r>
      <w:r>
        <w:rPr>
          <w:rFonts w:hint="eastAsia" w:ascii="仿宋_GB2312" w:hAnsi="ˎ̥" w:eastAsia="仿宋_GB2312" w:cs="Times New Roman"/>
          <w:sz w:val="32"/>
          <w:szCs w:val="32"/>
          <w:lang w:val="en-US" w:eastAsia="zh-CN"/>
        </w:rPr>
        <w:t>0</w:t>
      </w:r>
      <w:r>
        <w:rPr>
          <w:rFonts w:hint="default" w:ascii="仿宋_GB2312" w:hAnsi="ˎ̥" w:eastAsia="仿宋_GB2312" w:cs="Times New Roman"/>
          <w:sz w:val="32"/>
          <w:szCs w:val="32"/>
          <w:lang w:val="en-US"/>
        </w:rPr>
        <w:t>%</w:t>
      </w:r>
      <w:r>
        <w:rPr>
          <w:rFonts w:hint="default" w:ascii="仿宋_GB2312" w:hAnsi="ˎ̥" w:eastAsia="仿宋_GB2312" w:cs="Times New Roman"/>
          <w:sz w:val="32"/>
          <w:szCs w:val="32"/>
        </w:rPr>
        <w:t>，主要原因是</w:t>
      </w:r>
      <w:r>
        <w:rPr>
          <w:rFonts w:hint="eastAsia" w:ascii="仿宋_GB2312" w:hAnsi="ˎ̥" w:eastAsia="仿宋_GB2312" w:cs="Times New Roman"/>
          <w:sz w:val="32"/>
          <w:szCs w:val="32"/>
          <w:lang w:eastAsia="zh-CN"/>
        </w:rPr>
        <w:t>教育支出</w:t>
      </w:r>
      <w:r>
        <w:rPr>
          <w:rFonts w:hint="default" w:ascii="仿宋_GB2312" w:hAnsi="ˎ̥" w:eastAsia="仿宋_GB2312" w:cs="Times New Roman"/>
          <w:sz w:val="32"/>
          <w:szCs w:val="32"/>
        </w:rPr>
        <w:t>。</w:t>
      </w:r>
      <w:r>
        <w:rPr>
          <w:rFonts w:hint="eastAsia" w:ascii="仿宋_GB2312" w:hAnsi="ˎ̥" w:eastAsia="仿宋_GB2312" w:cs="Times New Roman"/>
          <w:sz w:val="32"/>
          <w:szCs w:val="32"/>
        </w:rPr>
        <w:t>年末结转结余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万元，主要是财政拨款结转，较20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年度决算数</w:t>
      </w:r>
      <w:r>
        <w:rPr>
          <w:rFonts w:hint="eastAsia" w:ascii="仿宋_GB2312" w:hAnsi="ˎ̥" w:eastAsia="仿宋_GB2312" w:cs="Times New Roman"/>
          <w:sz w:val="32"/>
          <w:szCs w:val="32"/>
          <w:lang w:eastAsia="zh-CN"/>
        </w:rPr>
        <w:t>减少</w:t>
      </w:r>
      <w:r>
        <w:rPr>
          <w:rFonts w:hint="eastAsia" w:ascii="仿宋_GB2312" w:hAnsi="ˎ̥" w:eastAsia="仿宋_GB2312" w:cs="Times New Roman"/>
          <w:sz w:val="32"/>
          <w:szCs w:val="32"/>
          <w:lang w:val="en-US" w:eastAsia="zh-CN"/>
        </w:rPr>
        <w:t>1.99</w:t>
      </w:r>
      <w:r>
        <w:rPr>
          <w:rFonts w:hint="eastAsia" w:ascii="仿宋_GB2312" w:hAnsi="ˎ̥" w:eastAsia="仿宋_GB2312" w:cs="Times New Roman"/>
          <w:sz w:val="32"/>
          <w:szCs w:val="32"/>
        </w:rPr>
        <w:t>万元，下降</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hint="default" w:ascii="仿宋_GB2312" w:hAnsi="ˎ̥" w:eastAsia="仿宋_GB2312" w:cs="Times New Roman"/>
          <w:sz w:val="32"/>
          <w:szCs w:val="32"/>
        </w:rPr>
        <w:t>主要原因</w:t>
      </w:r>
      <w:r>
        <w:rPr>
          <w:rFonts w:hint="eastAsia" w:ascii="仿宋_GB2312" w:hAnsi="ˎ̥" w:eastAsia="仿宋_GB2312" w:cs="Times New Roman"/>
          <w:sz w:val="32"/>
          <w:szCs w:val="32"/>
          <w:lang w:eastAsia="zh-CN"/>
        </w:rPr>
        <w:t>教育支出</w:t>
      </w:r>
      <w:r>
        <w:rPr>
          <w:rFonts w:hint="eastAsia" w:ascii="仿宋_GB2312" w:hAnsi="ˎ̥" w:eastAsia="仿宋_GB2312" w:cs="Times New Roman"/>
          <w:sz w:val="32"/>
          <w:szCs w:val="32"/>
        </w:rPr>
        <w:t>。</w:t>
      </w:r>
    </w:p>
    <w:p>
      <w:pPr>
        <w:numPr>
          <w:ilvl w:val="0"/>
          <w:numId w:val="0"/>
        </w:numPr>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二、收入决算情况说明</w:t>
      </w:r>
    </w:p>
    <w:p>
      <w:pPr>
        <w:numPr>
          <w:ilvl w:val="0"/>
          <w:numId w:val="0"/>
        </w:num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本年收入合计</w:t>
      </w:r>
      <w:r>
        <w:rPr>
          <w:rFonts w:hint="eastAsia" w:ascii="仿宋_GB2312" w:hAnsi="ˎ̥" w:eastAsia="仿宋_GB2312" w:cs="Times New Roman"/>
          <w:sz w:val="32"/>
          <w:szCs w:val="32"/>
          <w:lang w:val="en-US" w:eastAsia="zh-CN"/>
        </w:rPr>
        <w:t>579.76</w:t>
      </w:r>
      <w:r>
        <w:rPr>
          <w:rFonts w:hint="eastAsia" w:ascii="仿宋_GB2312" w:hAnsi="ˎ̥" w:eastAsia="仿宋_GB2312" w:cs="Times New Roman"/>
          <w:sz w:val="32"/>
          <w:szCs w:val="32"/>
        </w:rPr>
        <w:t>万元，其中：财政拨款收入</w:t>
      </w:r>
      <w:r>
        <w:rPr>
          <w:rFonts w:hint="eastAsia" w:ascii="仿宋_GB2312" w:hAnsi="ˎ̥" w:eastAsia="仿宋_GB2312" w:cs="Times New Roman"/>
          <w:sz w:val="32"/>
          <w:szCs w:val="32"/>
          <w:lang w:val="en-US" w:eastAsia="zh-CN"/>
        </w:rPr>
        <w:t>579.76</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%；其他收入</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本年支出合计</w:t>
      </w:r>
      <w:r>
        <w:rPr>
          <w:rFonts w:hint="eastAsia" w:ascii="仿宋_GB2312" w:hAnsi="ˎ̥" w:eastAsia="仿宋_GB2312" w:cs="Times New Roman"/>
          <w:sz w:val="32"/>
          <w:szCs w:val="32"/>
          <w:lang w:val="en-US" w:eastAsia="zh-CN"/>
        </w:rPr>
        <w:t>579.76</w:t>
      </w:r>
      <w:r>
        <w:rPr>
          <w:rFonts w:hint="eastAsia" w:ascii="仿宋_GB2312" w:hAnsi="ˎ̥" w:eastAsia="仿宋_GB2312" w:cs="Times New Roman"/>
          <w:sz w:val="32"/>
          <w:szCs w:val="32"/>
        </w:rPr>
        <w:t>万元，其中：基本支出</w:t>
      </w:r>
      <w:r>
        <w:rPr>
          <w:rFonts w:hint="eastAsia" w:ascii="仿宋_GB2312" w:hAnsi="ˎ̥" w:eastAsia="仿宋_GB2312" w:cs="Times New Roman"/>
          <w:sz w:val="32"/>
          <w:szCs w:val="32"/>
          <w:lang w:val="en-US" w:eastAsia="zh-CN"/>
        </w:rPr>
        <w:t>374.17</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64.54</w:t>
      </w:r>
      <w:r>
        <w:rPr>
          <w:rFonts w:hint="eastAsia" w:ascii="仿宋_GB2312" w:hAnsi="ˎ̥" w:eastAsia="仿宋_GB2312" w:cs="Times New Roman"/>
          <w:sz w:val="32"/>
          <w:szCs w:val="32"/>
        </w:rPr>
        <w:t>%；项目支出</w:t>
      </w:r>
      <w:r>
        <w:rPr>
          <w:rFonts w:hint="eastAsia" w:ascii="仿宋_GB2312" w:hAnsi="ˎ̥" w:eastAsia="仿宋_GB2312" w:cs="Times New Roman"/>
          <w:sz w:val="32"/>
          <w:szCs w:val="32"/>
          <w:lang w:val="en-US" w:eastAsia="zh-CN"/>
        </w:rPr>
        <w:t>205.59</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35.46</w:t>
      </w:r>
      <w:r>
        <w:rPr>
          <w:rFonts w:hint="eastAsia" w:ascii="仿宋_GB2312" w:hAnsi="ˎ̥" w:eastAsia="仿宋_GB2312" w:cs="Times New Roman"/>
          <w:sz w:val="32"/>
          <w:szCs w:val="32"/>
        </w:rPr>
        <w:t>%；上缴上级支出0.00万元，占</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%；经营支出0.00万元，占</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%；对附属单位补助支出0.00万元，占</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bookmarkStart w:id="117" w:name="_GoBack"/>
      <w:bookmarkEnd w:id="117"/>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hint="eastAsia" w:ascii="仿宋_GB2312" w:hAnsi="ˎ̥" w:eastAsia="仿宋_GB2312" w:cs="Times New Roman"/>
          <w:sz w:val="32"/>
          <w:szCs w:val="32"/>
          <w:highlight w:val="yellow"/>
        </w:rPr>
      </w:pPr>
      <w:r>
        <w:rPr>
          <w:rFonts w:hint="eastAsia" w:ascii="仿宋_GB2312" w:hAnsi="ˎ̥" w:eastAsia="仿宋_GB2312" w:cs="Times New Roman"/>
          <w:sz w:val="32"/>
          <w:szCs w:val="32"/>
          <w:lang w:val="en-US" w:eastAsia="zh-CN"/>
        </w:rPr>
        <w:t>2022年度财政拨款收入总计579.76万元，支出总计579.76万元。与2021年度相比，财政拨款收入、支出总计各增加76.93万元，增长13.27%。主要原因：一是学生人数增加活动增加；二是教师人数增加。</w:t>
      </w:r>
    </w:p>
    <w:p>
      <w:pPr>
        <w:ind w:firstLine="640" w:firstLineChars="200"/>
        <w:rPr>
          <w:rFonts w:hint="eastAsia" w:ascii="仿宋_GB2312" w:hAnsi="ˎ̥" w:eastAsia="仿宋_GB2312" w:cs="Times New Roman"/>
          <w:sz w:val="32"/>
          <w:szCs w:val="32"/>
          <w:lang w:val="en-US" w:eastAsia="zh-CN"/>
        </w:rPr>
      </w:pPr>
      <w:r>
        <w:rPr>
          <w:rFonts w:hint="eastAsia" w:ascii="仿宋_GB2312" w:hAnsi="ˎ̥" w:eastAsia="仿宋_GB2312" w:cs="Times New Roman"/>
          <w:sz w:val="32"/>
          <w:szCs w:val="32"/>
          <w:lang w:val="en-US" w:eastAsia="zh-CN"/>
        </w:rPr>
        <w:t>财政拨款年初结转结余0万元，主要是教育支出，较2021年度决算数增加76.93万元，增长13.27%，</w:t>
      </w:r>
      <w:r>
        <w:rPr>
          <w:rFonts w:hint="default" w:ascii="仿宋_GB2312" w:hAnsi="ˎ̥" w:eastAsia="仿宋_GB2312" w:cs="Times New Roman"/>
          <w:sz w:val="32"/>
          <w:szCs w:val="32"/>
          <w:lang w:val="en-US" w:eastAsia="zh-CN"/>
        </w:rPr>
        <w:t>主要原因是</w:t>
      </w:r>
      <w:r>
        <w:rPr>
          <w:rFonts w:hint="eastAsia" w:ascii="仿宋_GB2312" w:hAnsi="ˎ̥" w:eastAsia="仿宋_GB2312" w:cs="Times New Roman"/>
          <w:sz w:val="32"/>
          <w:szCs w:val="32"/>
          <w:lang w:val="en-US" w:eastAsia="zh-CN"/>
        </w:rPr>
        <w:t>学生人数增加，活动增多。</w:t>
      </w:r>
    </w:p>
    <w:p>
      <w:pPr>
        <w:ind w:firstLine="640" w:firstLineChars="200"/>
        <w:rPr>
          <w:rFonts w:hint="eastAsia" w:ascii="仿宋_GB2312" w:hAnsi="ˎ̥" w:eastAsia="仿宋_GB2312" w:cs="Times New Roman"/>
          <w:sz w:val="32"/>
          <w:szCs w:val="32"/>
          <w:lang w:val="en-US" w:eastAsia="zh-CN"/>
        </w:rPr>
      </w:pPr>
      <w:r>
        <w:rPr>
          <w:rFonts w:hint="eastAsia" w:ascii="仿宋_GB2312" w:hAnsi="ˎ̥" w:eastAsia="仿宋_GB2312" w:cs="Times New Roman"/>
          <w:sz w:val="32"/>
          <w:szCs w:val="32"/>
          <w:lang w:val="en-US" w:eastAsia="zh-CN"/>
        </w:rPr>
        <w:t>财政拨款年末结转结余0万元，主要是项目支出，较2021年度年末决算数减少1.99万元，减少100%，</w:t>
      </w:r>
      <w:r>
        <w:rPr>
          <w:rFonts w:hint="default" w:ascii="仿宋_GB2312" w:hAnsi="ˎ̥" w:eastAsia="仿宋_GB2312" w:cs="Times New Roman"/>
          <w:sz w:val="32"/>
          <w:szCs w:val="32"/>
          <w:lang w:val="en-US" w:eastAsia="zh-CN"/>
        </w:rPr>
        <w:t>主要原</w:t>
      </w:r>
      <w:r>
        <w:rPr>
          <w:rFonts w:hint="eastAsia" w:ascii="仿宋_GB2312" w:hAnsi="ˎ̥" w:eastAsia="仿宋_GB2312" w:cs="Times New Roman"/>
          <w:sz w:val="32"/>
          <w:szCs w:val="32"/>
          <w:lang w:val="en-US" w:eastAsia="zh-CN"/>
        </w:rPr>
        <w:t>因是教育支出。</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color w:val="000000" w:themeColor="text1"/>
          <w:sz w:val="32"/>
          <w:szCs w:val="32"/>
          <w14:textFill>
            <w14:solidFill>
              <w14:schemeClr w14:val="tx1"/>
            </w14:solidFill>
          </w14:textFill>
        </w:rPr>
      </w:pPr>
      <w:bookmarkStart w:id="81" w:name="_Toc13694_WPSOffice_Level2"/>
      <w:bookmarkStart w:id="82" w:name="_Toc17398_WPSOffice_Level2"/>
      <w:bookmarkStart w:id="83" w:name="_Toc21737_WPSOffice_Level2"/>
      <w:bookmarkStart w:id="84" w:name="_Toc19665_WPSOffice_Level2"/>
      <w:bookmarkStart w:id="85" w:name="_Toc23005_WPSOffice_Level2"/>
      <w:bookmarkStart w:id="86" w:name="_Toc9989_WPSOffice_Level2"/>
      <w:r>
        <w:rPr>
          <w:rFonts w:hint="eastAsia" w:ascii="楷体" w:hAnsi="楷体" w:eastAsia="楷体" w:cs="楷体"/>
          <w:color w:val="000000" w:themeColor="text1"/>
          <w:sz w:val="32"/>
          <w:szCs w:val="32"/>
          <w14:textFill>
            <w14:solidFill>
              <w14:schemeClr w14:val="tx1"/>
            </w14:solidFill>
          </w14:textFill>
        </w:rPr>
        <w:t>（一）一般公共预算财政拨款支出决算总体情况</w:t>
      </w:r>
      <w:bookmarkEnd w:id="81"/>
      <w:bookmarkEnd w:id="82"/>
      <w:r>
        <w:rPr>
          <w:rFonts w:hint="eastAsia" w:ascii="楷体" w:hAnsi="楷体" w:eastAsia="楷体" w:cs="楷体"/>
          <w:color w:val="000000" w:themeColor="text1"/>
          <w:sz w:val="32"/>
          <w:szCs w:val="32"/>
          <w14:textFill>
            <w14:solidFill>
              <w14:schemeClr w14:val="tx1"/>
            </w14:solidFill>
          </w14:textFill>
        </w:rPr>
        <w:t>。</w:t>
      </w:r>
      <w:bookmarkEnd w:id="83"/>
      <w:bookmarkEnd w:id="84"/>
      <w:bookmarkEnd w:id="85"/>
      <w:bookmarkEnd w:id="86"/>
    </w:p>
    <w:p>
      <w:pPr>
        <w:ind w:firstLine="640" w:firstLineChars="200"/>
        <w:rPr>
          <w:rFonts w:ascii="楷体" w:hAnsi="楷体" w:eastAsia="楷体" w:cs="楷体"/>
          <w:sz w:val="32"/>
          <w:szCs w:val="32"/>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年度一般公共预算财政拨款支出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579.76</w:t>
      </w:r>
      <w:r>
        <w:rPr>
          <w:rFonts w:hint="eastAsia" w:ascii="仿宋_GB2312" w:hAnsi="ˎ̥" w:eastAsia="仿宋_GB2312" w:cs="Times New Roman"/>
          <w:color w:val="000000" w:themeColor="text1"/>
          <w:sz w:val="32"/>
          <w:szCs w:val="32"/>
          <w14:textFill>
            <w14:solidFill>
              <w14:schemeClr w14:val="tx1"/>
            </w14:solidFill>
          </w14:textFill>
        </w:rPr>
        <w:t>万元，占本年支出合计的</w:t>
      </w:r>
      <w:r>
        <w:rPr>
          <w:rFonts w:hint="eastAsia" w:ascii="仿宋_GB2312" w:hAnsi="ˎ̥" w:eastAsia="仿宋_GB2312" w:cs="Times New Roman"/>
          <w:color w:val="000000" w:themeColor="text1"/>
          <w:sz w:val="32"/>
          <w:szCs w:val="32"/>
          <w:lang w:val="en-US" w:eastAsia="zh-CN"/>
          <w14:textFill>
            <w14:solidFill>
              <w14:schemeClr w14:val="tx1"/>
            </w14:solidFill>
          </w14:textFill>
        </w:rPr>
        <w:t>100</w:t>
      </w:r>
      <w:r>
        <w:rPr>
          <w:rFonts w:hint="eastAsia" w:ascii="仿宋_GB2312" w:hAnsi="ˎ̥" w:eastAsia="仿宋_GB2312" w:cs="Times New Roman"/>
          <w:color w:val="000000" w:themeColor="text1"/>
          <w:sz w:val="32"/>
          <w:szCs w:val="32"/>
          <w14:textFill>
            <w14:solidFill>
              <w14:schemeClr w14:val="tx1"/>
            </w14:solidFill>
          </w14:textFill>
        </w:rPr>
        <w:t>%。与2</w:t>
      </w:r>
      <w:r>
        <w:rPr>
          <w:rFonts w:hint="eastAsia" w:ascii="仿宋_GB2312" w:hAnsi="ˎ̥" w:eastAsia="仿宋_GB2312" w:cs="Times New Roman"/>
          <w:color w:val="000000" w:themeColor="text1"/>
          <w:sz w:val="32"/>
          <w:szCs w:val="32"/>
          <w:lang w:val="en-US" w:eastAsia="zh-CN"/>
          <w14:textFill>
            <w14:solidFill>
              <w14:schemeClr w14:val="tx1"/>
            </w14:solidFill>
          </w14:textFill>
        </w:rPr>
        <w:t>021</w:t>
      </w:r>
      <w:r>
        <w:rPr>
          <w:rFonts w:hint="eastAsia" w:ascii="仿宋_GB2312" w:hAnsi="ˎ̥" w:eastAsia="仿宋_GB2312" w:cs="Times New Roman"/>
          <w:color w:val="000000" w:themeColor="text1"/>
          <w:sz w:val="32"/>
          <w:szCs w:val="32"/>
          <w14:textFill>
            <w14:solidFill>
              <w14:schemeClr w14:val="tx1"/>
            </w14:solidFill>
          </w14:textFill>
        </w:rPr>
        <w:t>年度相比，一般公共预算财政拨</w:t>
      </w:r>
      <w:bookmarkStart w:id="87" w:name="_Toc18793_WPSOffice_Level2"/>
      <w:bookmarkStart w:id="88" w:name="_Toc2711_WPSOffice_Level2"/>
      <w:bookmarkStart w:id="89" w:name="_Toc23864_WPSOffice_Level2"/>
      <w:bookmarkStart w:id="90" w:name="_Toc19075_WPSOffice_Level2"/>
      <w:bookmarkStart w:id="91" w:name="_Toc19535_WPSOffice_Level2"/>
      <w:bookmarkStart w:id="92" w:name="_Toc27767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579.76</w:t>
      </w:r>
      <w:r>
        <w:rPr>
          <w:rFonts w:hint="eastAsia" w:ascii="仿宋_GB2312" w:hAnsi="ˎ̥" w:eastAsia="仿宋_GB2312" w:cs="Times New Roman"/>
          <w:sz w:val="32"/>
          <w:szCs w:val="32"/>
        </w:rPr>
        <w:t>万元，主要用于以下方面：</w:t>
      </w:r>
      <w:r>
        <w:rPr>
          <w:rFonts w:hint="eastAsia" w:ascii="仿宋_GB2312" w:hAnsi="ˎ̥" w:eastAsia="仿宋_GB2312" w:cs="Times New Roman"/>
          <w:b/>
          <w:sz w:val="32"/>
          <w:szCs w:val="32"/>
        </w:rPr>
        <w:t>教育（类）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481.76</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83.1</w:t>
      </w:r>
      <w:r>
        <w:rPr>
          <w:rFonts w:hint="eastAsia" w:ascii="仿宋_GB2312" w:hAnsi="ˎ̥" w:eastAsia="仿宋_GB2312" w:cs="Times New Roman"/>
          <w:sz w:val="32"/>
          <w:szCs w:val="32"/>
        </w:rPr>
        <w:t>%；</w:t>
      </w:r>
      <w:r>
        <w:rPr>
          <w:rFonts w:hint="eastAsia" w:ascii="仿宋_GB2312" w:hAnsi="ˎ̥" w:eastAsia="仿宋_GB2312" w:cs="Times New Roman"/>
          <w:b/>
          <w:sz w:val="32"/>
          <w:szCs w:val="32"/>
        </w:rPr>
        <w:t>社会保障和就业（类）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30.68</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5.29</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住房保障（类）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27.33</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4.71</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卫生健康（类）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39.99</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6.9</w:t>
      </w:r>
      <w:r>
        <w:rPr>
          <w:rFonts w:hint="eastAsia" w:ascii="仿宋_GB2312" w:hAnsi="ˎ̥" w:eastAsia="仿宋_GB2312" w:cs="Times New Roman"/>
          <w:sz w:val="32"/>
          <w:szCs w:val="32"/>
        </w:rPr>
        <w:t>%。</w:t>
      </w:r>
    </w:p>
    <w:p>
      <w:pPr>
        <w:ind w:firstLine="640" w:firstLineChars="200"/>
        <w:rPr>
          <w:rFonts w:hint="eastAsia" w:ascii="楷体" w:hAnsi="楷体" w:eastAsia="楷体" w:cs="楷体"/>
          <w:sz w:val="32"/>
          <w:szCs w:val="32"/>
        </w:rPr>
      </w:pPr>
      <w:bookmarkStart w:id="93" w:name="_Toc22318_WPSOffice_Level2"/>
      <w:bookmarkStart w:id="94" w:name="_Toc21701_WPSOffice_Level2"/>
      <w:bookmarkStart w:id="95" w:name="_Toc29364_WPSOffice_Level2"/>
      <w:bookmarkStart w:id="96" w:name="_Toc25136_WPSOffice_Level2"/>
      <w:bookmarkStart w:id="97" w:name="_Toc9502_WPSOffice_Level2"/>
      <w:bookmarkStart w:id="98" w:name="_Toc15415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jc w:val="both"/>
        <w:rPr>
          <w:rFonts w:hint="eastAsia"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年度一般公共预算财政拨款支出年初预算为</w:t>
      </w:r>
      <w:r>
        <w:rPr>
          <w:rFonts w:hint="eastAsia" w:ascii="仿宋_GB2312" w:hAnsi="ˎ̥" w:eastAsia="仿宋_GB2312" w:cs="Times New Roman"/>
          <w:sz w:val="32"/>
          <w:szCs w:val="32"/>
          <w:lang w:val="en-US" w:eastAsia="zh-CN"/>
        </w:rPr>
        <w:t>579.76</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579.76</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%。其中：</w:t>
      </w:r>
    </w:p>
    <w:p>
      <w:pPr>
        <w:ind w:firstLine="640" w:firstLineChars="200"/>
        <w:rPr>
          <w:rFonts w:ascii="仿宋_GB2312" w:hAnsi="ˎ̥" w:eastAsia="仿宋_GB2312" w:cs="Times New Roman"/>
          <w:b/>
          <w:sz w:val="32"/>
          <w:szCs w:val="32"/>
        </w:rPr>
      </w:pPr>
      <w:r>
        <w:rPr>
          <w:rFonts w:hint="eastAsia" w:ascii="仿宋_GB2312" w:hAnsi="ˎ̥" w:eastAsia="仿宋_GB2312" w:cs="Times New Roman"/>
          <w:sz w:val="32"/>
          <w:szCs w:val="32"/>
        </w:rPr>
        <w:t>1.</w:t>
      </w:r>
      <w:r>
        <w:rPr>
          <w:rFonts w:hint="eastAsia" w:ascii="仿宋_GB2312" w:hAnsi="ˎ̥" w:eastAsia="仿宋_GB2312" w:cs="Times New Roman"/>
          <w:b/>
          <w:sz w:val="32"/>
          <w:szCs w:val="32"/>
        </w:rPr>
        <w:t>教育（类）普通教育（款）小学教育（项）。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449.28</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449.28</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b/>
          <w:sz w:val="32"/>
          <w:szCs w:val="32"/>
        </w:rPr>
      </w:pPr>
      <w:r>
        <w:rPr>
          <w:rFonts w:hint="eastAsia" w:ascii="仿宋_GB2312" w:hAnsi="ˎ̥" w:eastAsia="仿宋_GB2312" w:cs="Times New Roman"/>
          <w:sz w:val="32"/>
          <w:szCs w:val="32"/>
        </w:rPr>
        <w:t>2.</w:t>
      </w:r>
      <w:r>
        <w:rPr>
          <w:rFonts w:hint="eastAsia" w:ascii="仿宋_GB2312" w:hAnsi="ˎ̥" w:eastAsia="仿宋_GB2312" w:cs="Times New Roman"/>
          <w:b/>
          <w:sz w:val="32"/>
          <w:szCs w:val="32"/>
        </w:rPr>
        <w:t>教育（类）教育管理事务（款）其他教育管理事务支出（项）。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32.48</w:t>
      </w:r>
      <w:r>
        <w:rPr>
          <w:rFonts w:hint="eastAsia" w:ascii="仿宋_GB2312" w:hAnsi="ˎ̥" w:eastAsia="仿宋_GB2312" w:cs="Times New Roman"/>
          <w:sz w:val="32"/>
          <w:szCs w:val="32"/>
        </w:rPr>
        <w:t>元，支出决算为</w:t>
      </w:r>
      <w:r>
        <w:rPr>
          <w:rFonts w:hint="eastAsia" w:ascii="仿宋_GB2312" w:hAnsi="ˎ̥" w:eastAsia="仿宋_GB2312" w:cs="Times New Roman"/>
          <w:sz w:val="32"/>
          <w:szCs w:val="32"/>
          <w:lang w:val="en-US" w:eastAsia="zh-CN"/>
        </w:rPr>
        <w:t>32.48</w:t>
      </w:r>
      <w:r>
        <w:rPr>
          <w:rFonts w:hint="eastAsia" w:ascii="仿宋_GB2312" w:hAnsi="ˎ̥" w:eastAsia="仿宋_GB2312" w:cs="Times New Roman"/>
          <w:sz w:val="32"/>
          <w:szCs w:val="32"/>
        </w:rPr>
        <w:t>万元，完成年初预算的100%。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3.</w:t>
      </w:r>
      <w:r>
        <w:rPr>
          <w:rFonts w:hint="eastAsia" w:ascii="仿宋_GB2312" w:hAnsi="ˎ̥" w:eastAsia="仿宋_GB2312" w:cs="Times New Roman"/>
          <w:b/>
          <w:sz w:val="32"/>
          <w:szCs w:val="32"/>
        </w:rPr>
        <w:t>社会保障和就业（类）行政事业单位养老支出（款）机关事业单位基本养老保险缴费支出（项）。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30.68</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30.68</w:t>
      </w:r>
      <w:r>
        <w:rPr>
          <w:rFonts w:hint="eastAsia" w:ascii="仿宋_GB2312" w:hAnsi="ˎ̥" w:eastAsia="仿宋_GB2312" w:cs="Times New Roman"/>
          <w:sz w:val="32"/>
          <w:szCs w:val="32"/>
        </w:rPr>
        <w:t>万元，完成年初预算的100%。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4.</w:t>
      </w:r>
      <w:r>
        <w:rPr>
          <w:rFonts w:hint="eastAsia" w:ascii="仿宋_GB2312" w:hAnsi="ˎ̥" w:eastAsia="仿宋_GB2312" w:cs="Times New Roman"/>
          <w:b/>
          <w:sz w:val="32"/>
          <w:szCs w:val="32"/>
        </w:rPr>
        <w:t>社会保障和就业（类）行政事业单位养老支出（款）机关事业单位职业年金缴费支出（项）。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30.68</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30.68</w:t>
      </w:r>
      <w:r>
        <w:rPr>
          <w:rFonts w:hint="eastAsia" w:ascii="仿宋_GB2312" w:hAnsi="ˎ̥" w:eastAsia="仿宋_GB2312" w:cs="Times New Roman"/>
          <w:sz w:val="32"/>
          <w:szCs w:val="32"/>
        </w:rPr>
        <w:t>万元，完成年初预算的100%。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5.</w:t>
      </w:r>
      <w:r>
        <w:rPr>
          <w:rFonts w:hint="eastAsia" w:ascii="仿宋_GB2312" w:hAnsi="ˎ̥" w:eastAsia="仿宋_GB2312" w:cs="Times New Roman"/>
          <w:b/>
          <w:sz w:val="32"/>
          <w:szCs w:val="32"/>
        </w:rPr>
        <w:t>卫生健康（类）行政事业单位医疗（款）事业单位医疗（项）。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39.99</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39.99</w:t>
      </w:r>
      <w:r>
        <w:rPr>
          <w:rFonts w:hint="eastAsia" w:ascii="仿宋_GB2312" w:hAnsi="ˎ̥" w:eastAsia="仿宋_GB2312" w:cs="Times New Roman"/>
          <w:sz w:val="32"/>
          <w:szCs w:val="32"/>
        </w:rPr>
        <w:t>万元，完成年初预算的100%。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6.</w:t>
      </w:r>
      <w:r>
        <w:rPr>
          <w:rFonts w:hint="eastAsia" w:ascii="仿宋_GB2312" w:hAnsi="ˎ̥" w:eastAsia="仿宋_GB2312" w:cs="Times New Roman"/>
          <w:b/>
          <w:sz w:val="32"/>
          <w:szCs w:val="32"/>
        </w:rPr>
        <w:t>社会保障和就业（类）行政事业单位医疗（款）公务员医疗补助（项）。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27.33</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27.33</w:t>
      </w:r>
      <w:r>
        <w:rPr>
          <w:rFonts w:hint="eastAsia" w:ascii="仿宋_GB2312" w:hAnsi="ˎ̥" w:eastAsia="仿宋_GB2312" w:cs="Times New Roman"/>
          <w:sz w:val="32"/>
          <w:szCs w:val="32"/>
        </w:rPr>
        <w:t>万元，完成年初预算的100%。</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7.</w:t>
      </w:r>
      <w:r>
        <w:rPr>
          <w:rFonts w:hint="eastAsia" w:ascii="仿宋_GB2312" w:hAnsi="ˎ̥" w:eastAsia="仿宋_GB2312" w:cs="Times New Roman"/>
          <w:b/>
          <w:sz w:val="32"/>
          <w:szCs w:val="32"/>
        </w:rPr>
        <w:t>住房保障（类）住房改革支出（款）住房公积金（项）。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17.8</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17.8</w:t>
      </w:r>
      <w:r>
        <w:rPr>
          <w:rFonts w:hint="eastAsia" w:ascii="仿宋_GB2312" w:hAnsi="ˎ̥" w:eastAsia="仿宋_GB2312" w:cs="Times New Roman"/>
          <w:sz w:val="32"/>
          <w:szCs w:val="32"/>
        </w:rPr>
        <w:t>万元，完成年初预算的100%。</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年度财政拨款基本支出</w:t>
      </w:r>
      <w:r>
        <w:rPr>
          <w:rFonts w:hint="eastAsia" w:ascii="仿宋_GB2312" w:hAnsi="ˎ̥" w:eastAsia="仿宋_GB2312" w:cs="Times New Roman"/>
          <w:sz w:val="32"/>
          <w:szCs w:val="32"/>
          <w:lang w:val="en-US" w:eastAsia="zh-CN"/>
        </w:rPr>
        <w:t>374.17</w:t>
      </w:r>
      <w:r>
        <w:rPr>
          <w:rFonts w:hint="eastAsia" w:ascii="仿宋_GB2312" w:hAnsi="ˎ̥" w:eastAsia="仿宋_GB2312" w:cs="Times New Roman"/>
          <w:sz w:val="32"/>
          <w:szCs w:val="32"/>
        </w:rPr>
        <w:t>万元，其中：人员经费</w:t>
      </w:r>
      <w:r>
        <w:rPr>
          <w:rFonts w:hint="eastAsia" w:ascii="仿宋_GB2312" w:hAnsi="ˎ̥" w:eastAsia="仿宋_GB2312" w:cs="Times New Roman"/>
          <w:sz w:val="32"/>
          <w:szCs w:val="32"/>
          <w:lang w:val="en-US" w:eastAsia="zh-CN"/>
        </w:rPr>
        <w:t>367.85</w:t>
      </w:r>
      <w:r>
        <w:rPr>
          <w:rFonts w:hint="eastAsia" w:ascii="仿宋_GB2312" w:hAnsi="ˎ̥" w:eastAsia="仿宋_GB2312" w:cs="Times New Roman"/>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hint="eastAsia" w:ascii="仿宋_GB2312" w:hAnsi="ˎ̥" w:eastAsia="仿宋_GB2312" w:cs="Times New Roman"/>
          <w:sz w:val="32"/>
          <w:szCs w:val="32"/>
          <w:lang w:val="en-US" w:eastAsia="zh-CN"/>
        </w:rPr>
        <w:t>6.32</w:t>
      </w:r>
      <w:r>
        <w:rPr>
          <w:rFonts w:hint="eastAsia" w:ascii="仿宋_GB2312" w:hAnsi="ˎ̥" w:eastAsia="仿宋_GB2312" w:cs="Times New Roman"/>
          <w:sz w:val="32"/>
          <w:szCs w:val="32"/>
        </w:rPr>
        <w:t>万元，主要包括：邮电费、工会经费、其他商品和服务支出。</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年度政府性基金预算财政拨款支出0万元，占本年支出合计的0%。与</w:t>
      </w:r>
      <w:r>
        <w:rPr>
          <w:rFonts w:hint="eastAsia" w:ascii="仿宋_GB2312" w:hAnsi="ˎ̥" w:eastAsia="仿宋_GB2312" w:cs="Times New Roman"/>
          <w:sz w:val="32"/>
          <w:szCs w:val="32"/>
          <w:lang w:val="en-US" w:eastAsia="zh-CN"/>
        </w:rPr>
        <w:t>2021</w:t>
      </w:r>
      <w:r>
        <w:rPr>
          <w:rFonts w:hint="eastAsia" w:ascii="仿宋_GB2312" w:hAnsi="ˎ̥" w:eastAsia="仿宋_GB2312" w:cs="Times New Roman"/>
          <w:sz w:val="32"/>
          <w:szCs w:val="32"/>
        </w:rPr>
        <w:t>年度相比，政府性基金预算财政拨款支出增加0万元，增长0%，主要原因是没有该项预算。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年度国有资本经营预算财政拨款支出0万元，占本年支出合计的0%。与20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年度相比，国有资本经营预算财政拨款支出增加0万元，增长0%，主要原因是没有该项预算。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年度国有资本经营预算财政拨款支出年初预算为0万元，支出决算为0万元，完成年初预算的0%。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hint="eastAsia" w:ascii="仿宋_GB2312" w:hAnsi="ˎ̥" w:eastAsia="仿宋_GB2312" w:cs="Times New Roman"/>
          <w:sz w:val="32"/>
          <w:szCs w:val="32"/>
          <w:lang w:eastAsia="zh-CN"/>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年度一般公共预算财政拨款“三公”经费支出预算为0万元，支出决算为0万元，完成预算的0%</w:t>
      </w:r>
      <w:r>
        <w:rPr>
          <w:rFonts w:hint="eastAsia" w:ascii="仿宋_GB2312" w:hAnsi="ˎ̥" w:eastAsia="仿宋_GB2312" w:cs="Times New Roman"/>
          <w:sz w:val="32"/>
          <w:szCs w:val="32"/>
          <w:lang w:eastAsia="zh-CN"/>
        </w:rPr>
        <w:t>，支出决算与预算数持平。</w:t>
      </w:r>
    </w:p>
    <w:p>
      <w:pPr>
        <w:ind w:firstLine="640"/>
        <w:rPr>
          <w:rFonts w:ascii="楷体" w:hAnsi="楷体" w:eastAsia="楷体" w:cs="楷体"/>
          <w:b/>
          <w:bCs/>
          <w:sz w:val="32"/>
          <w:szCs w:val="32"/>
        </w:rPr>
      </w:pP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年度一般公共预算财政拨款“三公”经费支出决算中，因公出国（境）费支出决算0万元，占0%；公务用车购置及运行费支出决算0万元，占0%；公务接待费支出决算0万元，占0%。具体情况如下：</w:t>
      </w:r>
    </w:p>
    <w:p>
      <w:pPr>
        <w:ind w:firstLine="643" w:firstLineChars="200"/>
        <w:rPr>
          <w:rFonts w:hint="eastAsia" w:ascii="仿宋_GB2312" w:hAnsi="ˎ̥" w:eastAsia="仿宋_GB2312" w:cs="Times New Roman"/>
          <w:sz w:val="32"/>
          <w:szCs w:val="32"/>
        </w:rPr>
      </w:pPr>
      <w:r>
        <w:rPr>
          <w:rFonts w:hint="eastAsia" w:ascii="仿宋_GB2312" w:hAnsi="ˎ̥" w:eastAsia="仿宋_GB2312" w:cs="Times New Roman"/>
          <w:b/>
          <w:sz w:val="32"/>
          <w:szCs w:val="32"/>
        </w:rPr>
        <w:t>1.因公出国（境）费</w:t>
      </w:r>
      <w:r>
        <w:rPr>
          <w:rFonts w:hint="eastAsia" w:ascii="仿宋_GB2312" w:hAnsi="ˎ̥" w:eastAsia="仿宋_GB2312" w:cs="Times New Roman"/>
          <w:sz w:val="32"/>
          <w:szCs w:val="32"/>
        </w:rPr>
        <w:t>支出0万元。全年安排因公出国（境）团组0个，因公出国（境）0人次。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因公出国（境）费支出决算与预算数持平。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2.公务用车购置及运行费支出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公务用车购置支出</w:t>
      </w:r>
      <w:r>
        <w:rPr>
          <w:rFonts w:hint="eastAsia" w:ascii="仿宋_GB2312" w:hAnsi="ˎ̥" w:eastAsia="仿宋_GB2312" w:cs="Times New Roman"/>
          <w:sz w:val="32"/>
          <w:szCs w:val="32"/>
        </w:rPr>
        <w:t>0万元，全年购置公务用车0辆，年末公务用车保有量0辆。</w:t>
      </w:r>
    </w:p>
    <w:p>
      <w:pPr>
        <w:ind w:firstLine="643" w:firstLineChars="200"/>
        <w:rPr>
          <w:rFonts w:hint="eastAsia" w:ascii="仿宋_GB2312" w:hAnsi="ˎ̥" w:eastAsia="仿宋_GB2312" w:cs="Times New Roman"/>
          <w:sz w:val="32"/>
          <w:szCs w:val="32"/>
        </w:rPr>
      </w:pPr>
      <w:r>
        <w:rPr>
          <w:rFonts w:hint="eastAsia" w:ascii="仿宋_GB2312" w:hAnsi="ˎ̥" w:eastAsia="仿宋_GB2312" w:cs="Times New Roman"/>
          <w:b/>
          <w:sz w:val="32"/>
          <w:szCs w:val="32"/>
        </w:rPr>
        <w:t>公务用车运行维护费</w:t>
      </w:r>
      <w:r>
        <w:rPr>
          <w:rFonts w:hint="eastAsia" w:ascii="仿宋_GB2312" w:hAnsi="ˎ̥" w:eastAsia="仿宋_GB2312" w:cs="Times New Roman"/>
          <w:sz w:val="32"/>
          <w:szCs w:val="32"/>
        </w:rPr>
        <w:t>支出0万元。</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公务用车购置及运行费支出决算与预算数持平。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3.公务接待费支出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国内接待费</w:t>
      </w:r>
      <w:r>
        <w:rPr>
          <w:rFonts w:hint="eastAsia" w:ascii="仿宋_GB2312" w:hAnsi="ˎ̥" w:eastAsia="仿宋_GB2312" w:cs="Times New Roman"/>
          <w:sz w:val="32"/>
          <w:szCs w:val="32"/>
        </w:rPr>
        <w:t>支出0万元，国内公务接待0批次，接待0人次。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国（境）外接待费支出0万元，国（境）外公务接待0批次，接待0人次。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lang w:val="zh-CN"/>
        </w:rPr>
        <w:t>公务接待费支出决算数与预算数持平。</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（一）绩效管理工作开展情况。</w:t>
      </w:r>
    </w:p>
    <w:p>
      <w:pPr>
        <w:spacing w:line="578"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根据财政预算管理要求，三亚市天涯区</w:t>
      </w:r>
      <w:r>
        <w:rPr>
          <w:rFonts w:hint="eastAsia" w:ascii="仿宋_GB2312" w:hAnsi="Times New Roman" w:eastAsia="仿宋_GB2312" w:cs="Times New Roman"/>
          <w:sz w:val="32"/>
          <w:szCs w:val="32"/>
          <w:lang w:eastAsia="zh-CN"/>
        </w:rPr>
        <w:t>回新逸夫</w:t>
      </w:r>
      <w:r>
        <w:rPr>
          <w:rFonts w:hint="eastAsia" w:ascii="仿宋_GB2312" w:hAnsi="Times New Roman" w:eastAsia="仿宋_GB2312" w:cs="Times New Roman"/>
          <w:sz w:val="32"/>
          <w:szCs w:val="32"/>
        </w:rPr>
        <w:t>小学对202</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年度一般公共预算项目支出全面开展绩效自评。自评项目3个，共涉及资金</w:t>
      </w:r>
      <w:r>
        <w:rPr>
          <w:rFonts w:hint="eastAsia" w:ascii="仿宋_GB2312" w:hAnsi="Times New Roman" w:eastAsia="仿宋_GB2312" w:cs="Times New Roman"/>
          <w:sz w:val="32"/>
          <w:szCs w:val="32"/>
          <w:lang w:eastAsia="zh-CN"/>
        </w:rPr>
        <w:t>１</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lang w:eastAsia="zh-CN"/>
        </w:rPr>
        <w:t>６</w:t>
      </w:r>
      <w:r>
        <w:rPr>
          <w:rFonts w:hint="eastAsia" w:ascii="仿宋_GB2312" w:hAnsi="Times New Roman" w:eastAsia="仿宋_GB2312" w:cs="Times New Roman"/>
          <w:sz w:val="32"/>
          <w:szCs w:val="32"/>
          <w:lang w:val="en-US" w:eastAsia="zh-CN"/>
        </w:rPr>
        <w:t>.３</w:t>
      </w:r>
      <w:r>
        <w:rPr>
          <w:rFonts w:hint="eastAsia" w:ascii="仿宋_GB2312" w:hAnsi="Times New Roman" w:eastAsia="仿宋_GB2312" w:cs="Times New Roman"/>
          <w:sz w:val="32"/>
          <w:szCs w:val="32"/>
        </w:rPr>
        <w:t>万元，自评覆盖率达到100%。</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共组织对“人才引进及师资队伍建设”、“教育教学管理及监督”、“公用经费”3个项目开展了部门评价，涉及资金</w:t>
      </w:r>
      <w:r>
        <w:rPr>
          <w:rFonts w:hint="eastAsia" w:ascii="仿宋_GB2312" w:hAnsi="Times New Roman" w:eastAsia="仿宋_GB2312" w:cs="Times New Roman"/>
          <w:sz w:val="32"/>
          <w:szCs w:val="32"/>
          <w:lang w:val="en-US" w:eastAsia="zh-CN"/>
        </w:rPr>
        <w:t>126.37</w:t>
      </w:r>
      <w:r>
        <w:rPr>
          <w:rFonts w:hint="eastAsia" w:ascii="仿宋_GB2312" w:hAnsi="Times New Roman" w:eastAsia="仿宋_GB2312" w:cs="Times New Roman"/>
          <w:sz w:val="32"/>
          <w:szCs w:val="32"/>
        </w:rPr>
        <w:t>万元。</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开展整体支出绩效评价，涉及资金</w:t>
      </w:r>
      <w:r>
        <w:rPr>
          <w:rFonts w:hint="eastAsia" w:ascii="仿宋_GB2312" w:hAnsi="Times New Roman" w:eastAsia="仿宋_GB2312" w:cs="Times New Roman"/>
          <w:sz w:val="32"/>
          <w:szCs w:val="32"/>
          <w:lang w:eastAsia="zh-CN"/>
        </w:rPr>
        <w:t>１</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lang w:eastAsia="zh-CN"/>
        </w:rPr>
        <w:t>６</w:t>
      </w:r>
      <w:r>
        <w:rPr>
          <w:rFonts w:hint="eastAsia" w:ascii="仿宋_GB2312" w:hAnsi="Times New Roman" w:eastAsia="仿宋_GB2312" w:cs="Times New Roman"/>
          <w:sz w:val="32"/>
          <w:szCs w:val="32"/>
          <w:lang w:val="en-US" w:eastAsia="zh-CN"/>
        </w:rPr>
        <w:t>.３</w:t>
      </w:r>
      <w:r>
        <w:rPr>
          <w:rFonts w:hint="eastAsia" w:ascii="仿宋_GB2312" w:hAnsi="Times New Roman" w:eastAsia="仿宋_GB2312" w:cs="Times New Roman"/>
          <w:sz w:val="32"/>
          <w:szCs w:val="32"/>
        </w:rPr>
        <w:t>万元。</w:t>
      </w:r>
    </w:p>
    <w:p>
      <w:pPr>
        <w:numPr>
          <w:ilvl w:val="0"/>
          <w:numId w:val="2"/>
        </w:numPr>
        <w:spacing w:line="578" w:lineRule="exact"/>
        <w:ind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部门决算中项目绩效自评结果。</w:t>
      </w:r>
    </w:p>
    <w:p>
      <w:pPr>
        <w:numPr>
          <w:ilvl w:val="0"/>
          <w:numId w:val="0"/>
        </w:numPr>
        <w:spacing w:line="578" w:lineRule="exact"/>
        <w:rPr>
          <w:rFonts w:hint="default" w:ascii="仿宋_GB2312" w:hAnsi="Times New Roman" w:eastAsia="仿宋_GB2312" w:cs="Times New Roman"/>
          <w:color w:val="FF0000"/>
          <w:sz w:val="32"/>
          <w:szCs w:val="32"/>
          <w:highlight w:val="yellow"/>
          <w:lang w:val="en-US" w:eastAsia="zh-CN"/>
        </w:rPr>
      </w:pPr>
      <w:r>
        <w:rPr>
          <w:rFonts w:hint="eastAsia" w:ascii="楷体" w:hAnsi="楷体" w:eastAsia="楷体" w:cs="楷体"/>
          <w:b/>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sz w:val="32"/>
          <w:szCs w:val="32"/>
          <w:lang w:val="en-US" w:eastAsia="zh-CN"/>
        </w:rPr>
        <w:t xml:space="preserve">为了改善学校办学条件，完善学校硬件设备，保障学校平稳发展满足学校教学需求，学校引进师资队伍；并购置电子白板、速印机、计算机等，该项目支出都从学校公用经费支出，学校存在经费缺口，还有大批设备未完成采购。 </w:t>
      </w:r>
      <w:r>
        <w:rPr>
          <w:rFonts w:hint="eastAsia" w:ascii="楷体" w:hAnsi="楷体" w:eastAsia="楷体" w:cs="楷体"/>
          <w:b/>
          <w:color w:val="000000" w:themeColor="text1"/>
          <w:sz w:val="32"/>
          <w:szCs w:val="32"/>
          <w:lang w:val="en-US" w:eastAsia="zh-CN"/>
          <w14:textFill>
            <w14:solidFill>
              <w14:schemeClr w14:val="tx1"/>
            </w14:solidFill>
          </w14:textFill>
        </w:rPr>
        <w:t xml:space="preserve"> </w:t>
      </w:r>
    </w:p>
    <w:p>
      <w:pPr>
        <w:numPr>
          <w:ilvl w:val="0"/>
          <w:numId w:val="2"/>
        </w:numPr>
        <w:spacing w:line="578" w:lineRule="exact"/>
        <w:ind w:left="0" w:leftChars="0"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财政评价项目绩效评价结果。</w:t>
      </w:r>
    </w:p>
    <w:p>
      <w:pPr>
        <w:spacing w:line="578" w:lineRule="exact"/>
        <w:ind w:firstLine="1280" w:firstLineChars="4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无。</w:t>
      </w:r>
    </w:p>
    <w:p>
      <w:pPr>
        <w:numPr>
          <w:ilvl w:val="0"/>
          <w:numId w:val="2"/>
        </w:numPr>
        <w:spacing w:line="578" w:lineRule="exact"/>
        <w:ind w:left="0" w:leftChars="0"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部门评价项目绩效评价结果。</w:t>
      </w:r>
    </w:p>
    <w:p>
      <w:pPr>
        <w:numPr>
          <w:ilvl w:val="0"/>
          <w:numId w:val="0"/>
        </w:numPr>
        <w:spacing w:line="578" w:lineRule="exact"/>
        <w:ind w:leftChars="200" w:firstLine="960" w:firstLineChars="300"/>
        <w:rPr>
          <w:rFonts w:hint="eastAsia" w:ascii="楷体" w:hAnsi="楷体" w:eastAsia="楷体" w:cs="楷体"/>
          <w:b/>
          <w:color w:val="000000" w:themeColor="text1"/>
          <w:sz w:val="32"/>
          <w:szCs w:val="32"/>
          <w14:textFill>
            <w14:solidFill>
              <w14:schemeClr w14:val="tx1"/>
            </w14:solidFill>
          </w14:textFill>
        </w:rPr>
      </w:pPr>
      <w:r>
        <w:rPr>
          <w:rFonts w:hint="eastAsia" w:ascii="仿宋_GB2312" w:hAnsi="Times New Roman" w:eastAsia="仿宋_GB2312" w:cs="Times New Roman"/>
          <w:sz w:val="32"/>
          <w:szCs w:val="32"/>
          <w:lang w:val="en-US" w:eastAsia="zh-CN"/>
        </w:rPr>
        <w:t>无。</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18325_WPSOffice_Level2"/>
      <w:bookmarkStart w:id="100" w:name="_Toc15565_WPSOffice_Level2"/>
      <w:bookmarkStart w:id="101" w:name="_Toc15262_WPSOffice_Level2"/>
      <w:bookmarkStart w:id="102" w:name="_Toc32639_WPSOffice_Level2"/>
      <w:bookmarkStart w:id="103" w:name="_Toc5978_WPSOffice_Level2"/>
      <w:bookmarkStart w:id="104" w:name="_Toc23598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eastAsia="zh-CN"/>
          <w14:textFill>
            <w14:solidFill>
              <w14:schemeClr w14:val="tx1"/>
            </w14:solidFill>
          </w14:textFill>
        </w:rPr>
        <w:t>１</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eastAsia="zh-CN"/>
          <w14:textFill>
            <w14:solidFill>
              <w14:schemeClr w14:val="tx1"/>
            </w14:solidFill>
          </w14:textFill>
        </w:rPr>
        <w:t>回新逸夫</w:t>
      </w:r>
      <w:r>
        <w:rPr>
          <w:rFonts w:hint="eastAsia" w:ascii="仿宋_GB2312" w:hAnsi="ˎ̥" w:eastAsia="仿宋_GB2312" w:cs="Times New Roman"/>
          <w:color w:val="000000" w:themeColor="text1"/>
          <w:sz w:val="32"/>
          <w:szCs w:val="32"/>
          <w14:textFill>
            <w14:solidFill>
              <w14:schemeClr w14:val="tx1"/>
            </w14:solidFill>
          </w14:textFill>
        </w:rPr>
        <w:t>小学机关运行经费0万元。主要原因是：事业单位没</w:t>
      </w:r>
      <w:r>
        <w:rPr>
          <w:rFonts w:hint="eastAsia" w:ascii="仿宋_GB2312" w:hAnsi="ˎ̥" w:eastAsia="仿宋_GB2312" w:cs="Times New Roman"/>
          <w:sz w:val="32"/>
          <w:szCs w:val="32"/>
        </w:rPr>
        <w:t>有机关运行经费支出</w:t>
      </w:r>
    </w:p>
    <w:p>
      <w:pPr>
        <w:ind w:firstLine="643" w:firstLineChars="200"/>
        <w:rPr>
          <w:rFonts w:ascii="楷体" w:hAnsi="楷体" w:eastAsia="楷体" w:cs="楷体"/>
          <w:b/>
          <w:sz w:val="32"/>
          <w:szCs w:val="32"/>
        </w:rPr>
      </w:pPr>
      <w:bookmarkStart w:id="105" w:name="_Toc32689_WPSOffice_Level2"/>
      <w:bookmarkStart w:id="106" w:name="_Toc25333_WPSOffice_Level2"/>
      <w:bookmarkStart w:id="107" w:name="_Toc13084_WPSOffice_Level2"/>
      <w:bookmarkStart w:id="108" w:name="_Toc3131_WPSOffice_Level2"/>
      <w:bookmarkStart w:id="109" w:name="_Toc30383_WPSOffice_Level2"/>
      <w:bookmarkStart w:id="110" w:name="_Toc23966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eastAsia="zh-CN"/>
          <w14:textFill>
            <w14:solidFill>
              <w14:schemeClr w14:val="tx1"/>
            </w14:solidFill>
          </w14:textFill>
        </w:rPr>
        <w:t>回新逸夫</w:t>
      </w:r>
      <w:r>
        <w:rPr>
          <w:rFonts w:hint="eastAsia" w:ascii="仿宋_GB2312" w:hAnsi="ˎ̥" w:eastAsia="仿宋_GB2312" w:cs="Times New Roman"/>
          <w:color w:val="000000" w:themeColor="text1"/>
          <w:sz w:val="32"/>
          <w:szCs w:val="32"/>
          <w14:textFill>
            <w14:solidFill>
              <w14:schemeClr w14:val="tx1"/>
            </w14:solidFill>
          </w14:textFill>
        </w:rPr>
        <w:t>小学政府采购支出总额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3" w:firstLineChars="200"/>
        <w:rPr>
          <w:rFonts w:ascii="楷体" w:hAnsi="楷体" w:eastAsia="楷体" w:cs="楷体"/>
          <w:b/>
          <w:sz w:val="32"/>
          <w:szCs w:val="32"/>
        </w:rPr>
      </w:pPr>
      <w:bookmarkStart w:id="111" w:name="_Toc29584_WPSOffice_Level2"/>
      <w:bookmarkStart w:id="112" w:name="_Toc6016_WPSOffice_Level2"/>
      <w:bookmarkStart w:id="113" w:name="_Toc527_WPSOffice_Level2"/>
      <w:bookmarkStart w:id="114" w:name="_Toc15129_WPSOffice_Level2"/>
      <w:bookmarkStart w:id="115" w:name="_Toc10902_WPSOffice_Level2"/>
      <w:bookmarkStart w:id="116" w:name="_Toc19989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14:textFill>
            <w14:solidFill>
              <w14:schemeClr w14:val="tx1"/>
            </w14:solidFill>
          </w14:textFill>
        </w:rPr>
        <w:t>截至202</w:t>
      </w:r>
      <w:r>
        <w:rPr>
          <w:rFonts w:hint="eastAsia" w:ascii="仿宋_GB2312" w:hAnsi="ˎ̥" w:eastAsia="仿宋_GB2312" w:cs="Times New Roman"/>
          <w:color w:val="000000" w:themeColor="text1"/>
          <w:sz w:val="32"/>
          <w:szCs w:val="32"/>
          <w:lang w:eastAsia="zh-CN"/>
          <w14:textFill>
            <w14:solidFill>
              <w14:schemeClr w14:val="tx1"/>
            </w14:solidFill>
          </w14:textFill>
        </w:rPr>
        <w:t>１</w:t>
      </w:r>
      <w:r>
        <w:rPr>
          <w:rFonts w:hint="eastAsia" w:ascii="仿宋_GB2312" w:hAnsi="ˎ̥" w:eastAsia="仿宋_GB2312" w:cs="Times New Roman"/>
          <w:color w:val="000000" w:themeColor="text1"/>
          <w:sz w:val="32"/>
          <w:szCs w:val="32"/>
          <w14:textFill>
            <w14:solidFill>
              <w14:schemeClr w14:val="tx1"/>
            </w14:solidFill>
          </w14:textFill>
        </w:rPr>
        <w:t>年12月31日，本部门占用房屋面积</w:t>
      </w:r>
      <w:r>
        <w:rPr>
          <w:rFonts w:hint="eastAsia" w:ascii="仿宋_GB2312" w:hAnsi="ˎ̥" w:eastAsia="仿宋_GB2312" w:cs="Times New Roman"/>
          <w:color w:val="000000" w:themeColor="text1"/>
          <w:sz w:val="32"/>
          <w:szCs w:val="32"/>
          <w:lang w:val="en-US" w:eastAsia="zh-CN"/>
          <w14:textFill>
            <w14:solidFill>
              <w14:schemeClr w14:val="tx1"/>
            </w14:solidFill>
          </w14:textFill>
        </w:rPr>
        <w:t>2720</w:t>
      </w:r>
      <w:r>
        <w:rPr>
          <w:rFonts w:hint="eastAsia" w:ascii="仿宋_GB2312" w:hAnsi="ˎ̥" w:eastAsia="仿宋_GB2312" w:cs="Times New Roman"/>
          <w:color w:val="000000" w:themeColor="text1"/>
          <w:sz w:val="32"/>
          <w:szCs w:val="32"/>
          <w14:textFill>
            <w14:solidFill>
              <w14:schemeClr w14:val="tx1"/>
            </w14:solidFill>
          </w14:textFill>
        </w:rPr>
        <w:t>平方米，其中：办公用房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平方米，业务用房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2720</w:t>
      </w:r>
      <w:r>
        <w:rPr>
          <w:rFonts w:hint="eastAsia" w:ascii="仿宋_GB2312" w:hAnsi="ˎ̥" w:eastAsia="仿宋_GB2312" w:cs="Times New Roman"/>
          <w:color w:val="000000" w:themeColor="text1"/>
          <w:sz w:val="32"/>
          <w:szCs w:val="32"/>
          <w14:textFill>
            <w14:solidFill>
              <w14:schemeClr w14:val="tx1"/>
            </w14:solidFill>
          </w14:textFill>
        </w:rPr>
        <w:t>平方米，其他（不含构筑物）0平方米。</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单位价值50万元（含）以上通用设备0台（套），单价100万元（含）以上专用设备0台（套）。</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年末在建工程0万元。</w:t>
      </w: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modern"/>
    <w:pitch w:val="default"/>
    <w:sig w:usb0="E00002FF" w:usb1="4000045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rPr>
    </w:lvl>
  </w:abstractNum>
  <w:abstractNum w:abstractNumId="2443733572">
    <w:nsid w:val="91A86A44"/>
    <w:multiLevelType w:val="singleLevel"/>
    <w:tmpl w:val="91A86A44"/>
    <w:lvl w:ilvl="0" w:tentative="1">
      <w:start w:val="2"/>
      <w:numFmt w:val="chineseCounting"/>
      <w:suff w:val="nothing"/>
      <w:lvlText w:val="（%1）"/>
      <w:lvlJc w:val="left"/>
      <w:rPr>
        <w:rFonts w:hint="eastAsia"/>
      </w:rPr>
    </w:lvl>
  </w:abstractNum>
  <w:num w:numId="1">
    <w:abstractNumId w:val="1913692045"/>
  </w:num>
  <w:num w:numId="2">
    <w:abstractNumId w:val="24437335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YWMyY2U4ZTE2MDAyNzY3ZDBjNDZiNGI1M2M1ZjgifQ=="/>
  </w:docVars>
  <w:rsids>
    <w:rsidRoot w:val="00D32ACE"/>
    <w:rsid w:val="000819F9"/>
    <w:rsid w:val="000C0FC3"/>
    <w:rsid w:val="000C3289"/>
    <w:rsid w:val="00165BA4"/>
    <w:rsid w:val="001A7613"/>
    <w:rsid w:val="001B54A0"/>
    <w:rsid w:val="002102AF"/>
    <w:rsid w:val="00240B5C"/>
    <w:rsid w:val="00243D65"/>
    <w:rsid w:val="002F2B57"/>
    <w:rsid w:val="00345463"/>
    <w:rsid w:val="003528F1"/>
    <w:rsid w:val="003F0D1A"/>
    <w:rsid w:val="00457F19"/>
    <w:rsid w:val="0047528A"/>
    <w:rsid w:val="004923AD"/>
    <w:rsid w:val="004A5298"/>
    <w:rsid w:val="004B343D"/>
    <w:rsid w:val="004D0B4C"/>
    <w:rsid w:val="00510FB7"/>
    <w:rsid w:val="00527033"/>
    <w:rsid w:val="00574D29"/>
    <w:rsid w:val="005E4604"/>
    <w:rsid w:val="005E4790"/>
    <w:rsid w:val="005E5712"/>
    <w:rsid w:val="00617E25"/>
    <w:rsid w:val="006E30C2"/>
    <w:rsid w:val="006F2EC3"/>
    <w:rsid w:val="00780C83"/>
    <w:rsid w:val="007876F5"/>
    <w:rsid w:val="00877D96"/>
    <w:rsid w:val="00880C2C"/>
    <w:rsid w:val="008D3791"/>
    <w:rsid w:val="00914ABF"/>
    <w:rsid w:val="00930AC0"/>
    <w:rsid w:val="00943DE7"/>
    <w:rsid w:val="00954A09"/>
    <w:rsid w:val="009C68E4"/>
    <w:rsid w:val="009E6620"/>
    <w:rsid w:val="00A062C9"/>
    <w:rsid w:val="00A133CD"/>
    <w:rsid w:val="00A20588"/>
    <w:rsid w:val="00A54072"/>
    <w:rsid w:val="00A6407C"/>
    <w:rsid w:val="00A92FC5"/>
    <w:rsid w:val="00AF1C32"/>
    <w:rsid w:val="00B512BF"/>
    <w:rsid w:val="00C01B66"/>
    <w:rsid w:val="00C3564D"/>
    <w:rsid w:val="00CD5803"/>
    <w:rsid w:val="00CF76E7"/>
    <w:rsid w:val="00D16F7B"/>
    <w:rsid w:val="00D30F7F"/>
    <w:rsid w:val="00D32ACE"/>
    <w:rsid w:val="00DB6ECB"/>
    <w:rsid w:val="00DD0AC5"/>
    <w:rsid w:val="00E23916"/>
    <w:rsid w:val="00EC1A2B"/>
    <w:rsid w:val="00F054C6"/>
    <w:rsid w:val="00F11B99"/>
    <w:rsid w:val="00F12AB2"/>
    <w:rsid w:val="00F93E07"/>
    <w:rsid w:val="00FC402A"/>
    <w:rsid w:val="05E6585C"/>
    <w:rsid w:val="07A31495"/>
    <w:rsid w:val="09C70460"/>
    <w:rsid w:val="0A1826B3"/>
    <w:rsid w:val="0A31526B"/>
    <w:rsid w:val="0C6F2338"/>
    <w:rsid w:val="0DEE1A67"/>
    <w:rsid w:val="110D1A72"/>
    <w:rsid w:val="14D918C2"/>
    <w:rsid w:val="165E00EE"/>
    <w:rsid w:val="17124C72"/>
    <w:rsid w:val="19627F5F"/>
    <w:rsid w:val="1B084650"/>
    <w:rsid w:val="1C154D29"/>
    <w:rsid w:val="1DB70523"/>
    <w:rsid w:val="1E3E4F0A"/>
    <w:rsid w:val="20E36D41"/>
    <w:rsid w:val="210461B3"/>
    <w:rsid w:val="22B23034"/>
    <w:rsid w:val="242B4E3C"/>
    <w:rsid w:val="24F074C2"/>
    <w:rsid w:val="2562714D"/>
    <w:rsid w:val="25BA09E5"/>
    <w:rsid w:val="27E16118"/>
    <w:rsid w:val="28400AC7"/>
    <w:rsid w:val="28EB477E"/>
    <w:rsid w:val="2D234F9C"/>
    <w:rsid w:val="2F7F4E2C"/>
    <w:rsid w:val="30762518"/>
    <w:rsid w:val="319F04F9"/>
    <w:rsid w:val="32D570E6"/>
    <w:rsid w:val="34EA2D09"/>
    <w:rsid w:val="34EC7728"/>
    <w:rsid w:val="357021CB"/>
    <w:rsid w:val="35B6696D"/>
    <w:rsid w:val="36315DCC"/>
    <w:rsid w:val="39AD76D2"/>
    <w:rsid w:val="3A981EFF"/>
    <w:rsid w:val="3D9D05CF"/>
    <w:rsid w:val="403C130B"/>
    <w:rsid w:val="41573D1B"/>
    <w:rsid w:val="41FD481A"/>
    <w:rsid w:val="42982C27"/>
    <w:rsid w:val="4439397F"/>
    <w:rsid w:val="44F54D66"/>
    <w:rsid w:val="44FF1195"/>
    <w:rsid w:val="4705491E"/>
    <w:rsid w:val="47870662"/>
    <w:rsid w:val="49255820"/>
    <w:rsid w:val="4A914BA1"/>
    <w:rsid w:val="4C920D4B"/>
    <w:rsid w:val="4D9964EA"/>
    <w:rsid w:val="50636B18"/>
    <w:rsid w:val="50710CB3"/>
    <w:rsid w:val="50C8471E"/>
    <w:rsid w:val="55CE46B5"/>
    <w:rsid w:val="55F5398B"/>
    <w:rsid w:val="55F8457D"/>
    <w:rsid w:val="58067E17"/>
    <w:rsid w:val="59EC62F0"/>
    <w:rsid w:val="5B8816A9"/>
    <w:rsid w:val="5CCB4073"/>
    <w:rsid w:val="5D200291"/>
    <w:rsid w:val="5DE34B5D"/>
    <w:rsid w:val="5ECD1A47"/>
    <w:rsid w:val="61EF7CBE"/>
    <w:rsid w:val="6348098D"/>
    <w:rsid w:val="63BC4387"/>
    <w:rsid w:val="641968FC"/>
    <w:rsid w:val="665708AA"/>
    <w:rsid w:val="6730746C"/>
    <w:rsid w:val="6A170CCD"/>
    <w:rsid w:val="6AD42215"/>
    <w:rsid w:val="6B675C3C"/>
    <w:rsid w:val="6BE662DA"/>
    <w:rsid w:val="6E340F38"/>
    <w:rsid w:val="70382752"/>
    <w:rsid w:val="70AA07D0"/>
    <w:rsid w:val="70AC7790"/>
    <w:rsid w:val="719D784E"/>
    <w:rsid w:val="720B1B57"/>
    <w:rsid w:val="750254F7"/>
    <w:rsid w:val="753F4E19"/>
    <w:rsid w:val="754D5B45"/>
    <w:rsid w:val="75EF7DDE"/>
    <w:rsid w:val="76CD60C3"/>
    <w:rsid w:val="777C3B73"/>
    <w:rsid w:val="77CB0F21"/>
    <w:rsid w:val="77F90E1D"/>
    <w:rsid w:val="780C50C4"/>
    <w:rsid w:val="78E02FEE"/>
    <w:rsid w:val="79A0064C"/>
    <w:rsid w:val="7AD503D1"/>
    <w:rsid w:val="7B7C3913"/>
    <w:rsid w:val="7BFD764B"/>
    <w:rsid w:val="7C4371FA"/>
    <w:rsid w:val="7CB17BE3"/>
    <w:rsid w:val="7D45108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customStyle="1" w:styleId="9">
    <w:name w:val="List Paragraph"/>
    <w:basedOn w:val="1"/>
    <w:qFormat/>
    <w:uiPriority w:val="34"/>
    <w:pPr>
      <w:ind w:firstLine="420" w:firstLineChars="200"/>
    </w:pPr>
  </w:style>
  <w:style w:type="paragraph" w:customStyle="1" w:styleId="10">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5743</Words>
  <Characters>6249</Characters>
  <Lines>51</Lines>
  <Paragraphs>14</Paragraphs>
  <TotalTime>0</TotalTime>
  <ScaleCrop>false</ScaleCrop>
  <LinksUpToDate>false</LinksUpToDate>
  <CharactersWithSpaces>6354</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cp:lastPrinted>2023-09-26T01:31:00Z</cp:lastPrinted>
  <dcterms:modified xsi:type="dcterms:W3CDTF">2023-09-25T08:56:57Z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8A233E3D7F0344EB95D1486213180A71_13</vt:lpwstr>
  </property>
</Properties>
</file>