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firstLine="440" w:firstLineChars="100"/>
        <w:jc w:val="center"/>
        <w:rPr>
          <w:rFonts w:hint="default" w:ascii="黑体" w:hAnsi="黑体" w:eastAsia="黑体" w:cs="黑体"/>
          <w:color w:val="0D0D0D" w:themeColor="text1" w:themeTint="F2"/>
          <w:sz w:val="44"/>
          <w:szCs w:val="44"/>
          <w:u w:color="000000" w:themeColor="text1"/>
          <w:lang w:val="en-US" w:eastAsia="zh-CN"/>
          <w14:textFill>
            <w14:solidFill>
              <w14:schemeClr w14:val="tx1">
                <w14:lumMod w14:val="95000"/>
                <w14:lumOff w14:val="5000"/>
              </w14:schemeClr>
            </w14:solidFill>
          </w14:textFill>
        </w:rPr>
      </w:pPr>
      <w:r>
        <w:rPr>
          <w:rFonts w:hint="eastAsia" w:ascii="黑体" w:hAnsi="黑体" w:eastAsia="黑体" w:cs="黑体"/>
          <w:color w:val="0D0D0D" w:themeColor="text1" w:themeTint="F2"/>
          <w:sz w:val="44"/>
          <w:szCs w:val="44"/>
          <w:u w:color="000000" w:themeColor="text1"/>
          <w:lang w:eastAsia="zh-CN"/>
          <w14:textFill>
            <w14:solidFill>
              <w14:schemeClr w14:val="tx1">
                <w14:lumMod w14:val="95000"/>
                <w14:lumOff w14:val="5000"/>
              </w14:schemeClr>
            </w14:solidFill>
          </w14:textFill>
        </w:rPr>
        <w:t>三亚市天涯区</w:t>
      </w:r>
      <w:r>
        <w:rPr>
          <w:rFonts w:hint="eastAsia" w:ascii="黑体" w:hAnsi="黑体" w:eastAsia="黑体" w:cs="黑体"/>
          <w:color w:val="auto"/>
          <w:sz w:val="44"/>
          <w:szCs w:val="44"/>
          <w:u w:val="none" w:color="auto"/>
          <w:lang w:val="en-US" w:eastAsia="zh-CN"/>
        </w:rPr>
        <w:t>第三幼儿园</w:t>
      </w:r>
      <w:r>
        <w:rPr>
          <w:rFonts w:hint="eastAsia" w:ascii="黑体" w:hAnsi="黑体" w:eastAsia="黑体" w:cs="黑体"/>
          <w:color w:val="0D0D0D" w:themeColor="text1" w:themeTint="F2"/>
          <w:sz w:val="44"/>
          <w:szCs w:val="44"/>
          <w:u w:color="000000" w:themeColor="text1"/>
          <w:lang w:eastAsia="zh-CN"/>
          <w14:textFill>
            <w14:solidFill>
              <w14:schemeClr w14:val="tx1">
                <w14:lumMod w14:val="95000"/>
                <w14:lumOff w14:val="5000"/>
              </w14:schemeClr>
            </w14:solidFill>
          </w14:textFill>
        </w:rPr>
        <w:t>202</w:t>
      </w:r>
      <w:r>
        <w:rPr>
          <w:rFonts w:hint="eastAsia" w:ascii="黑体" w:hAnsi="黑体" w:eastAsia="黑体" w:cs="黑体"/>
          <w:color w:val="0D0D0D" w:themeColor="text1" w:themeTint="F2"/>
          <w:sz w:val="44"/>
          <w:szCs w:val="44"/>
          <w:u w:color="000000" w:themeColor="text1"/>
          <w:lang w:val="en-US" w:eastAsia="zh-CN"/>
          <w14:textFill>
            <w14:solidFill>
              <w14:schemeClr w14:val="tx1">
                <w14:lumMod w14:val="95000"/>
                <w14:lumOff w14:val="5000"/>
              </w14:schemeClr>
            </w14:solidFill>
          </w14:textFill>
        </w:rPr>
        <w:t>2</w:t>
      </w:r>
      <w:r>
        <w:rPr>
          <w:rFonts w:hint="eastAsia" w:ascii="黑体" w:hAnsi="黑体" w:eastAsia="黑体" w:cs="黑体"/>
          <w:color w:val="0D0D0D" w:themeColor="text1" w:themeTint="F2"/>
          <w:sz w:val="44"/>
          <w:szCs w:val="44"/>
          <w:u w:color="000000" w:themeColor="text1"/>
          <w:lang w:eastAsia="zh-CN"/>
          <w14:textFill>
            <w14:solidFill>
              <w14:schemeClr w14:val="tx1">
                <w14:lumMod w14:val="95000"/>
                <w14:lumOff w14:val="5000"/>
              </w14:schemeClr>
            </w14:solidFill>
          </w14:textFill>
        </w:rPr>
        <w:t>年度</w:t>
      </w:r>
      <w:r>
        <w:rPr>
          <w:rFonts w:hint="eastAsia" w:ascii="黑体" w:hAnsi="黑体" w:eastAsia="黑体" w:cs="黑体"/>
          <w:color w:val="0D0D0D" w:themeColor="text1" w:themeTint="F2"/>
          <w:sz w:val="44"/>
          <w:szCs w:val="44"/>
          <w:u w:color="000000" w:themeColor="text1"/>
          <w:lang w:val="en-US" w:eastAsia="zh-CN"/>
          <w14:textFill>
            <w14:solidFill>
              <w14:schemeClr w14:val="tx1">
                <w14:lumMod w14:val="95000"/>
                <w14:lumOff w14:val="5000"/>
              </w14:schemeClr>
            </w14:solidFill>
          </w14:textFill>
        </w:rPr>
        <w:t>部门</w:t>
      </w:r>
      <w:r>
        <w:rPr>
          <w:rFonts w:hint="eastAsia" w:ascii="黑体" w:hAnsi="黑体" w:eastAsia="黑体" w:cs="黑体"/>
          <w:color w:val="0D0D0D" w:themeColor="text1" w:themeTint="F2"/>
          <w:sz w:val="44"/>
          <w:szCs w:val="44"/>
          <w:u w:color="000000" w:themeColor="text1"/>
          <w:lang w:eastAsia="zh-CN"/>
          <w14:textFill>
            <w14:solidFill>
              <w14:schemeClr w14:val="tx1">
                <w14:lumMod w14:val="95000"/>
                <w14:lumOff w14:val="5000"/>
              </w14:schemeClr>
            </w14:solidFill>
          </w14:textFill>
        </w:rPr>
        <w:t>决算</w:t>
      </w:r>
      <w:r>
        <w:rPr>
          <w:rFonts w:hint="eastAsia" w:ascii="黑体" w:hAnsi="黑体" w:eastAsia="黑体" w:cs="黑体"/>
          <w:color w:val="0D0D0D" w:themeColor="text1" w:themeTint="F2"/>
          <w:sz w:val="44"/>
          <w:szCs w:val="44"/>
          <w:u w:color="000000" w:themeColor="text1"/>
          <w:lang w:val="en-US" w:eastAsia="zh-CN"/>
          <w14:textFill>
            <w14:solidFill>
              <w14:schemeClr w14:val="tx1">
                <w14:lumMod w14:val="95000"/>
                <w14:lumOff w14:val="5000"/>
              </w14:schemeClr>
            </w14:solidFill>
          </w14:textFill>
        </w:rPr>
        <w:t>公开说明</w:t>
      </w:r>
    </w:p>
    <w:p>
      <w:pPr>
        <w:jc w:val="center"/>
        <w:rPr>
          <w:rFonts w:hint="eastAsia" w:ascii="黑体" w:hAnsi="ˎ̥" w:eastAsia="黑体"/>
          <w:b/>
          <w:color w:val="0D0D0D" w:themeColor="text1" w:themeTint="F2"/>
          <w:sz w:val="32"/>
          <w:szCs w:val="32"/>
          <w:u w:color="000000" w:themeColor="text1"/>
          <w14:textFill>
            <w14:solidFill>
              <w14:schemeClr w14:val="tx1">
                <w14:lumMod w14:val="95000"/>
                <w14:lumOff w14:val="5000"/>
              </w14:schemeClr>
            </w14:solidFill>
          </w14:textFill>
        </w:rPr>
      </w:pPr>
    </w:p>
    <w:p>
      <w:pPr>
        <w:spacing w:before="0" w:beforeLines="0" w:after="0" w:afterLines="0" w:line="240" w:lineRule="auto"/>
        <w:ind w:left="0" w:leftChars="0" w:right="0" w:rightChars="0" w:firstLine="0" w:firstLineChars="0"/>
        <w:jc w:val="center"/>
        <w:rPr>
          <w:rFonts w:hint="eastAsia" w:ascii="黑体" w:hAnsi="黑体" w:eastAsia="黑体" w:cs="黑体"/>
          <w:color w:val="0D0D0D" w:themeColor="text1" w:themeTint="F2"/>
          <w:sz w:val="44"/>
          <w:szCs w:val="44"/>
          <w:u w:color="000000" w:themeColor="text1"/>
          <w14:textFill>
            <w14:solidFill>
              <w14:schemeClr w14:val="tx1">
                <w14:lumMod w14:val="95000"/>
                <w14:lumOff w14:val="5000"/>
              </w14:schemeClr>
            </w14:solidFill>
          </w14:textFill>
        </w:rPr>
      </w:pPr>
      <w:bookmarkStart w:id="0" w:name="_Toc11440_WPSOffice_Type2"/>
      <w:r>
        <w:rPr>
          <w:rFonts w:hint="eastAsia" w:ascii="黑体" w:hAnsi="黑体" w:eastAsia="黑体" w:cs="黑体"/>
          <w:color w:val="0D0D0D" w:themeColor="text1" w:themeTint="F2"/>
          <w:sz w:val="44"/>
          <w:szCs w:val="44"/>
          <w:u w:color="000000" w:themeColor="text1"/>
          <w14:textFill>
            <w14:solidFill>
              <w14:schemeClr w14:val="tx1">
                <w14:lumMod w14:val="95000"/>
                <w14:lumOff w14:val="5000"/>
              </w14:schemeClr>
            </w14:solidFill>
          </w14:textFill>
        </w:rPr>
        <w:t>目</w:t>
      </w:r>
      <w:r>
        <w:rPr>
          <w:rFonts w:hint="eastAsia" w:ascii="黑体" w:hAnsi="黑体" w:eastAsia="黑体" w:cs="黑体"/>
          <w:color w:val="0D0D0D" w:themeColor="text1" w:themeTint="F2"/>
          <w:sz w:val="44"/>
          <w:szCs w:val="44"/>
          <w:u w:color="000000" w:themeColor="text1"/>
          <w:lang w:val="en-US" w:eastAsia="zh-CN"/>
          <w14:textFill>
            <w14:solidFill>
              <w14:schemeClr w14:val="tx1">
                <w14:lumMod w14:val="95000"/>
                <w14:lumOff w14:val="5000"/>
              </w14:schemeClr>
            </w14:solidFill>
          </w14:textFill>
        </w:rPr>
        <w:t xml:space="preserve">  </w:t>
      </w:r>
      <w:r>
        <w:rPr>
          <w:rFonts w:hint="eastAsia" w:ascii="黑体" w:hAnsi="黑体" w:eastAsia="黑体" w:cs="黑体"/>
          <w:color w:val="0D0D0D" w:themeColor="text1" w:themeTint="F2"/>
          <w:sz w:val="44"/>
          <w:szCs w:val="44"/>
          <w:u w:color="000000" w:themeColor="text1"/>
          <w14:textFill>
            <w14:solidFill>
              <w14:schemeClr w14:val="tx1">
                <w14:lumMod w14:val="95000"/>
                <w14:lumOff w14:val="5000"/>
              </w14:schemeClr>
            </w14:solidFill>
          </w14:textFill>
        </w:rPr>
        <w:t>录</w:t>
      </w:r>
    </w:p>
    <w:p>
      <w:pPr>
        <w:pStyle w:val="6"/>
        <w:tabs>
          <w:tab w:val="right" w:leader="dot" w:pos="8306"/>
        </w:tabs>
        <w:rPr>
          <w:b w:val="0"/>
          <w:bCs w:val="0"/>
          <w:color w:val="0D0D0D" w:themeColor="text1" w:themeTint="F2"/>
          <w:sz w:val="32"/>
          <w:szCs w:val="32"/>
          <w:u w:color="000000" w:themeColor="text1"/>
          <w14:textFill>
            <w14:solidFill>
              <w14:schemeClr w14:val="tx1">
                <w14:lumMod w14:val="95000"/>
                <w14:lumOff w14:val="5000"/>
              </w14:schemeClr>
            </w14:solidFill>
          </w14:textFill>
        </w:rPr>
      </w:pPr>
      <w:r>
        <w:rPr>
          <w:b w:val="0"/>
          <w:bCs w:val="0"/>
          <w:color w:val="0D0D0D" w:themeColor="text1" w:themeTint="F2"/>
          <w:sz w:val="32"/>
          <w:szCs w:val="32"/>
          <w:u w:color="000000" w:themeColor="text1"/>
          <w14:textFill>
            <w14:solidFill>
              <w14:schemeClr w14:val="tx1">
                <w14:lumMod w14:val="95000"/>
                <w14:lumOff w14:val="5000"/>
              </w14:schemeClr>
            </w14:solidFill>
          </w14:textFill>
        </w:rPr>
        <w:fldChar w:fldCharType="begin"/>
      </w:r>
      <w:r>
        <w:rPr>
          <w:b w:val="0"/>
          <w:bCs w:val="0"/>
          <w:color w:val="0D0D0D" w:themeColor="text1" w:themeTint="F2"/>
          <w:sz w:val="32"/>
          <w:szCs w:val="32"/>
          <w:u w:color="000000" w:themeColor="text1"/>
          <w14:textFill>
            <w14:solidFill>
              <w14:schemeClr w14:val="tx1">
                <w14:lumMod w14:val="95000"/>
                <w14:lumOff w14:val="5000"/>
              </w14:schemeClr>
            </w14:solidFill>
          </w14:textFill>
        </w:rPr>
        <w:instrText xml:space="preserve"> HYPERLINK \l _Toc1704_WPSOffice_Level1 </w:instrText>
      </w:r>
      <w:r>
        <w:rPr>
          <w:b w:val="0"/>
          <w:bCs w:val="0"/>
          <w:color w:val="0D0D0D" w:themeColor="text1" w:themeTint="F2"/>
          <w:sz w:val="32"/>
          <w:szCs w:val="32"/>
          <w:u w:color="000000" w:themeColor="text1"/>
          <w14:textFill>
            <w14:solidFill>
              <w14:schemeClr w14:val="tx1">
                <w14:lumMod w14:val="95000"/>
                <w14:lumOff w14:val="5000"/>
              </w14:schemeClr>
            </w14:solidFill>
          </w14:textFill>
        </w:rPr>
        <w:fldChar w:fldCharType="separate"/>
      </w:r>
      <w:r>
        <w:rPr>
          <w:rFonts w:hint="eastAsia" w:ascii="黑体" w:hAnsi="ˎ̥" w:eastAsia="黑体"/>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第一部分</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w:t>
      </w:r>
      <w:r>
        <w:rPr>
          <w:rFonts w:hint="eastAsia" w:ascii="黑体" w:hAnsi="ˎ̥" w:eastAsia="黑体"/>
          <w:color w:val="0D0D0D" w:themeColor="text1" w:themeTint="F2"/>
          <w:sz w:val="32"/>
          <w:szCs w:val="32"/>
          <w:u w:val="none" w:color="000000" w:themeColor="text1"/>
          <w:lang w:val="en-US" w:eastAsia="zh-CN"/>
          <w14:textFill>
            <w14:solidFill>
              <w14:schemeClr w14:val="tx1">
                <w14:lumMod w14:val="95000"/>
                <w14:lumOff w14:val="5000"/>
              </w14:schemeClr>
            </w14:solidFill>
          </w14:textFill>
        </w:rPr>
        <w:t>三亚市天涯区第三幼儿园</w:t>
      </w:r>
      <w:r>
        <w:rPr>
          <w:rFonts w:hint="eastAsia" w:ascii="黑体" w:hAnsi="ˎ̥" w:eastAsia="黑体"/>
          <w:b w:val="0"/>
          <w:bCs w:val="0"/>
          <w:color w:val="0D0D0D" w:themeColor="text1" w:themeTint="F2"/>
          <w:sz w:val="32"/>
          <w:szCs w:val="32"/>
          <w:u w:val="none" w:color="000000" w:themeColor="text1"/>
          <w:lang w:val="en-US" w:eastAsia="zh-CN"/>
          <w14:textFill>
            <w14:solidFill>
              <w14:schemeClr w14:val="tx1">
                <w14:lumMod w14:val="95000"/>
                <w14:lumOff w14:val="5000"/>
              </w14:schemeClr>
            </w14:solidFill>
          </w14:textFill>
        </w:rPr>
        <w:t>单位概况</w:t>
      </w:r>
      <w:r>
        <w:rPr>
          <w:b w:val="0"/>
          <w:bCs w:val="0"/>
          <w:color w:val="0D0D0D" w:themeColor="text1" w:themeTint="F2"/>
          <w:sz w:val="32"/>
          <w:szCs w:val="32"/>
          <w:u w:color="000000" w:themeColor="text1"/>
          <w14:textFill>
            <w14:solidFill>
              <w14:schemeClr w14:val="tx1">
                <w14:lumMod w14:val="95000"/>
                <w14:lumOff w14:val="5000"/>
              </w14:schemeClr>
            </w14:solidFill>
          </w14:textFill>
        </w:rPr>
        <w:tab/>
      </w:r>
      <w:r>
        <w:rPr>
          <w:rFonts w:hint="eastAsia"/>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3</w:t>
      </w:r>
      <w:r>
        <w:rPr>
          <w:b w:val="0"/>
          <w:bCs w:val="0"/>
          <w:color w:val="0D0D0D" w:themeColor="text1" w:themeTint="F2"/>
          <w:sz w:val="32"/>
          <w:szCs w:val="32"/>
          <w:u w:color="000000" w:themeColor="text1"/>
          <w14:textFill>
            <w14:solidFill>
              <w14:schemeClr w14:val="tx1">
                <w14:lumMod w14:val="95000"/>
                <w14:lumOff w14:val="5000"/>
              </w14:schemeClr>
            </w14:solidFill>
          </w14:textFill>
        </w:rPr>
        <w:fldChar w:fldCharType="end"/>
      </w:r>
    </w:p>
    <w:p>
      <w:pPr>
        <w:pStyle w:val="7"/>
        <w:tabs>
          <w:tab w:val="right" w:leader="dot" w:pos="8306"/>
        </w:tabs>
        <w:ind w:left="0" w:leftChars="0" w:firstLine="0" w:firstLineChars="0"/>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begin"/>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instrText xml:space="preserve"> HYPERLINK \l _Toc20274_WPSOffice_Level2 </w:instrTex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separate"/>
      </w:r>
      <w:r>
        <w:rPr>
          <w:rFonts w:hint="eastAsia" w:ascii="仿宋" w:hAnsi="仿宋" w:eastAsia="仿宋" w:cs="仿宋"/>
          <w:color w:val="0D0D0D" w:themeColor="text1" w:themeTint="F2"/>
          <w:sz w:val="32"/>
          <w:szCs w:val="32"/>
          <w:u w:color="000000" w:themeColor="text1"/>
          <w:lang w:eastAsia="zh-CN"/>
          <w14:textFill>
            <w14:solidFill>
              <w14:schemeClr w14:val="tx1">
                <w14:lumMod w14:val="95000"/>
                <w14:lumOff w14:val="5000"/>
              </w14:schemeClr>
            </w14:solidFill>
          </w14:textFill>
        </w:rPr>
        <w:t>一、</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t>部门职责</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end"/>
      </w:r>
    </w:p>
    <w:p>
      <w:pPr>
        <w:pStyle w:val="7"/>
        <w:tabs>
          <w:tab w:val="right" w:leader="dot" w:pos="8306"/>
        </w:tabs>
        <w:ind w:left="0" w:leftChars="0" w:firstLine="0" w:firstLineChars="0"/>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begin"/>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instrText xml:space="preserve"> HYPERLINK \l _Toc4833_WPSOffice_Level2 </w:instrTex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separate"/>
      </w:r>
      <w:r>
        <w:rPr>
          <w:rFonts w:hint="eastAsia" w:ascii="仿宋" w:hAnsi="仿宋" w:eastAsia="仿宋" w:cs="仿宋"/>
          <w:color w:val="0D0D0D" w:themeColor="text1" w:themeTint="F2"/>
          <w:sz w:val="32"/>
          <w:szCs w:val="32"/>
          <w:u w:color="000000" w:themeColor="text1"/>
          <w:lang w:eastAsia="zh-CN"/>
          <w14:textFill>
            <w14:solidFill>
              <w14:schemeClr w14:val="tx1">
                <w14:lumMod w14:val="95000"/>
                <w14:lumOff w14:val="5000"/>
              </w14:schemeClr>
            </w14:solidFill>
          </w14:textFill>
        </w:rPr>
        <w:t>二、</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t>机构设置</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end"/>
      </w:r>
    </w:p>
    <w:p>
      <w:pPr>
        <w:pStyle w:val="6"/>
        <w:tabs>
          <w:tab w:val="right" w:leader="dot" w:pos="8306"/>
        </w:tabs>
        <w:rPr>
          <w:b w:val="0"/>
          <w:bCs w:val="0"/>
          <w:color w:val="0D0D0D" w:themeColor="text1" w:themeTint="F2"/>
          <w:sz w:val="32"/>
          <w:szCs w:val="32"/>
          <w:u w:color="000000" w:themeColor="text1"/>
          <w14:textFill>
            <w14:solidFill>
              <w14:schemeClr w14:val="tx1">
                <w14:lumMod w14:val="95000"/>
                <w14:lumOff w14:val="5000"/>
              </w14:schemeClr>
            </w14:solidFill>
          </w14:textFill>
        </w:rPr>
      </w:pPr>
      <w:r>
        <w:rPr>
          <w:b w:val="0"/>
          <w:bCs w:val="0"/>
          <w:color w:val="0D0D0D" w:themeColor="text1" w:themeTint="F2"/>
          <w:sz w:val="32"/>
          <w:szCs w:val="32"/>
          <w:u w:color="000000" w:themeColor="text1"/>
          <w14:textFill>
            <w14:solidFill>
              <w14:schemeClr w14:val="tx1">
                <w14:lumMod w14:val="95000"/>
                <w14:lumOff w14:val="5000"/>
              </w14:schemeClr>
            </w14:solidFill>
          </w14:textFill>
        </w:rPr>
        <w:fldChar w:fldCharType="begin"/>
      </w:r>
      <w:r>
        <w:rPr>
          <w:b w:val="0"/>
          <w:bCs w:val="0"/>
          <w:color w:val="0D0D0D" w:themeColor="text1" w:themeTint="F2"/>
          <w:sz w:val="32"/>
          <w:szCs w:val="32"/>
          <w:u w:color="000000" w:themeColor="text1"/>
          <w14:textFill>
            <w14:solidFill>
              <w14:schemeClr w14:val="tx1">
                <w14:lumMod w14:val="95000"/>
                <w14:lumOff w14:val="5000"/>
              </w14:schemeClr>
            </w14:solidFill>
          </w14:textFill>
        </w:rPr>
        <w:instrText xml:space="preserve"> HYPERLINK \l _Toc28253_WPSOffice_Level1 </w:instrText>
      </w:r>
      <w:r>
        <w:rPr>
          <w:b w:val="0"/>
          <w:bCs w:val="0"/>
          <w:color w:val="0D0D0D" w:themeColor="text1" w:themeTint="F2"/>
          <w:sz w:val="32"/>
          <w:szCs w:val="32"/>
          <w:u w:color="000000" w:themeColor="text1"/>
          <w14:textFill>
            <w14:solidFill>
              <w14:schemeClr w14:val="tx1">
                <w14:lumMod w14:val="95000"/>
                <w14:lumOff w14:val="5000"/>
              </w14:schemeClr>
            </w14:solidFill>
          </w14:textFill>
        </w:rPr>
        <w:fldChar w:fldCharType="separate"/>
      </w:r>
      <w:r>
        <w:rPr>
          <w:rFonts w:hint="eastAsia" w:ascii="黑体" w:hAnsi="ˎ̥" w:eastAsia="黑体"/>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第二部分</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三亚市</w:t>
      </w:r>
      <w:r>
        <w:rPr>
          <w:rFonts w:hint="eastAsia" w:ascii="黑体" w:hAnsi="ˎ̥" w:eastAsia="黑体"/>
          <w:color w:val="0D0D0D" w:themeColor="text1" w:themeTint="F2"/>
          <w:sz w:val="32"/>
          <w:szCs w:val="32"/>
          <w:u w:val="none" w:color="000000" w:themeColor="text1"/>
          <w:lang w:val="en-US" w:eastAsia="zh-CN"/>
          <w14:textFill>
            <w14:solidFill>
              <w14:schemeClr w14:val="tx1">
                <w14:lumMod w14:val="95000"/>
                <w14:lumOff w14:val="5000"/>
              </w14:schemeClr>
            </w14:solidFill>
          </w14:textFill>
        </w:rPr>
        <w:t>天涯区第三</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幼儿园</w:t>
      </w:r>
      <w:r>
        <w:rPr>
          <w:rFonts w:hint="eastAsia" w:ascii="黑体" w:hAnsi="ˎ̥" w:eastAsia="黑体"/>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黑体" w:hAnsi="ˎ̥" w:eastAsia="黑体"/>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部门</w:t>
      </w:r>
      <w:r>
        <w:rPr>
          <w:rFonts w:hint="eastAsia" w:ascii="黑体" w:hAnsi="ˎ̥" w:eastAsia="黑体"/>
          <w:b w:val="0"/>
          <w:bCs w:val="0"/>
          <w:color w:val="0D0D0D" w:themeColor="text1" w:themeTint="F2"/>
          <w:sz w:val="32"/>
          <w:szCs w:val="32"/>
          <w:u w:color="000000" w:themeColor="text1"/>
          <w14:textFill>
            <w14:solidFill>
              <w14:schemeClr w14:val="tx1">
                <w14:lumMod w14:val="95000"/>
                <w14:lumOff w14:val="5000"/>
              </w14:schemeClr>
            </w14:solidFill>
          </w14:textFill>
        </w:rPr>
        <w:t>决算</w:t>
      </w:r>
      <w:r>
        <w:rPr>
          <w:rFonts w:hint="eastAsia" w:ascii="黑体" w:hAnsi="ˎ̥" w:eastAsia="黑体"/>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公开表</w:t>
      </w:r>
      <w:r>
        <w:rPr>
          <w:b w:val="0"/>
          <w:bCs w:val="0"/>
          <w:color w:val="0D0D0D" w:themeColor="text1" w:themeTint="F2"/>
          <w:sz w:val="32"/>
          <w:szCs w:val="32"/>
          <w:u w:color="000000" w:themeColor="text1"/>
          <w14:textFill>
            <w14:solidFill>
              <w14:schemeClr w14:val="tx1">
                <w14:lumMod w14:val="95000"/>
                <w14:lumOff w14:val="5000"/>
              </w14:schemeClr>
            </w14:solidFill>
          </w14:textFill>
        </w:rPr>
        <w:tab/>
      </w:r>
      <w:r>
        <w:rPr>
          <w:rFonts w:hint="eastAsia"/>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3</w:t>
      </w:r>
      <w:r>
        <w:rPr>
          <w:b w:val="0"/>
          <w:bCs w:val="0"/>
          <w:color w:val="0D0D0D" w:themeColor="text1" w:themeTint="F2"/>
          <w:sz w:val="32"/>
          <w:szCs w:val="32"/>
          <w:u w:color="000000" w:themeColor="text1"/>
          <w14:textFill>
            <w14:solidFill>
              <w14:schemeClr w14:val="tx1">
                <w14:lumMod w14:val="95000"/>
                <w14:lumOff w14:val="5000"/>
              </w14:schemeClr>
            </w14:solidFill>
          </w14:textFill>
        </w:rPr>
        <w:fldChar w:fldCharType="end"/>
      </w:r>
    </w:p>
    <w:p>
      <w:pPr>
        <w:pStyle w:val="6"/>
        <w:tabs>
          <w:tab w:val="right" w:leader="dot" w:pos="8306"/>
        </w:tabs>
        <w:rPr>
          <w:b w:val="0"/>
          <w:bCs w:val="0"/>
          <w:color w:val="0D0D0D" w:themeColor="text1" w:themeTint="F2"/>
          <w:sz w:val="32"/>
          <w:szCs w:val="32"/>
          <w:u w:color="000000" w:themeColor="text1"/>
          <w14:textFill>
            <w14:solidFill>
              <w14:schemeClr w14:val="tx1">
                <w14:lumMod w14:val="95000"/>
                <w14:lumOff w14:val="5000"/>
              </w14:schemeClr>
            </w14:solidFill>
          </w14:textFill>
        </w:rPr>
      </w:pPr>
      <w:r>
        <w:rPr>
          <w:b w:val="0"/>
          <w:bCs w:val="0"/>
          <w:color w:val="0D0D0D" w:themeColor="text1" w:themeTint="F2"/>
          <w:sz w:val="32"/>
          <w:szCs w:val="32"/>
          <w:u w:color="000000" w:themeColor="text1"/>
          <w14:textFill>
            <w14:solidFill>
              <w14:schemeClr w14:val="tx1">
                <w14:lumMod w14:val="95000"/>
                <w14:lumOff w14:val="5000"/>
              </w14:schemeClr>
            </w14:solidFill>
          </w14:textFill>
        </w:rPr>
        <w:fldChar w:fldCharType="begin"/>
      </w:r>
      <w:r>
        <w:rPr>
          <w:b w:val="0"/>
          <w:bCs w:val="0"/>
          <w:color w:val="0D0D0D" w:themeColor="text1" w:themeTint="F2"/>
          <w:sz w:val="32"/>
          <w:szCs w:val="32"/>
          <w:u w:color="000000" w:themeColor="text1"/>
          <w14:textFill>
            <w14:solidFill>
              <w14:schemeClr w14:val="tx1">
                <w14:lumMod w14:val="95000"/>
                <w14:lumOff w14:val="5000"/>
              </w14:schemeClr>
            </w14:solidFill>
          </w14:textFill>
        </w:rPr>
        <w:instrText xml:space="preserve"> HYPERLINK \l _Toc27590_WPSOffice_Level1 </w:instrText>
      </w:r>
      <w:r>
        <w:rPr>
          <w:b w:val="0"/>
          <w:bCs w:val="0"/>
          <w:color w:val="0D0D0D" w:themeColor="text1" w:themeTint="F2"/>
          <w:sz w:val="32"/>
          <w:szCs w:val="32"/>
          <w:u w:color="000000" w:themeColor="text1"/>
          <w14:textFill>
            <w14:solidFill>
              <w14:schemeClr w14:val="tx1">
                <w14:lumMod w14:val="95000"/>
                <w14:lumOff w14:val="5000"/>
              </w14:schemeClr>
            </w14:solidFill>
          </w14:textFill>
        </w:rPr>
        <w:fldChar w:fldCharType="separate"/>
      </w:r>
      <w:r>
        <w:rPr>
          <w:rFonts w:hint="eastAsia" w:ascii="黑体" w:hAnsi="黑体" w:eastAsia="黑体" w:cs="黑体"/>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第三部分</w:t>
      </w:r>
      <w:r>
        <w:rPr>
          <w:rFonts w:hint="eastAsia"/>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三亚市</w:t>
      </w:r>
      <w:r>
        <w:rPr>
          <w:rFonts w:hint="eastAsia" w:ascii="黑体" w:hAnsi="ˎ̥" w:eastAsia="黑体"/>
          <w:color w:val="0D0D0D" w:themeColor="text1" w:themeTint="F2"/>
          <w:sz w:val="32"/>
          <w:szCs w:val="32"/>
          <w:u w:val="none" w:color="000000" w:themeColor="text1"/>
          <w:lang w:val="en-US" w:eastAsia="zh-CN"/>
          <w14:textFill>
            <w14:solidFill>
              <w14:schemeClr w14:val="tx1">
                <w14:lumMod w14:val="95000"/>
                <w14:lumOff w14:val="5000"/>
              </w14:schemeClr>
            </w14:solidFill>
          </w14:textFill>
        </w:rPr>
        <w:t>天涯区第三</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幼儿园</w:t>
      </w:r>
      <w:r>
        <w:rPr>
          <w:rFonts w:hint="eastAsia" w:ascii="黑体" w:hAnsi="ˎ̥" w:eastAsia="黑体"/>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黑体" w:hAnsi="ˎ̥" w:eastAsia="黑体"/>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部门</w:t>
      </w:r>
      <w:r>
        <w:rPr>
          <w:rFonts w:hint="eastAsia" w:ascii="黑体" w:hAnsi="ˎ̥" w:eastAsia="黑体"/>
          <w:b w:val="0"/>
          <w:bCs w:val="0"/>
          <w:color w:val="0D0D0D" w:themeColor="text1" w:themeTint="F2"/>
          <w:sz w:val="32"/>
          <w:szCs w:val="32"/>
          <w:u w:color="000000" w:themeColor="text1"/>
          <w14:textFill>
            <w14:solidFill>
              <w14:schemeClr w14:val="tx1">
                <w14:lumMod w14:val="95000"/>
                <w14:lumOff w14:val="5000"/>
              </w14:schemeClr>
            </w14:solidFill>
          </w14:textFill>
        </w:rPr>
        <w:t>决算情况说明</w:t>
      </w:r>
      <w:r>
        <w:rPr>
          <w:b w:val="0"/>
          <w:bCs w:val="0"/>
          <w:color w:val="0D0D0D" w:themeColor="text1" w:themeTint="F2"/>
          <w:sz w:val="32"/>
          <w:szCs w:val="32"/>
          <w:u w:color="000000" w:themeColor="text1"/>
          <w14:textFill>
            <w14:solidFill>
              <w14:schemeClr w14:val="tx1">
                <w14:lumMod w14:val="95000"/>
                <w14:lumOff w14:val="5000"/>
              </w14:schemeClr>
            </w14:solidFill>
          </w14:textFill>
        </w:rPr>
        <w:tab/>
      </w:r>
      <w:r>
        <w:rPr>
          <w:rFonts w:hint="eastAsia"/>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4</w:t>
      </w:r>
      <w:r>
        <w:rPr>
          <w:b w:val="0"/>
          <w:bCs w:val="0"/>
          <w:color w:val="0D0D0D" w:themeColor="text1" w:themeTint="F2"/>
          <w:sz w:val="32"/>
          <w:szCs w:val="32"/>
          <w:u w:color="000000" w:themeColor="text1"/>
          <w14:textFill>
            <w14:solidFill>
              <w14:schemeClr w14:val="tx1">
                <w14:lumMod w14:val="95000"/>
                <w14:lumOff w14:val="5000"/>
              </w14:schemeClr>
            </w14:solidFill>
          </w14:textFill>
        </w:rPr>
        <w:fldChar w:fldCharType="end"/>
      </w:r>
    </w:p>
    <w:p>
      <w:pPr>
        <w:pStyle w:val="7"/>
        <w:tabs>
          <w:tab w:val="right" w:leader="dot" w:pos="8306"/>
        </w:tabs>
        <w:ind w:left="0" w:leftChars="0" w:firstLine="0" w:firstLineChars="0"/>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begin"/>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instrText xml:space="preserve"> HYPERLINK \l _Toc21737_WPSOffice_Level2 </w:instrTex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separate"/>
      </w:r>
      <w:r>
        <w:rPr>
          <w:rFonts w:hint="eastAsia" w:ascii="仿宋" w:hAnsi="仿宋" w:eastAsia="仿宋" w:cs="仿宋"/>
          <w:b w:val="0"/>
          <w:bCs/>
          <w:color w:val="0D0D0D" w:themeColor="text1" w:themeTint="F2"/>
          <w:sz w:val="32"/>
          <w:szCs w:val="32"/>
          <w:u w:color="000000" w:themeColor="text1"/>
          <w:lang w:eastAsia="zh-CN"/>
          <w14:textFill>
            <w14:solidFill>
              <w14:schemeClr w14:val="tx1">
                <w14:lumMod w14:val="95000"/>
                <w14:lumOff w14:val="5000"/>
              </w14:schemeClr>
            </w14:solidFill>
          </w14:textFill>
        </w:rPr>
        <w:t>一、</w:t>
      </w:r>
      <w:r>
        <w:rPr>
          <w:rFonts w:hint="eastAsia" w:ascii="仿宋" w:hAnsi="仿宋" w:eastAsia="仿宋" w:cs="仿宋"/>
          <w:b w:val="0"/>
          <w:bCs/>
          <w:color w:val="0D0D0D" w:themeColor="text1" w:themeTint="F2"/>
          <w:sz w:val="32"/>
          <w:szCs w:val="32"/>
          <w:u w:color="000000" w:themeColor="text1"/>
          <w14:textFill>
            <w14:solidFill>
              <w14:schemeClr w14:val="tx1">
                <w14:lumMod w14:val="95000"/>
                <w14:lumOff w14:val="5000"/>
              </w14:schemeClr>
            </w14:solidFill>
          </w14:textFill>
        </w:rPr>
        <w:t>收入支出决算总体情况说明</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t>4</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end"/>
      </w:r>
    </w:p>
    <w:p>
      <w:pPr>
        <w:pStyle w:val="7"/>
        <w:tabs>
          <w:tab w:val="right" w:leader="dot" w:pos="8306"/>
        </w:tabs>
        <w:ind w:left="0" w:leftChars="0" w:firstLine="0" w:firstLineChars="0"/>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begin"/>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instrText xml:space="preserve"> HYPERLINK \l _Toc19535_WPSOffice_Level2 </w:instrTex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separate"/>
      </w:r>
      <w:r>
        <w:rPr>
          <w:rFonts w:hint="eastAsia" w:ascii="仿宋" w:hAnsi="仿宋" w:eastAsia="仿宋" w:cs="仿宋"/>
          <w:b w:val="0"/>
          <w:bCs/>
          <w:color w:val="0D0D0D" w:themeColor="text1" w:themeTint="F2"/>
          <w:sz w:val="32"/>
          <w:szCs w:val="32"/>
          <w:u w:color="000000" w:themeColor="text1"/>
          <w:lang w:eastAsia="zh-CN"/>
          <w14:textFill>
            <w14:solidFill>
              <w14:schemeClr w14:val="tx1">
                <w14:lumMod w14:val="95000"/>
                <w14:lumOff w14:val="5000"/>
              </w14:schemeClr>
            </w14:solidFill>
          </w14:textFill>
        </w:rPr>
        <w:t>二、</w:t>
      </w:r>
      <w:r>
        <w:rPr>
          <w:rFonts w:hint="eastAsia" w:ascii="仿宋" w:hAnsi="仿宋" w:eastAsia="仿宋" w:cs="仿宋"/>
          <w:b w:val="0"/>
          <w:bCs/>
          <w:color w:val="0D0D0D" w:themeColor="text1" w:themeTint="F2"/>
          <w:sz w:val="32"/>
          <w:szCs w:val="32"/>
          <w:u w:color="000000" w:themeColor="text1"/>
          <w14:textFill>
            <w14:solidFill>
              <w14:schemeClr w14:val="tx1">
                <w14:lumMod w14:val="95000"/>
                <w14:lumOff w14:val="5000"/>
              </w14:schemeClr>
            </w14:solidFill>
          </w14:textFill>
        </w:rPr>
        <w:t>收入决算情况说明</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t>4</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end"/>
      </w:r>
    </w:p>
    <w:p>
      <w:pPr>
        <w:pStyle w:val="7"/>
        <w:tabs>
          <w:tab w:val="right" w:leader="dot" w:pos="8306"/>
        </w:tabs>
        <w:ind w:left="0" w:leftChars="0" w:firstLine="0" w:firstLineChars="0"/>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begin"/>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instrText xml:space="preserve"> HYPERLINK \l _Toc19535_WPSOffice_Level2 </w:instrTex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separate"/>
      </w:r>
      <w:r>
        <w:rPr>
          <w:rFonts w:hint="eastAsia" w:ascii="仿宋" w:hAnsi="仿宋" w:eastAsia="仿宋" w:cs="仿宋"/>
          <w:b w:val="0"/>
          <w:bCs/>
          <w:color w:val="0D0D0D" w:themeColor="text1" w:themeTint="F2"/>
          <w:sz w:val="32"/>
          <w:szCs w:val="32"/>
          <w:u w:color="000000" w:themeColor="text1"/>
          <w:lang w:eastAsia="zh-CN"/>
          <w14:textFill>
            <w14:solidFill>
              <w14:schemeClr w14:val="tx1">
                <w14:lumMod w14:val="95000"/>
                <w14:lumOff w14:val="5000"/>
              </w14:schemeClr>
            </w14:solidFill>
          </w14:textFill>
        </w:rPr>
        <w:t>三、</w:t>
      </w:r>
      <w:r>
        <w:rPr>
          <w:rFonts w:hint="eastAsia" w:ascii="仿宋" w:hAnsi="仿宋" w:eastAsia="仿宋" w:cs="仿宋"/>
          <w:b w:val="0"/>
          <w:bCs/>
          <w:color w:val="0D0D0D" w:themeColor="text1" w:themeTint="F2"/>
          <w:sz w:val="32"/>
          <w:szCs w:val="32"/>
          <w:u w:color="000000" w:themeColor="text1"/>
          <w:lang w:val="en-US" w:eastAsia="zh-CN"/>
          <w14:textFill>
            <w14:solidFill>
              <w14:schemeClr w14:val="tx1">
                <w14:lumMod w14:val="95000"/>
                <w14:lumOff w14:val="5000"/>
              </w14:schemeClr>
            </w14:solidFill>
          </w14:textFill>
        </w:rPr>
        <w:t>支出</w:t>
      </w:r>
      <w:r>
        <w:rPr>
          <w:rFonts w:hint="eastAsia" w:ascii="仿宋" w:hAnsi="仿宋" w:eastAsia="仿宋" w:cs="仿宋"/>
          <w:b w:val="0"/>
          <w:bCs/>
          <w:color w:val="0D0D0D" w:themeColor="text1" w:themeTint="F2"/>
          <w:sz w:val="32"/>
          <w:szCs w:val="32"/>
          <w:u w:color="000000" w:themeColor="text1"/>
          <w14:textFill>
            <w14:solidFill>
              <w14:schemeClr w14:val="tx1">
                <w14:lumMod w14:val="95000"/>
                <w14:lumOff w14:val="5000"/>
              </w14:schemeClr>
            </w14:solidFill>
          </w14:textFill>
        </w:rPr>
        <w:t>决算情况说明</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end"/>
      </w:r>
    </w:p>
    <w:p>
      <w:pPr>
        <w:pStyle w:val="7"/>
        <w:tabs>
          <w:tab w:val="right" w:leader="dot" w:pos="8306"/>
        </w:tabs>
        <w:ind w:left="0" w:leftChars="0" w:firstLine="0" w:firstLineChars="0"/>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begin"/>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instrText xml:space="preserve"> HYPERLINK \l _Toc19535_WPSOffice_Level2 </w:instrTex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separate"/>
      </w:r>
      <w:r>
        <w:rPr>
          <w:rFonts w:hint="eastAsia" w:ascii="仿宋" w:hAnsi="仿宋" w:eastAsia="仿宋" w:cs="仿宋"/>
          <w:b w:val="0"/>
          <w:bCs/>
          <w:color w:val="0D0D0D" w:themeColor="text1" w:themeTint="F2"/>
          <w:sz w:val="32"/>
          <w:szCs w:val="32"/>
          <w:u w:color="000000" w:themeColor="text1"/>
          <w:lang w:val="en-US" w:eastAsia="zh-CN"/>
          <w14:textFill>
            <w14:solidFill>
              <w14:schemeClr w14:val="tx1">
                <w14:lumMod w14:val="95000"/>
                <w14:lumOff w14:val="5000"/>
              </w14:schemeClr>
            </w14:solidFill>
          </w14:textFill>
        </w:rPr>
        <w:t>四</w:t>
      </w:r>
      <w:r>
        <w:rPr>
          <w:rFonts w:hint="eastAsia" w:ascii="仿宋" w:hAnsi="仿宋" w:eastAsia="仿宋" w:cs="仿宋"/>
          <w:b w:val="0"/>
          <w:bCs/>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 w:hAnsi="仿宋" w:eastAsia="仿宋" w:cs="仿宋"/>
          <w:b w:val="0"/>
          <w:bCs/>
          <w:color w:val="0D0D0D" w:themeColor="text1" w:themeTint="F2"/>
          <w:sz w:val="32"/>
          <w:szCs w:val="32"/>
          <w:u w:color="000000" w:themeColor="text1"/>
          <w14:textFill>
            <w14:solidFill>
              <w14:schemeClr w14:val="tx1">
                <w14:lumMod w14:val="95000"/>
                <w14:lumOff w14:val="5000"/>
              </w14:schemeClr>
            </w14:solidFill>
          </w14:textFill>
        </w:rPr>
        <w:t>财政拨款收入支出决算情况说明</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end"/>
      </w:r>
    </w:p>
    <w:p>
      <w:pPr>
        <w:pStyle w:val="7"/>
        <w:tabs>
          <w:tab w:val="right" w:leader="dot" w:pos="8306"/>
        </w:tabs>
        <w:ind w:left="0" w:leftChars="0" w:firstLine="0" w:firstLineChars="0"/>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begin"/>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instrText xml:space="preserve"> HYPERLINK \l _Toc19535_WPSOffice_Level2 </w:instrTex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separate"/>
      </w:r>
      <w:r>
        <w:rPr>
          <w:rFonts w:hint="eastAsia" w:ascii="仿宋" w:hAnsi="仿宋" w:eastAsia="仿宋" w:cs="仿宋"/>
          <w:b w:val="0"/>
          <w:bCs/>
          <w:color w:val="0D0D0D" w:themeColor="text1" w:themeTint="F2"/>
          <w:sz w:val="32"/>
          <w:szCs w:val="32"/>
          <w:u w:color="000000" w:themeColor="text1"/>
          <w14:textFill>
            <w14:solidFill>
              <w14:schemeClr w14:val="tx1">
                <w14:lumMod w14:val="95000"/>
                <w14:lumOff w14:val="5000"/>
              </w14:schemeClr>
            </w14:solidFill>
          </w14:textFill>
        </w:rPr>
        <w:t>五</w:t>
      </w:r>
      <w:r>
        <w:rPr>
          <w:rFonts w:hint="eastAsia" w:ascii="仿宋" w:hAnsi="仿宋" w:eastAsia="仿宋" w:cs="仿宋"/>
          <w:b w:val="0"/>
          <w:bCs/>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 w:hAnsi="仿宋" w:eastAsia="仿宋" w:cs="仿宋"/>
          <w:b w:val="0"/>
          <w:bCs/>
          <w:color w:val="0D0D0D" w:themeColor="text1" w:themeTint="F2"/>
          <w:sz w:val="32"/>
          <w:szCs w:val="32"/>
          <w:u w:color="000000" w:themeColor="text1"/>
          <w14:textFill>
            <w14:solidFill>
              <w14:schemeClr w14:val="tx1">
                <w14:lumMod w14:val="95000"/>
                <w14:lumOff w14:val="5000"/>
              </w14:schemeClr>
            </w14:solidFill>
          </w14:textFill>
        </w:rPr>
        <w:t>一般公共预算财政拨款支出决算情况说明</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end"/>
      </w:r>
    </w:p>
    <w:p>
      <w:pPr>
        <w:pStyle w:val="7"/>
        <w:tabs>
          <w:tab w:val="right" w:leader="dot" w:pos="8306"/>
        </w:tabs>
        <w:ind w:left="0" w:leftChars="0" w:firstLine="0" w:firstLineChars="0"/>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begin"/>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instrText xml:space="preserve"> HYPERLINK \l _Toc19535_WPSOffice_Level2 </w:instrTex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separate"/>
      </w:r>
      <w:r>
        <w:rPr>
          <w:rFonts w:hint="eastAsia" w:ascii="仿宋" w:hAnsi="仿宋" w:eastAsia="仿宋" w:cs="仿宋"/>
          <w:b w:val="0"/>
          <w:bCs/>
          <w:color w:val="0D0D0D" w:themeColor="text1" w:themeTint="F2"/>
          <w:kern w:val="0"/>
          <w:sz w:val="32"/>
          <w:szCs w:val="32"/>
          <w:u w:color="000000" w:themeColor="text1"/>
          <w14:textFill>
            <w14:solidFill>
              <w14:schemeClr w14:val="tx1">
                <w14:lumMod w14:val="95000"/>
                <w14:lumOff w14:val="5000"/>
              </w14:schemeClr>
            </w14:solidFill>
          </w14:textFill>
        </w:rPr>
        <w:t>六</w:t>
      </w:r>
      <w:r>
        <w:rPr>
          <w:rFonts w:hint="eastAsia" w:ascii="仿宋" w:hAnsi="仿宋" w:eastAsia="仿宋" w:cs="仿宋"/>
          <w:b w:val="0"/>
          <w:bCs/>
          <w:color w:val="0D0D0D" w:themeColor="text1" w:themeTint="F2"/>
          <w:kern w:val="0"/>
          <w:sz w:val="32"/>
          <w:szCs w:val="32"/>
          <w:u w:color="000000" w:themeColor="text1"/>
          <w:lang w:eastAsia="zh-CN"/>
          <w14:textFill>
            <w14:solidFill>
              <w14:schemeClr w14:val="tx1">
                <w14:lumMod w14:val="95000"/>
                <w14:lumOff w14:val="5000"/>
              </w14:schemeClr>
            </w14:solidFill>
          </w14:textFill>
        </w:rPr>
        <w:t>、</w:t>
      </w:r>
      <w:r>
        <w:rPr>
          <w:rFonts w:hint="eastAsia" w:ascii="仿宋" w:hAnsi="仿宋" w:eastAsia="仿宋" w:cs="仿宋"/>
          <w:b w:val="0"/>
          <w:bCs/>
          <w:color w:val="0D0D0D" w:themeColor="text1" w:themeTint="F2"/>
          <w:kern w:val="0"/>
          <w:sz w:val="32"/>
          <w:szCs w:val="32"/>
          <w:u w:color="000000" w:themeColor="text1"/>
          <w14:textFill>
            <w14:solidFill>
              <w14:schemeClr w14:val="tx1">
                <w14:lumMod w14:val="95000"/>
                <w14:lumOff w14:val="5000"/>
              </w14:schemeClr>
            </w14:solidFill>
          </w14:textFill>
        </w:rPr>
        <w:t>一般公共预算财政拨款基本支出决算情况说明</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end"/>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t>7</w:t>
      </w:r>
    </w:p>
    <w:p>
      <w:pPr>
        <w:pStyle w:val="7"/>
        <w:numPr>
          <w:ilvl w:val="0"/>
          <w:numId w:val="1"/>
        </w:numPr>
        <w:tabs>
          <w:tab w:val="right" w:leader="dot" w:pos="8306"/>
        </w:tabs>
        <w:ind w:left="0" w:leftChars="0" w:firstLine="0" w:firstLineChars="0"/>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 w:hAnsi="仿宋" w:eastAsia="仿宋" w:cs="仿宋"/>
          <w:b w:val="0"/>
          <w:bCs/>
          <w:color w:val="0D0D0D" w:themeColor="text1" w:themeTint="F2"/>
          <w:sz w:val="32"/>
          <w:szCs w:val="32"/>
          <w:u w:color="000000" w:themeColor="text1"/>
          <w:lang w:eastAsia="zh-CN"/>
          <w14:textFill>
            <w14:solidFill>
              <w14:schemeClr w14:val="tx1">
                <w14:lumMod w14:val="95000"/>
                <w14:lumOff w14:val="5000"/>
              </w14:schemeClr>
            </w14:solidFill>
          </w14:textFill>
        </w:rPr>
        <w:t>政府性基金</w:t>
      </w:r>
      <w:r>
        <w:rPr>
          <w:rFonts w:hint="eastAsia" w:ascii="仿宋" w:hAnsi="仿宋" w:eastAsia="仿宋" w:cs="仿宋"/>
          <w:b w:val="0"/>
          <w:bCs/>
          <w:color w:val="0D0D0D" w:themeColor="text1" w:themeTint="F2"/>
          <w:sz w:val="32"/>
          <w:szCs w:val="32"/>
          <w:u w:color="000000" w:themeColor="text1"/>
          <w14:textFill>
            <w14:solidFill>
              <w14:schemeClr w14:val="tx1">
                <w14:lumMod w14:val="95000"/>
                <w14:lumOff w14:val="5000"/>
              </w14:schemeClr>
            </w14:solidFill>
          </w14:textFill>
        </w:rPr>
        <w:t>预算财政拨款</w:t>
      </w:r>
      <w:r>
        <w:rPr>
          <w:rFonts w:hint="eastAsia" w:ascii="仿宋" w:hAnsi="仿宋" w:eastAsia="仿宋" w:cs="仿宋"/>
          <w:b w:val="0"/>
          <w:bCs/>
          <w:color w:val="0D0D0D" w:themeColor="text1" w:themeTint="F2"/>
          <w:sz w:val="32"/>
          <w:szCs w:val="32"/>
          <w:u w:color="000000" w:themeColor="text1"/>
          <w:lang w:eastAsia="zh-CN"/>
          <w14:textFill>
            <w14:solidFill>
              <w14:schemeClr w14:val="tx1">
                <w14:lumMod w14:val="95000"/>
                <w14:lumOff w14:val="5000"/>
              </w14:schemeClr>
            </w14:solidFill>
          </w14:textFill>
        </w:rPr>
        <w:t>收入</w:t>
      </w:r>
      <w:r>
        <w:rPr>
          <w:rFonts w:hint="eastAsia" w:ascii="仿宋" w:hAnsi="仿宋" w:eastAsia="仿宋" w:cs="仿宋"/>
          <w:b w:val="0"/>
          <w:bCs/>
          <w:color w:val="0D0D0D" w:themeColor="text1" w:themeTint="F2"/>
          <w:sz w:val="32"/>
          <w:szCs w:val="32"/>
          <w:u w:color="000000" w:themeColor="text1"/>
          <w14:textFill>
            <w14:solidFill>
              <w14:schemeClr w14:val="tx1">
                <w14:lumMod w14:val="95000"/>
                <w14:lumOff w14:val="5000"/>
              </w14:schemeClr>
            </w14:solidFill>
          </w14:textFill>
        </w:rPr>
        <w:t>支出决算情况说明</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t>8</w:t>
      </w:r>
    </w:p>
    <w:p>
      <w:pPr>
        <w:pStyle w:val="7"/>
        <w:numPr>
          <w:ilvl w:val="0"/>
          <w:numId w:val="1"/>
        </w:numPr>
        <w:tabs>
          <w:tab w:val="right" w:leader="dot" w:pos="8306"/>
        </w:tabs>
        <w:ind w:left="0" w:leftChars="0" w:firstLine="0" w:firstLineChars="0"/>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 w:hAnsi="仿宋" w:eastAsia="仿宋" w:cs="仿宋"/>
          <w:b w:val="0"/>
          <w:bCs/>
          <w:color w:val="0D0D0D" w:themeColor="text1" w:themeTint="F2"/>
          <w:sz w:val="32"/>
          <w:szCs w:val="32"/>
          <w:u w:color="000000" w:themeColor="text1"/>
          <w:lang w:eastAsia="zh-CN"/>
          <w14:textFill>
            <w14:solidFill>
              <w14:schemeClr w14:val="tx1">
                <w14:lumMod w14:val="95000"/>
                <w14:lumOff w14:val="5000"/>
              </w14:schemeClr>
            </w14:solidFill>
          </w14:textFill>
        </w:rPr>
        <w:t>国有资本经营</w:t>
      </w:r>
      <w:r>
        <w:rPr>
          <w:rFonts w:hint="eastAsia" w:ascii="仿宋" w:hAnsi="仿宋" w:eastAsia="仿宋" w:cs="仿宋"/>
          <w:b w:val="0"/>
          <w:bCs/>
          <w:color w:val="0D0D0D" w:themeColor="text1" w:themeTint="F2"/>
          <w:sz w:val="32"/>
          <w:szCs w:val="32"/>
          <w:u w:color="000000" w:themeColor="text1"/>
          <w14:textFill>
            <w14:solidFill>
              <w14:schemeClr w14:val="tx1">
                <w14:lumMod w14:val="95000"/>
                <w14:lumOff w14:val="5000"/>
              </w14:schemeClr>
            </w14:solidFill>
          </w14:textFill>
        </w:rPr>
        <w:t>预算财政拨款</w:t>
      </w:r>
      <w:r>
        <w:rPr>
          <w:rFonts w:hint="eastAsia" w:ascii="仿宋" w:hAnsi="仿宋" w:eastAsia="仿宋" w:cs="仿宋"/>
          <w:b w:val="0"/>
          <w:bCs/>
          <w:color w:val="0D0D0D" w:themeColor="text1" w:themeTint="F2"/>
          <w:sz w:val="32"/>
          <w:szCs w:val="32"/>
          <w:u w:color="000000" w:themeColor="text1"/>
          <w:lang w:eastAsia="zh-CN"/>
          <w14:textFill>
            <w14:solidFill>
              <w14:schemeClr w14:val="tx1">
                <w14:lumMod w14:val="95000"/>
                <w14:lumOff w14:val="5000"/>
              </w14:schemeClr>
            </w14:solidFill>
          </w14:textFill>
        </w:rPr>
        <w:t>收入</w:t>
      </w:r>
      <w:r>
        <w:rPr>
          <w:rFonts w:hint="eastAsia" w:ascii="仿宋" w:hAnsi="仿宋" w:eastAsia="仿宋" w:cs="仿宋"/>
          <w:b w:val="0"/>
          <w:bCs/>
          <w:color w:val="0D0D0D" w:themeColor="text1" w:themeTint="F2"/>
          <w:sz w:val="32"/>
          <w:szCs w:val="32"/>
          <w:u w:color="000000" w:themeColor="text1"/>
          <w14:textFill>
            <w14:solidFill>
              <w14:schemeClr w14:val="tx1">
                <w14:lumMod w14:val="95000"/>
                <w14:lumOff w14:val="5000"/>
              </w14:schemeClr>
            </w14:solidFill>
          </w14:textFill>
        </w:rPr>
        <w:t>支出决算情况说明</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t>8</w:t>
      </w:r>
    </w:p>
    <w:p>
      <w:pPr>
        <w:rPr>
          <w:rFonts w:hint="eastAsia" w:ascii="仿宋" w:hAnsi="仿宋" w:eastAsia="仿宋" w:cs="仿宋"/>
          <w:color w:val="0D0D0D" w:themeColor="text1" w:themeTint="F2"/>
          <w:w w:val="98"/>
          <w:sz w:val="32"/>
          <w:szCs w:val="32"/>
          <w:u w:color="000000" w:themeColor="text1"/>
          <w:lang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begin"/>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instrText xml:space="preserve"> HYPERLINK \l _Toc5978_WPSOffice_Level2 </w:instrTex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separate"/>
      </w:r>
      <w:r>
        <w:rPr>
          <w:rFonts w:hint="eastAsia" w:ascii="仿宋" w:hAnsi="仿宋" w:eastAsia="仿宋" w:cs="仿宋"/>
          <w:b w:val="0"/>
          <w:bCs/>
          <w:color w:val="0D0D0D" w:themeColor="text1" w:themeTint="F2"/>
          <w:sz w:val="32"/>
          <w:szCs w:val="32"/>
          <w:u w:color="000000" w:themeColor="text1"/>
          <w:lang w:eastAsia="zh-CN"/>
          <w14:textFill>
            <w14:solidFill>
              <w14:schemeClr w14:val="tx1">
                <w14:lumMod w14:val="95000"/>
                <w14:lumOff w14:val="5000"/>
              </w14:schemeClr>
            </w14:solidFill>
          </w14:textFill>
        </w:rPr>
        <w:t>九、</w:t>
      </w:r>
      <w:r>
        <w:rPr>
          <w:rFonts w:hint="eastAsia" w:ascii="仿宋" w:hAnsi="仿宋" w:eastAsia="仿宋" w:cs="仿宋"/>
          <w:b w:val="0"/>
          <w:bCs/>
          <w:color w:val="0D0D0D" w:themeColor="text1" w:themeTint="F2"/>
          <w:w w:val="98"/>
          <w:sz w:val="32"/>
          <w:szCs w:val="32"/>
          <w:u w:color="000000" w:themeColor="text1"/>
          <w14:textFill>
            <w14:solidFill>
              <w14:schemeClr w14:val="tx1">
                <w14:lumMod w14:val="95000"/>
                <w14:lumOff w14:val="5000"/>
              </w14:schemeClr>
            </w14:solidFill>
          </w14:textFill>
        </w:rPr>
        <w:t>一般公共预算财政拨款“三公”经费支出决算情况说明</w:t>
      </w:r>
    </w:p>
    <w:p>
      <w:pPr>
        <w:pStyle w:val="7"/>
        <w:tabs>
          <w:tab w:val="right" w:leader="dot" w:pos="8306"/>
        </w:tabs>
        <w:ind w:left="0" w:leftChars="0" w:firstLine="0" w:firstLineChars="0"/>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end"/>
      </w:r>
      <w:r>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t>9</w:t>
      </w:r>
    </w:p>
    <w:p>
      <w:pPr>
        <w:rPr>
          <w:rFonts w:hint="eastAsia" w:ascii="仿宋" w:hAnsi="仿宋" w:eastAsia="仿宋" w:cs="仿宋"/>
          <w:color w:val="0D0D0D" w:themeColor="text1" w:themeTint="F2"/>
          <w:w w:val="98"/>
          <w:sz w:val="32"/>
          <w:szCs w:val="32"/>
          <w:u w:color="000000" w:themeColor="text1"/>
          <w:lang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begin"/>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instrText xml:space="preserve"> HYPERLINK \l _Toc5978_WPSOffice_Level2 </w:instrTex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separate"/>
      </w:r>
      <w:r>
        <w:rPr>
          <w:rFonts w:hint="eastAsia" w:ascii="仿宋" w:hAnsi="仿宋" w:eastAsia="仿宋" w:cs="仿宋"/>
          <w:b w:val="0"/>
          <w:bCs/>
          <w:color w:val="0D0D0D" w:themeColor="text1" w:themeTint="F2"/>
          <w:sz w:val="32"/>
          <w:szCs w:val="32"/>
          <w:u w:color="000000" w:themeColor="text1"/>
          <w:lang w:eastAsia="zh-CN"/>
          <w14:textFill>
            <w14:solidFill>
              <w14:schemeClr w14:val="tx1">
                <w14:lumMod w14:val="95000"/>
                <w14:lumOff w14:val="5000"/>
              </w14:schemeClr>
            </w14:solidFill>
          </w14:textFill>
        </w:rPr>
        <w:t>十、</w:t>
      </w:r>
      <w:r>
        <w:rPr>
          <w:rFonts w:hint="eastAsia" w:ascii="仿宋" w:hAnsi="仿宋" w:eastAsia="仿宋" w:cs="仿宋"/>
          <w:b w:val="0"/>
          <w:bCs/>
          <w:color w:val="0D0D0D" w:themeColor="text1" w:themeTint="F2"/>
          <w:w w:val="98"/>
          <w:sz w:val="32"/>
          <w:szCs w:val="32"/>
          <w:u w:color="000000" w:themeColor="text1"/>
          <w:lang w:eastAsia="zh-CN"/>
          <w14:textFill>
            <w14:solidFill>
              <w14:schemeClr w14:val="tx1">
                <w14:lumMod w14:val="95000"/>
                <w14:lumOff w14:val="5000"/>
              </w14:schemeClr>
            </w14:solidFill>
          </w14:textFill>
        </w:rPr>
        <w:t>政府性基金</w:t>
      </w:r>
      <w:r>
        <w:rPr>
          <w:rFonts w:hint="eastAsia" w:ascii="仿宋" w:hAnsi="仿宋" w:eastAsia="仿宋" w:cs="仿宋"/>
          <w:b w:val="0"/>
          <w:bCs/>
          <w:color w:val="0D0D0D" w:themeColor="text1" w:themeTint="F2"/>
          <w:w w:val="98"/>
          <w:sz w:val="32"/>
          <w:szCs w:val="32"/>
          <w:u w:color="000000" w:themeColor="text1"/>
          <w14:textFill>
            <w14:solidFill>
              <w14:schemeClr w14:val="tx1">
                <w14:lumMod w14:val="95000"/>
                <w14:lumOff w14:val="5000"/>
              </w14:schemeClr>
            </w14:solidFill>
          </w14:textFill>
        </w:rPr>
        <w:t>预算财政拨款“三公”经费支出决算情况说明</w:t>
      </w:r>
    </w:p>
    <w:p>
      <w:pPr>
        <w:pStyle w:val="7"/>
        <w:tabs>
          <w:tab w:val="right" w:leader="dot" w:pos="8306"/>
        </w:tabs>
        <w:ind w:left="0" w:leftChars="0" w:firstLine="0" w:firstLineChars="0"/>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end"/>
      </w:r>
      <w:r>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t>10</w:t>
      </w:r>
    </w:p>
    <w:p>
      <w:pPr>
        <w:rPr>
          <w:rFonts w:hint="eastAsia" w:ascii="仿宋" w:hAnsi="仿宋" w:eastAsia="仿宋" w:cs="仿宋"/>
          <w:color w:val="0D0D0D" w:themeColor="text1" w:themeTint="F2"/>
          <w:w w:val="91"/>
          <w:sz w:val="32"/>
          <w:szCs w:val="32"/>
          <w:u w:color="000000" w:themeColor="text1"/>
          <w:lang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begin"/>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instrText xml:space="preserve"> HYPERLINK \l _Toc5978_WPSOffice_Level2 </w:instrTex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separate"/>
      </w:r>
      <w:r>
        <w:rPr>
          <w:rFonts w:hint="eastAsia" w:ascii="仿宋" w:hAnsi="仿宋" w:eastAsia="仿宋" w:cs="仿宋"/>
          <w:b w:val="0"/>
          <w:bCs/>
          <w:color w:val="0D0D0D" w:themeColor="text1" w:themeTint="F2"/>
          <w:w w:val="91"/>
          <w:sz w:val="32"/>
          <w:szCs w:val="32"/>
          <w:u w:color="000000" w:themeColor="text1"/>
          <w:lang w:eastAsia="zh-CN"/>
          <w14:textFill>
            <w14:solidFill>
              <w14:schemeClr w14:val="tx1">
                <w14:lumMod w14:val="95000"/>
                <w14:lumOff w14:val="5000"/>
              </w14:schemeClr>
            </w14:solidFill>
          </w14:textFill>
        </w:rPr>
        <w:t>十一、国有资本经营</w:t>
      </w:r>
      <w:r>
        <w:rPr>
          <w:rFonts w:hint="eastAsia" w:ascii="仿宋" w:hAnsi="仿宋" w:eastAsia="仿宋" w:cs="仿宋"/>
          <w:b w:val="0"/>
          <w:bCs/>
          <w:color w:val="0D0D0D" w:themeColor="text1" w:themeTint="F2"/>
          <w:w w:val="91"/>
          <w:sz w:val="32"/>
          <w:szCs w:val="32"/>
          <w:u w:color="000000" w:themeColor="text1"/>
          <w14:textFill>
            <w14:solidFill>
              <w14:schemeClr w14:val="tx1">
                <w14:lumMod w14:val="95000"/>
                <w14:lumOff w14:val="5000"/>
              </w14:schemeClr>
            </w14:solidFill>
          </w14:textFill>
        </w:rPr>
        <w:t>预算财政拨款“三公”经费支出决算情况说明</w:t>
      </w:r>
    </w:p>
    <w:p>
      <w:pPr>
        <w:pStyle w:val="7"/>
        <w:tabs>
          <w:tab w:val="right" w:leader="dot" w:pos="8306"/>
        </w:tabs>
        <w:ind w:left="0" w:leftChars="0" w:firstLine="0" w:firstLineChars="0"/>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end"/>
      </w:r>
      <w:r>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t>10</w:t>
      </w:r>
    </w:p>
    <w:p>
      <w:pPr>
        <w:pStyle w:val="7"/>
        <w:tabs>
          <w:tab w:val="right" w:leader="dot" w:pos="8306"/>
        </w:tabs>
        <w:ind w:left="0" w:leftChars="0" w:firstLine="0" w:firstLineChars="0"/>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begin"/>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instrText xml:space="preserve"> HYPERLINK \l _Toc19535_WPSOffice_Level2 </w:instrTex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separate"/>
      </w:r>
      <w:r>
        <w:rPr>
          <w:rFonts w:hint="eastAsia" w:ascii="仿宋" w:hAnsi="仿宋" w:eastAsia="仿宋" w:cs="仿宋"/>
          <w:b w:val="0"/>
          <w:bCs/>
          <w:color w:val="0D0D0D" w:themeColor="text1" w:themeTint="F2"/>
          <w:sz w:val="32"/>
          <w:szCs w:val="32"/>
          <w:u w:color="000000" w:themeColor="text1"/>
          <w:lang w:val="en-US" w:eastAsia="zh-CN"/>
          <w14:textFill>
            <w14:solidFill>
              <w14:schemeClr w14:val="tx1">
                <w14:lumMod w14:val="95000"/>
                <w14:lumOff w14:val="5000"/>
              </w14:schemeClr>
            </w14:solidFill>
          </w14:textFill>
        </w:rPr>
        <w:t>十二</w:t>
      </w:r>
      <w:r>
        <w:rPr>
          <w:rFonts w:hint="eastAsia" w:ascii="仿宋" w:hAnsi="仿宋" w:eastAsia="仿宋" w:cs="仿宋"/>
          <w:b w:val="0"/>
          <w:bCs/>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 w:hAnsi="仿宋" w:eastAsia="仿宋" w:cs="仿宋"/>
          <w:b w:val="0"/>
          <w:bCs/>
          <w:color w:val="0D0D0D" w:themeColor="text1" w:themeTint="F2"/>
          <w:sz w:val="32"/>
          <w:szCs w:val="32"/>
          <w:u w:color="000000" w:themeColor="text1"/>
          <w14:textFill>
            <w14:solidFill>
              <w14:schemeClr w14:val="tx1">
                <w14:lumMod w14:val="95000"/>
                <w14:lumOff w14:val="5000"/>
              </w14:schemeClr>
            </w14:solidFill>
          </w14:textFill>
        </w:rPr>
        <w:t>预算绩效情况说明</w:t>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2"/>
          <w:szCs w:val="32"/>
          <w:u w:color="000000" w:themeColor="text1"/>
          <w14:textFill>
            <w14:solidFill>
              <w14:schemeClr w14:val="tx1">
                <w14:lumMod w14:val="95000"/>
                <w14:lumOff w14:val="5000"/>
              </w14:schemeClr>
            </w14:solidFill>
          </w14:textFill>
        </w:rPr>
        <w:fldChar w:fldCharType="end"/>
      </w:r>
      <w:r>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t>11</w:t>
      </w:r>
    </w:p>
    <w:p>
      <w:pPr>
        <w:pStyle w:val="7"/>
        <w:tabs>
          <w:tab w:val="right" w:leader="dot" w:pos="8306"/>
        </w:tabs>
        <w:ind w:left="0" w:leftChars="0" w:firstLine="0" w:firstLineChars="0"/>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 w:hAnsi="仿宋" w:eastAsia="仿宋" w:cs="仿宋"/>
          <w:b w:val="0"/>
          <w:bCs/>
          <w:color w:val="0D0D0D" w:themeColor="text1" w:themeTint="F2"/>
          <w:sz w:val="32"/>
          <w:szCs w:val="32"/>
          <w:u w:val="none" w:color="000000" w:themeColor="text1"/>
          <w:lang w:val="en-US" w:eastAsia="zh-CN"/>
          <w14:textFill>
            <w14:solidFill>
              <w14:schemeClr w14:val="tx1">
                <w14:lumMod w14:val="95000"/>
                <w14:lumOff w14:val="5000"/>
              </w14:schemeClr>
            </w14:solidFill>
          </w14:textFill>
        </w:rPr>
        <w:t>十三</w:t>
      </w:r>
      <w:r>
        <w:rPr>
          <w:rFonts w:hint="eastAsia" w:ascii="仿宋" w:hAnsi="仿宋" w:eastAsia="仿宋" w:cs="仿宋"/>
          <w:b w:val="0"/>
          <w:bCs/>
          <w:color w:val="0D0D0D" w:themeColor="text1" w:themeTint="F2"/>
          <w:sz w:val="32"/>
          <w:szCs w:val="32"/>
          <w:u w:val="none" w:color="000000" w:themeColor="text1"/>
          <w:lang w:eastAsia="zh-CN"/>
          <w14:textFill>
            <w14:solidFill>
              <w14:schemeClr w14:val="tx1">
                <w14:lumMod w14:val="95000"/>
                <w14:lumOff w14:val="5000"/>
              </w14:schemeClr>
            </w14:solidFill>
          </w14:textFill>
        </w:rPr>
        <w:t>、</w:t>
      </w:r>
      <w:r>
        <w:rPr>
          <w:rFonts w:hint="eastAsia" w:ascii="仿宋" w:hAnsi="仿宋" w:eastAsia="仿宋" w:cs="仿宋"/>
          <w:b w:val="0"/>
          <w:bCs/>
          <w:color w:val="0D0D0D" w:themeColor="text1" w:themeTint="F2"/>
          <w:sz w:val="32"/>
          <w:szCs w:val="32"/>
          <w:u w:val="none" w:color="000000" w:themeColor="text1"/>
          <w14:textFill>
            <w14:solidFill>
              <w14:schemeClr w14:val="tx1">
                <w14:lumMod w14:val="95000"/>
                <w14:lumOff w14:val="5000"/>
              </w14:schemeClr>
            </w14:solidFill>
          </w14:textFill>
        </w:rPr>
        <w:t>其他重要事项情况说明</w:t>
      </w:r>
      <w:r>
        <w:rPr>
          <w:rFonts w:hint="eastAsia" w:ascii="仿宋" w:hAnsi="仿宋" w:eastAsia="仿宋" w:cs="仿宋"/>
          <w:color w:val="0D0D0D" w:themeColor="text1" w:themeTint="F2"/>
          <w:sz w:val="32"/>
          <w:szCs w:val="32"/>
          <w:u w:val="none" w:color="000000" w:themeColor="text1"/>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2"/>
          <w:szCs w:val="32"/>
          <w:u w:val="none" w:color="000000" w:themeColor="text1"/>
          <w:lang w:val="en-US" w:eastAsia="zh-CN"/>
          <w14:textFill>
            <w14:solidFill>
              <w14:schemeClr w14:val="tx1">
                <w14:lumMod w14:val="95000"/>
                <w14:lumOff w14:val="5000"/>
              </w14:schemeClr>
            </w14:solidFill>
          </w14:textFill>
        </w:rPr>
        <w:t>11</w:t>
      </w:r>
    </w:p>
    <w:p>
      <w:pPr>
        <w:pStyle w:val="6"/>
        <w:tabs>
          <w:tab w:val="right" w:leader="dot" w:pos="8306"/>
        </w:tabs>
        <w:rPr>
          <w:b w:val="0"/>
          <w:bCs w:val="0"/>
          <w:color w:val="0D0D0D" w:themeColor="text1" w:themeTint="F2"/>
          <w:sz w:val="32"/>
          <w:szCs w:val="32"/>
          <w:u w:color="000000" w:themeColor="text1"/>
          <w14:textFill>
            <w14:solidFill>
              <w14:schemeClr w14:val="tx1">
                <w14:lumMod w14:val="95000"/>
                <w14:lumOff w14:val="5000"/>
              </w14:schemeClr>
            </w14:solidFill>
          </w14:textFill>
        </w:rPr>
      </w:pPr>
      <w:r>
        <w:rPr>
          <w:b w:val="0"/>
          <w:bCs w:val="0"/>
          <w:color w:val="0D0D0D" w:themeColor="text1" w:themeTint="F2"/>
          <w:sz w:val="32"/>
          <w:szCs w:val="32"/>
          <w:u w:color="000000" w:themeColor="text1"/>
          <w14:textFill>
            <w14:solidFill>
              <w14:schemeClr w14:val="tx1">
                <w14:lumMod w14:val="95000"/>
                <w14:lumOff w14:val="5000"/>
              </w14:schemeClr>
            </w14:solidFill>
          </w14:textFill>
        </w:rPr>
        <w:fldChar w:fldCharType="begin"/>
      </w:r>
      <w:r>
        <w:rPr>
          <w:b w:val="0"/>
          <w:bCs w:val="0"/>
          <w:color w:val="0D0D0D" w:themeColor="text1" w:themeTint="F2"/>
          <w:sz w:val="32"/>
          <w:szCs w:val="32"/>
          <w:u w:color="000000" w:themeColor="text1"/>
          <w14:textFill>
            <w14:solidFill>
              <w14:schemeClr w14:val="tx1">
                <w14:lumMod w14:val="95000"/>
                <w14:lumOff w14:val="5000"/>
              </w14:schemeClr>
            </w14:solidFill>
          </w14:textFill>
        </w:rPr>
        <w:instrText xml:space="preserve"> HYPERLINK \l _Toc15425_WPSOffice_Level1 </w:instrText>
      </w:r>
      <w:r>
        <w:rPr>
          <w:b w:val="0"/>
          <w:bCs w:val="0"/>
          <w:color w:val="0D0D0D" w:themeColor="text1" w:themeTint="F2"/>
          <w:sz w:val="32"/>
          <w:szCs w:val="32"/>
          <w:u w:color="000000" w:themeColor="text1"/>
          <w14:textFill>
            <w14:solidFill>
              <w14:schemeClr w14:val="tx1">
                <w14:lumMod w14:val="95000"/>
                <w14:lumOff w14:val="5000"/>
              </w14:schemeClr>
            </w14:solidFill>
          </w14:textFill>
        </w:rPr>
        <w:fldChar w:fldCharType="separate"/>
      </w:r>
      <w:r>
        <w:rPr>
          <w:rFonts w:hint="eastAsia" w:ascii="黑体" w:hAnsi="ˎ̥" w:eastAsia="黑体"/>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第四部分</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w:t>
      </w:r>
      <w:r>
        <w:rPr>
          <w:rFonts w:hint="eastAsia" w:ascii="黑体" w:hAnsi="ˎ̥" w:eastAsia="黑体"/>
          <w:b w:val="0"/>
          <w:bCs w:val="0"/>
          <w:color w:val="0D0D0D" w:themeColor="text1" w:themeTint="F2"/>
          <w:sz w:val="32"/>
          <w:szCs w:val="32"/>
          <w:u w:color="000000" w:themeColor="text1"/>
          <w14:textFill>
            <w14:solidFill>
              <w14:schemeClr w14:val="tx1">
                <w14:lumMod w14:val="95000"/>
                <w14:lumOff w14:val="5000"/>
              </w14:schemeClr>
            </w14:solidFill>
          </w14:textFill>
        </w:rPr>
        <w:t>名词解释</w:t>
      </w:r>
      <w:r>
        <w:rPr>
          <w:b w:val="0"/>
          <w:bCs w:val="0"/>
          <w:color w:val="0D0D0D" w:themeColor="text1" w:themeTint="F2"/>
          <w:sz w:val="32"/>
          <w:szCs w:val="32"/>
          <w:u w:color="000000" w:themeColor="text1"/>
          <w14:textFill>
            <w14:solidFill>
              <w14:schemeClr w14:val="tx1">
                <w14:lumMod w14:val="95000"/>
                <w14:lumOff w14:val="5000"/>
              </w14:schemeClr>
            </w14:solidFill>
          </w14:textFill>
        </w:rPr>
        <w:tab/>
      </w:r>
      <w:bookmarkStart w:id="1" w:name="_Toc15425_WPSOffice_Level1Page"/>
      <w:r>
        <w:rPr>
          <w:b w:val="0"/>
          <w:bCs w:val="0"/>
          <w:color w:val="0D0D0D" w:themeColor="text1" w:themeTint="F2"/>
          <w:sz w:val="32"/>
          <w:szCs w:val="32"/>
          <w:u w:color="000000" w:themeColor="text1"/>
          <w14:textFill>
            <w14:solidFill>
              <w14:schemeClr w14:val="tx1">
                <w14:lumMod w14:val="95000"/>
                <w14:lumOff w14:val="5000"/>
              </w14:schemeClr>
            </w14:solidFill>
          </w14:textFill>
        </w:rPr>
        <w:t>1</w:t>
      </w:r>
      <w:bookmarkEnd w:id="1"/>
      <w:r>
        <w:rPr>
          <w:b w:val="0"/>
          <w:bCs w:val="0"/>
          <w:color w:val="0D0D0D" w:themeColor="text1" w:themeTint="F2"/>
          <w:sz w:val="32"/>
          <w:szCs w:val="32"/>
          <w:u w:color="000000" w:themeColor="text1"/>
          <w14:textFill>
            <w14:solidFill>
              <w14:schemeClr w14:val="tx1">
                <w14:lumMod w14:val="95000"/>
                <w14:lumOff w14:val="5000"/>
              </w14:schemeClr>
            </w14:solidFill>
          </w14:textFill>
        </w:rPr>
        <w:fldChar w:fldCharType="end"/>
      </w:r>
      <w:bookmarkEnd w:id="0"/>
      <w:r>
        <w:rPr>
          <w:rFonts w:hint="eastAsia"/>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3</w:t>
      </w:r>
    </w:p>
    <w:p>
      <w:pPr>
        <w:jc w:val="left"/>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pPr>
    </w:p>
    <w:p>
      <w:pPr>
        <w:jc w:val="center"/>
        <w:rPr>
          <w:rFonts w:hint="eastAsia" w:ascii="黑体" w:hAnsi="ˎ̥" w:eastAsia="黑体"/>
          <w:b/>
          <w:color w:val="0D0D0D" w:themeColor="text1" w:themeTint="F2"/>
          <w:sz w:val="32"/>
          <w:szCs w:val="32"/>
          <w:u w:color="000000" w:themeColor="text1"/>
          <w:lang w:val="en-US" w:eastAsia="zh-CN"/>
          <w14:textFill>
            <w14:solidFill>
              <w14:schemeClr w14:val="tx1">
                <w14:lumMod w14:val="95000"/>
                <w14:lumOff w14:val="5000"/>
              </w14:schemeClr>
            </w14:solidFill>
          </w14:textFill>
        </w:rPr>
      </w:pPr>
    </w:p>
    <w:p>
      <w:pPr>
        <w:ind w:firstLine="960" w:firstLineChars="300"/>
        <w:jc w:val="both"/>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bookmarkStart w:id="2" w:name="_Toc23465_WPSOffice_Level1"/>
      <w:bookmarkStart w:id="3" w:name="_Toc10049_WPSOffice_Level1"/>
      <w:bookmarkStart w:id="4" w:name="_Toc10720_WPSOffice_Level1"/>
      <w:bookmarkStart w:id="5" w:name="_Toc1704_WPSOffice_Level1"/>
      <w:bookmarkStart w:id="6" w:name="_Toc22941_WPSOffice_Level1"/>
      <w:bookmarkStart w:id="7" w:name="_Toc32433_WPSOffice_Level1"/>
      <w:bookmarkStart w:id="8" w:name="_Toc24238_WPSOffice_Level2"/>
      <w:bookmarkStart w:id="9" w:name="_Toc20205_WPSOffice_Level2"/>
      <w:bookmarkStart w:id="10" w:name="_Toc14159_WPSOffice_Level2"/>
      <w:bookmarkStart w:id="11" w:name="_Toc20274_WPSOffice_Level2"/>
      <w:bookmarkStart w:id="12" w:name="_Toc32622_WPSOffice_Level2"/>
      <w:bookmarkStart w:id="13" w:name="_Toc26580_WPSOffice_Level2"/>
    </w:p>
    <w:p>
      <w:pPr>
        <w:ind w:firstLine="960" w:firstLineChars="300"/>
        <w:jc w:val="both"/>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ind w:firstLine="960" w:firstLineChars="300"/>
        <w:jc w:val="both"/>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ind w:firstLine="960" w:firstLineChars="300"/>
        <w:jc w:val="both"/>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ind w:firstLine="960" w:firstLineChars="300"/>
        <w:jc w:val="both"/>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ind w:firstLine="960" w:firstLineChars="300"/>
        <w:jc w:val="both"/>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ind w:firstLine="960" w:firstLineChars="300"/>
        <w:jc w:val="both"/>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ind w:firstLine="960" w:firstLineChars="300"/>
        <w:jc w:val="both"/>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ind w:firstLine="960" w:firstLineChars="300"/>
        <w:jc w:val="both"/>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ind w:firstLine="960" w:firstLineChars="300"/>
        <w:jc w:val="both"/>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ind w:firstLine="960" w:firstLineChars="300"/>
        <w:jc w:val="both"/>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ind w:firstLine="960" w:firstLineChars="300"/>
        <w:jc w:val="both"/>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ind w:firstLine="960" w:firstLineChars="300"/>
        <w:jc w:val="both"/>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ind w:firstLine="960" w:firstLineChars="300"/>
        <w:jc w:val="both"/>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ind w:firstLine="960" w:firstLineChars="300"/>
        <w:jc w:val="both"/>
        <w:rPr>
          <w:rFonts w:hint="eastAsia" w:ascii="楷体" w:hAnsi="楷体" w:eastAsia="楷体" w:cs="楷体"/>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t>第一部分</w:t>
      </w:r>
      <w:r>
        <w:rPr>
          <w:rFonts w:hint="eastAsia" w:ascii="黑体" w:hAnsi="ˎ̥" w:eastAsia="黑体"/>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三亚市</w:t>
      </w:r>
      <w:r>
        <w:rPr>
          <w:rFonts w:hint="eastAsia" w:ascii="黑体" w:hAnsi="ˎ̥" w:eastAsia="黑体"/>
          <w:color w:val="0D0D0D" w:themeColor="text1" w:themeTint="F2"/>
          <w:sz w:val="32"/>
          <w:szCs w:val="32"/>
          <w:u w:val="none" w:color="000000" w:themeColor="text1"/>
          <w:lang w:val="en-US" w:eastAsia="zh-CN"/>
          <w14:textFill>
            <w14:solidFill>
              <w14:schemeClr w14:val="tx1">
                <w14:lumMod w14:val="95000"/>
                <w14:lumOff w14:val="5000"/>
              </w14:schemeClr>
            </w14:solidFill>
          </w14:textFill>
        </w:rPr>
        <w:t>天涯区第三</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幼儿园单位</w:t>
      </w:r>
      <w:r>
        <w:rPr>
          <w:rFonts w:hint="eastAsia" w:ascii="黑体" w:hAnsi="ˎ̥" w:eastAsia="黑体"/>
          <w:color w:val="0D0D0D" w:themeColor="text1" w:themeTint="F2"/>
          <w:sz w:val="32"/>
          <w:szCs w:val="32"/>
          <w:u w:color="000000" w:themeColor="text1"/>
          <w14:textFill>
            <w14:solidFill>
              <w14:schemeClr w14:val="tx1">
                <w14:lumMod w14:val="95000"/>
                <w14:lumOff w14:val="5000"/>
              </w14:schemeClr>
            </w14:solidFill>
          </w14:textFill>
        </w:rPr>
        <w:t>概况</w:t>
      </w:r>
      <w:bookmarkEnd w:id="2"/>
      <w:bookmarkEnd w:id="3"/>
      <w:bookmarkEnd w:id="4"/>
      <w:bookmarkEnd w:id="5"/>
      <w:bookmarkEnd w:id="6"/>
      <w:bookmarkEnd w:id="7"/>
    </w:p>
    <w:bookmarkEnd w:id="8"/>
    <w:p>
      <w:pPr>
        <w:numPr>
          <w:ilvl w:val="0"/>
          <w:numId w:val="0"/>
        </w:numPr>
        <w:ind w:firstLine="960" w:firstLineChars="300"/>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t>一、</w:t>
      </w:r>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单位</w:t>
      </w:r>
      <w:r>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t>职责</w:t>
      </w:r>
      <w:bookmarkEnd w:id="9"/>
      <w:bookmarkEnd w:id="10"/>
      <w:bookmarkEnd w:id="11"/>
      <w:bookmarkEnd w:id="12"/>
      <w:bookmarkEnd w:id="13"/>
    </w:p>
    <w:p>
      <w:pPr>
        <w:numPr>
          <w:ilvl w:val="0"/>
          <w:numId w:val="0"/>
        </w:numPr>
        <w:ind w:firstLine="640" w:firstLineChars="200"/>
        <w:rPr>
          <w:rFonts w:hint="eastAsia" w:ascii="仿宋_GB2312" w:hAnsi="仿宋_GB2312" w:eastAsia="仿宋_GB2312" w:cs="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（一）贯彻执行党和国家的教育方针、政策、法规，研究拟定全园教育发展战略和教育实施方向。</w:t>
      </w:r>
    </w:p>
    <w:p>
      <w:pPr>
        <w:numPr>
          <w:ilvl w:val="0"/>
          <w:numId w:val="0"/>
        </w:numPr>
        <w:ind w:firstLine="640" w:firstLineChars="200"/>
        <w:rPr>
          <w:rFonts w:hint="eastAsia" w:ascii="仿宋_GB2312" w:hAnsi="仿宋_GB2312" w:eastAsia="仿宋_GB2312" w:cs="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（二）研究拟定幼儿园发展规划和年度计划，组织实施学前教育办学体制改革。</w:t>
      </w:r>
    </w:p>
    <w:p>
      <w:pPr>
        <w:numPr>
          <w:ilvl w:val="0"/>
          <w:numId w:val="0"/>
        </w:numPr>
        <w:ind w:firstLine="640" w:firstLineChars="200"/>
        <w:rPr>
          <w:rFonts w:hint="eastAsia" w:ascii="仿宋_GB2312" w:hAnsi="仿宋_GB2312" w:eastAsia="仿宋_GB2312" w:cs="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（三）管理和指导幼儿园保育教育工作，确保普及学前教育工作成果。</w:t>
      </w:r>
    </w:p>
    <w:p>
      <w:pPr>
        <w:numPr>
          <w:ilvl w:val="0"/>
          <w:numId w:val="0"/>
        </w:numPr>
        <w:ind w:firstLine="640" w:firstLineChars="200"/>
        <w:rPr>
          <w:rFonts w:hint="eastAsia" w:ascii="仿宋_GB2312" w:hAnsi="仿宋_GB2312" w:eastAsia="仿宋_GB2312" w:cs="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（四）管理幼儿园教育经费，执行政府会计准则制度。</w:t>
      </w:r>
    </w:p>
    <w:p>
      <w:pPr>
        <w:ind w:firstLine="640" w:firstLineChars="200"/>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pPr>
      <w:bookmarkStart w:id="14" w:name="_Toc24474_WPSOffice_Level2"/>
      <w:bookmarkStart w:id="15" w:name="_Toc4833_WPSOffice_Level2"/>
      <w:bookmarkStart w:id="16" w:name="_Toc17796_WPSOffice_Level2"/>
      <w:bookmarkStart w:id="17" w:name="_Toc24059_WPSOffice_Level2"/>
      <w:bookmarkStart w:id="18" w:name="_Toc6572_WPSOffice_Level2"/>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二、</w:t>
      </w:r>
      <w:r>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t>机构设置</w:t>
      </w:r>
      <w:bookmarkEnd w:id="14"/>
      <w:bookmarkEnd w:id="15"/>
      <w:bookmarkEnd w:id="16"/>
      <w:bookmarkEnd w:id="17"/>
      <w:bookmarkEnd w:id="18"/>
    </w:p>
    <w:p>
      <w:pPr>
        <w:jc w:val="center"/>
        <w:rPr>
          <w:rFonts w:hint="eastAsia" w:ascii="黑体" w:hAnsi="ˎ̥" w:eastAsia="黑体"/>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仿宋" w:hAnsi="仿宋" w:eastAsia="仿宋" w:cs="仿宋"/>
          <w:b w:val="0"/>
          <w:bCs/>
          <w:color w:val="0D0D0D" w:themeColor="text1" w:themeTint="F2"/>
          <w:kern w:val="0"/>
          <w:sz w:val="32"/>
          <w:szCs w:val="32"/>
          <w:u w:val="none" w:color="000000" w:themeColor="text1"/>
          <w:lang w:val="en-US" w:eastAsia="zh-CN"/>
          <w14:textFill>
            <w14:solidFill>
              <w14:schemeClr w14:val="tx1">
                <w14:lumMod w14:val="95000"/>
                <w14:lumOff w14:val="5000"/>
              </w14:schemeClr>
            </w14:solidFill>
          </w14:textFill>
        </w:rPr>
        <w:t>本单位为基层预算单位，没有下属单位，无内设机构。</w:t>
      </w:r>
      <w:bookmarkStart w:id="19" w:name="_Toc30690_WPSOffice_Level1"/>
      <w:bookmarkStart w:id="20" w:name="_Toc8164_WPSOffice_Level1"/>
      <w:bookmarkStart w:id="21" w:name="_Toc30451_WPSOffice_Level1"/>
      <w:bookmarkStart w:id="22" w:name="_Toc28253_WPSOffice_Level1"/>
      <w:bookmarkStart w:id="23" w:name="_Toc6234_WPSOffice_Level1"/>
      <w:bookmarkStart w:id="24" w:name="_Toc15521_WPSOffice_Level1"/>
      <w:bookmarkStart w:id="25" w:name="_Toc6211_WPSOffice_Level2"/>
      <w:bookmarkStart w:id="26" w:name="_Toc8867_WPSOffice_Level2"/>
      <w:bookmarkStart w:id="27" w:name="_Toc32695_WPSOffice_Level2"/>
      <w:bookmarkStart w:id="28" w:name="_Toc4029_WPSOffice_Level2"/>
      <w:bookmarkStart w:id="29" w:name="_Toc32472_WPSOffice_Level2"/>
      <w:bookmarkStart w:id="30" w:name="_Toc11518_WPSOffice_Level2"/>
    </w:p>
    <w:p>
      <w:pPr>
        <w:jc w:val="center"/>
        <w:rPr>
          <w:rFonts w:hint="eastAsia" w:ascii="黑体" w:hAnsi="ˎ̥" w:eastAsia="黑体"/>
          <w:b w:val="0"/>
          <w:bCs w:val="0"/>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黑体" w:hAnsi="ˎ̥" w:eastAsia="黑体"/>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第二部分</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三亚市</w:t>
      </w:r>
      <w:r>
        <w:rPr>
          <w:rFonts w:hint="eastAsia" w:ascii="黑体" w:hAnsi="ˎ̥" w:eastAsia="黑体"/>
          <w:color w:val="0D0D0D" w:themeColor="text1" w:themeTint="F2"/>
          <w:sz w:val="32"/>
          <w:szCs w:val="32"/>
          <w:u w:val="none" w:color="000000" w:themeColor="text1"/>
          <w:lang w:val="en-US" w:eastAsia="zh-CN"/>
          <w14:textFill>
            <w14:solidFill>
              <w14:schemeClr w14:val="tx1">
                <w14:lumMod w14:val="95000"/>
                <w14:lumOff w14:val="5000"/>
              </w14:schemeClr>
            </w14:solidFill>
          </w14:textFill>
        </w:rPr>
        <w:t>天涯区第三</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幼儿园</w:t>
      </w:r>
      <w:r>
        <w:rPr>
          <w:rFonts w:hint="eastAsia" w:ascii="黑体" w:hAnsi="ˎ̥" w:eastAsia="黑体"/>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2单位</w:t>
      </w:r>
      <w:r>
        <w:rPr>
          <w:rFonts w:hint="eastAsia" w:ascii="黑体" w:hAnsi="ˎ̥" w:eastAsia="黑体"/>
          <w:b w:val="0"/>
          <w:bCs w:val="0"/>
          <w:color w:val="0D0D0D" w:themeColor="text1" w:themeTint="F2"/>
          <w:sz w:val="32"/>
          <w:szCs w:val="32"/>
          <w:u w:color="000000" w:themeColor="text1"/>
          <w14:textFill>
            <w14:solidFill>
              <w14:schemeClr w14:val="tx1">
                <w14:lumMod w14:val="95000"/>
                <w14:lumOff w14:val="5000"/>
              </w14:schemeClr>
            </w14:solidFill>
          </w14:textFill>
        </w:rPr>
        <w:t>决算</w:t>
      </w:r>
      <w:r>
        <w:rPr>
          <w:rFonts w:hint="eastAsia" w:ascii="黑体" w:hAnsi="ˎ̥" w:eastAsia="黑体"/>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公开</w:t>
      </w:r>
      <w:r>
        <w:rPr>
          <w:rFonts w:hint="eastAsia" w:ascii="黑体" w:hAnsi="ˎ̥" w:eastAsia="黑体"/>
          <w:b w:val="0"/>
          <w:bCs w:val="0"/>
          <w:color w:val="0D0D0D" w:themeColor="text1" w:themeTint="F2"/>
          <w:sz w:val="32"/>
          <w:szCs w:val="32"/>
          <w:u w:color="000000" w:themeColor="text1"/>
          <w14:textFill>
            <w14:solidFill>
              <w14:schemeClr w14:val="tx1">
                <w14:lumMod w14:val="95000"/>
                <w14:lumOff w14:val="5000"/>
              </w14:schemeClr>
            </w14:solidFill>
          </w14:textFill>
        </w:rPr>
        <w:t>报表</w:t>
      </w:r>
      <w:bookmarkEnd w:id="19"/>
      <w:bookmarkEnd w:id="20"/>
      <w:bookmarkEnd w:id="21"/>
      <w:bookmarkEnd w:id="22"/>
      <w:bookmarkEnd w:id="23"/>
      <w:bookmarkEnd w:id="24"/>
    </w:p>
    <w:p>
      <w:pPr>
        <w:ind w:firstLine="645"/>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t>一、</w:t>
      </w:r>
      <w:r>
        <w:rPr>
          <w:rFonts w:hint="eastAsia" w:ascii="黑体" w:hAnsi="黑体" w:eastAsia="黑体" w:cs="黑体"/>
          <w:color w:val="0D0D0D" w:themeColor="text1" w:themeTint="F2"/>
          <w:sz w:val="32"/>
          <w:szCs w:val="32"/>
          <w:u w:color="000000" w:themeColor="text1"/>
          <w14:textFill>
            <w14:solidFill>
              <w14:schemeClr w14:val="tx1">
                <w14:lumMod w14:val="95000"/>
                <w14:lumOff w14:val="5000"/>
              </w14:schemeClr>
            </w14:solidFill>
          </w14:textFill>
        </w:rPr>
        <w:t>收入支出决算</w:t>
      </w:r>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公开表（见正文附件）</w:t>
      </w:r>
      <w:bookmarkEnd w:id="25"/>
      <w:bookmarkEnd w:id="26"/>
      <w:bookmarkEnd w:id="27"/>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w:t>
      </w:r>
      <w:bookmarkEnd w:id="28"/>
      <w:bookmarkEnd w:id="29"/>
      <w:bookmarkEnd w:id="30"/>
    </w:p>
    <w:p>
      <w:pPr>
        <w:ind w:firstLine="645"/>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pPr>
      <w:bookmarkStart w:id="31" w:name="_Toc23139_WPSOffice_Level2"/>
      <w:bookmarkStart w:id="32" w:name="_Toc26621_WPSOffice_Level2"/>
      <w:bookmarkStart w:id="33" w:name="_Toc25608_WPSOffice_Level2"/>
      <w:bookmarkStart w:id="34" w:name="_Toc14349_WPSOffice_Level2"/>
      <w:bookmarkStart w:id="35" w:name="_Toc30334_WPSOffice_Level2"/>
      <w:bookmarkStart w:id="36" w:name="_Toc28622_WPSOffice_Level2"/>
      <w:r>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t>二、</w:t>
      </w:r>
      <w:r>
        <w:rPr>
          <w:rFonts w:hint="eastAsia" w:ascii="黑体" w:hAnsi="黑体" w:eastAsia="黑体" w:cs="黑体"/>
          <w:color w:val="0D0D0D" w:themeColor="text1" w:themeTint="F2"/>
          <w:sz w:val="32"/>
          <w:szCs w:val="32"/>
          <w:u w:color="000000" w:themeColor="text1"/>
          <w14:textFill>
            <w14:solidFill>
              <w14:schemeClr w14:val="tx1">
                <w14:lumMod w14:val="95000"/>
                <w14:lumOff w14:val="5000"/>
              </w14:schemeClr>
            </w14:solidFill>
          </w14:textFill>
        </w:rPr>
        <w:t>收入决算</w:t>
      </w:r>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公开表（见正文附件）</w:t>
      </w:r>
      <w:bookmarkEnd w:id="31"/>
      <w:bookmarkEnd w:id="32"/>
      <w:bookmarkEnd w:id="33"/>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w:t>
      </w:r>
      <w:bookmarkEnd w:id="34"/>
      <w:bookmarkEnd w:id="35"/>
      <w:bookmarkEnd w:id="36"/>
    </w:p>
    <w:p>
      <w:pPr>
        <w:ind w:firstLine="645"/>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pPr>
      <w:bookmarkStart w:id="37" w:name="_Toc17858_WPSOffice_Level2"/>
      <w:bookmarkStart w:id="38" w:name="_Toc17626_WPSOffice_Level2"/>
      <w:bookmarkStart w:id="39" w:name="_Toc3262_WPSOffice_Level2"/>
      <w:bookmarkStart w:id="40" w:name="_Toc13854_WPSOffice_Level2"/>
      <w:bookmarkStart w:id="41" w:name="_Toc14658_WPSOffice_Level2"/>
      <w:bookmarkStart w:id="42" w:name="_Toc5489_WPSOffice_Level2"/>
      <w:r>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t>三、</w:t>
      </w:r>
      <w:r>
        <w:rPr>
          <w:rFonts w:hint="eastAsia" w:ascii="黑体" w:hAnsi="黑体" w:eastAsia="黑体" w:cs="黑体"/>
          <w:color w:val="0D0D0D" w:themeColor="text1" w:themeTint="F2"/>
          <w:sz w:val="32"/>
          <w:szCs w:val="32"/>
          <w:u w:color="000000" w:themeColor="text1"/>
          <w14:textFill>
            <w14:solidFill>
              <w14:schemeClr w14:val="tx1">
                <w14:lumMod w14:val="95000"/>
                <w14:lumOff w14:val="5000"/>
              </w14:schemeClr>
            </w14:solidFill>
          </w14:textFill>
        </w:rPr>
        <w:t>支出决算</w:t>
      </w:r>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公开表（见正文附件）</w:t>
      </w:r>
      <w:bookmarkEnd w:id="37"/>
      <w:bookmarkEnd w:id="38"/>
      <w:bookmarkEnd w:id="39"/>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w:t>
      </w:r>
      <w:bookmarkEnd w:id="40"/>
      <w:bookmarkEnd w:id="41"/>
      <w:bookmarkEnd w:id="42"/>
    </w:p>
    <w:p>
      <w:pPr>
        <w:ind w:firstLine="645"/>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pPr>
      <w:bookmarkStart w:id="43" w:name="_Toc13701_WPSOffice_Level2"/>
      <w:bookmarkStart w:id="44" w:name="_Toc21415_WPSOffice_Level2"/>
      <w:bookmarkStart w:id="45" w:name="_Toc23591_WPSOffice_Level2"/>
      <w:bookmarkStart w:id="46" w:name="_Toc7988_WPSOffice_Level2"/>
      <w:bookmarkStart w:id="47" w:name="_Toc4265_WPSOffice_Level2"/>
      <w:bookmarkStart w:id="48" w:name="_Toc23493_WPSOffice_Level2"/>
      <w:r>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t>四</w:t>
      </w:r>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黑体" w:hAnsi="黑体" w:eastAsia="黑体" w:cs="黑体"/>
          <w:color w:val="0D0D0D" w:themeColor="text1" w:themeTint="F2"/>
          <w:sz w:val="32"/>
          <w:szCs w:val="32"/>
          <w:u w:color="000000" w:themeColor="text1"/>
          <w14:textFill>
            <w14:solidFill>
              <w14:schemeClr w14:val="tx1">
                <w14:lumMod w14:val="95000"/>
                <w14:lumOff w14:val="5000"/>
              </w14:schemeClr>
            </w14:solidFill>
          </w14:textFill>
        </w:rPr>
        <w:t>财政拨款收入支出决算</w:t>
      </w:r>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公开表（见正文附件）</w:t>
      </w:r>
      <w:bookmarkEnd w:id="43"/>
      <w:bookmarkEnd w:id="44"/>
      <w:bookmarkEnd w:id="45"/>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w:t>
      </w:r>
      <w:bookmarkEnd w:id="46"/>
      <w:bookmarkEnd w:id="47"/>
      <w:bookmarkEnd w:id="48"/>
    </w:p>
    <w:p>
      <w:pPr>
        <w:ind w:firstLine="645"/>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pPr>
      <w:bookmarkStart w:id="49" w:name="_Toc7879_WPSOffice_Level2"/>
      <w:bookmarkStart w:id="50" w:name="_Toc22783_WPSOffice_Level2"/>
      <w:bookmarkStart w:id="51" w:name="_Toc23829_WPSOffice_Level2"/>
      <w:bookmarkStart w:id="52" w:name="_Toc25166_WPSOffice_Level2"/>
      <w:bookmarkStart w:id="53" w:name="_Toc2158_WPSOffice_Level2"/>
      <w:bookmarkStart w:id="54" w:name="_Toc13516_WPSOffice_Level2"/>
      <w:r>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t>五、</w:t>
      </w:r>
      <w:r>
        <w:rPr>
          <w:rFonts w:hint="eastAsia" w:ascii="黑体" w:hAnsi="黑体" w:eastAsia="黑体" w:cs="黑体"/>
          <w:color w:val="0D0D0D" w:themeColor="text1" w:themeTint="F2"/>
          <w:sz w:val="32"/>
          <w:szCs w:val="32"/>
          <w:u w:color="000000" w:themeColor="text1"/>
          <w14:textFill>
            <w14:solidFill>
              <w14:schemeClr w14:val="tx1">
                <w14:lumMod w14:val="95000"/>
                <w14:lumOff w14:val="5000"/>
              </w14:schemeClr>
            </w14:solidFill>
          </w14:textFill>
        </w:rPr>
        <w:t>一般公共预算财政拨款收入支出决算</w:t>
      </w:r>
      <w:bookmarkEnd w:id="49"/>
      <w:bookmarkEnd w:id="50"/>
      <w:bookmarkEnd w:id="51"/>
      <w:bookmarkEnd w:id="52"/>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公开表</w:t>
      </w:r>
    </w:p>
    <w:p>
      <w:pPr>
        <w:ind w:firstLine="1302" w:firstLineChars="407"/>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（见正文附件）</w:t>
      </w:r>
      <w:bookmarkEnd w:id="53"/>
      <w:bookmarkEnd w:id="54"/>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w:t>
      </w:r>
    </w:p>
    <w:p>
      <w:pPr>
        <w:ind w:firstLine="645"/>
        <w:rPr>
          <w:rFonts w:hint="eastAsia" w:ascii="黑体" w:hAnsi="黑体" w:eastAsia="黑体" w:cs="黑体"/>
          <w:color w:val="0D0D0D" w:themeColor="text1" w:themeTint="F2"/>
          <w:sz w:val="32"/>
          <w:szCs w:val="32"/>
          <w:u w:color="000000" w:themeColor="text1"/>
          <w14:textFill>
            <w14:solidFill>
              <w14:schemeClr w14:val="tx1">
                <w14:lumMod w14:val="95000"/>
                <w14:lumOff w14:val="5000"/>
              </w14:schemeClr>
            </w14:solidFill>
          </w14:textFill>
        </w:rPr>
      </w:pPr>
      <w:bookmarkStart w:id="55" w:name="_Toc5343_WPSOffice_Level2"/>
      <w:bookmarkStart w:id="56" w:name="_Toc17283_WPSOffice_Level2"/>
      <w:bookmarkStart w:id="57" w:name="_Toc17833_WPSOffice_Level2"/>
      <w:bookmarkStart w:id="58" w:name="_Toc25362_WPSOffice_Level2"/>
      <w:bookmarkStart w:id="59" w:name="_Toc2632_WPSOffice_Level2"/>
      <w:bookmarkStart w:id="60" w:name="_Toc8373_WPSOffice_Level2"/>
      <w:r>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t>六、</w:t>
      </w:r>
      <w:r>
        <w:rPr>
          <w:rFonts w:hint="eastAsia" w:ascii="黑体" w:hAnsi="黑体" w:eastAsia="黑体" w:cs="黑体"/>
          <w:color w:val="0D0D0D" w:themeColor="text1" w:themeTint="F2"/>
          <w:sz w:val="32"/>
          <w:szCs w:val="32"/>
          <w:u w:color="000000" w:themeColor="text1"/>
          <w14:textFill>
            <w14:solidFill>
              <w14:schemeClr w14:val="tx1">
                <w14:lumMod w14:val="95000"/>
                <w14:lumOff w14:val="5000"/>
              </w14:schemeClr>
            </w14:solidFill>
          </w14:textFill>
        </w:rPr>
        <w:t>一般公共预算财政拨款基本支出决算</w:t>
      </w:r>
      <w:bookmarkEnd w:id="55"/>
      <w:bookmarkEnd w:id="56"/>
      <w:bookmarkEnd w:id="57"/>
      <w:bookmarkEnd w:id="58"/>
      <w:bookmarkEnd w:id="59"/>
      <w:bookmarkEnd w:id="60"/>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公开表</w:t>
      </w:r>
    </w:p>
    <w:p>
      <w:pPr>
        <w:ind w:firstLine="1280" w:firstLineChars="400"/>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（见正文附件）。</w:t>
      </w:r>
    </w:p>
    <w:p>
      <w:pPr>
        <w:ind w:left="1118" w:leftChars="304" w:hanging="480" w:hangingChars="150"/>
        <w:rPr>
          <w:rFonts w:hint="eastAsia" w:ascii="黑体" w:hAnsi="黑体" w:eastAsia="黑体" w:cs="黑体"/>
          <w:color w:val="0D0D0D" w:themeColor="text1" w:themeTint="F2"/>
          <w:sz w:val="32"/>
          <w:szCs w:val="32"/>
          <w:u w:color="000000" w:themeColor="text1"/>
          <w14:textFill>
            <w14:solidFill>
              <w14:schemeClr w14:val="tx1">
                <w14:lumMod w14:val="95000"/>
                <w14:lumOff w14:val="5000"/>
              </w14:schemeClr>
            </w14:solidFill>
          </w14:textFill>
        </w:rPr>
      </w:pPr>
      <w:bookmarkStart w:id="61" w:name="_Toc5594_WPSOffice_Level2"/>
      <w:bookmarkStart w:id="62" w:name="_Toc1533_WPSOffice_Level2"/>
      <w:bookmarkStart w:id="63" w:name="_Toc13345_WPSOffice_Level2"/>
      <w:bookmarkStart w:id="64" w:name="_Toc11799_WPSOffice_Level2"/>
      <w:bookmarkStart w:id="65" w:name="_Toc6020_WPSOffice_Level2"/>
      <w:bookmarkStart w:id="66" w:name="_Toc21310_WPSOffice_Level2"/>
      <w:r>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t>七、</w:t>
      </w:r>
      <w:r>
        <w:rPr>
          <w:rFonts w:hint="eastAsia" w:ascii="黑体" w:hAnsi="黑体" w:eastAsia="黑体" w:cs="黑体"/>
          <w:color w:val="0D0D0D" w:themeColor="text1" w:themeTint="F2"/>
          <w:sz w:val="32"/>
          <w:szCs w:val="32"/>
          <w:u w:color="000000" w:themeColor="text1"/>
          <w14:textFill>
            <w14:solidFill>
              <w14:schemeClr w14:val="tx1">
                <w14:lumMod w14:val="95000"/>
                <w14:lumOff w14:val="5000"/>
              </w14:schemeClr>
            </w14:solidFill>
          </w14:textFill>
        </w:rPr>
        <w:t>政府性基金预算财政拨款收入支出决算</w:t>
      </w:r>
      <w:bookmarkEnd w:id="61"/>
      <w:bookmarkEnd w:id="62"/>
      <w:bookmarkEnd w:id="63"/>
      <w:bookmarkEnd w:id="64"/>
      <w:bookmarkEnd w:id="65"/>
      <w:bookmarkEnd w:id="66"/>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公开表</w:t>
      </w:r>
    </w:p>
    <w:p>
      <w:pPr>
        <w:ind w:left="1277" w:leftChars="608" w:firstLine="160" w:firstLineChars="50"/>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（见正文附件）。</w:t>
      </w:r>
    </w:p>
    <w:p>
      <w:pPr>
        <w:ind w:left="1118" w:leftChars="304" w:hanging="480" w:hangingChars="150"/>
        <w:rPr>
          <w:rFonts w:hint="eastAsia" w:ascii="黑体" w:hAnsi="黑体" w:eastAsia="黑体" w:cs="黑体"/>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t>八、</w:t>
      </w:r>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国有资本经营</w:t>
      </w:r>
      <w:r>
        <w:rPr>
          <w:rFonts w:hint="eastAsia" w:ascii="黑体" w:hAnsi="黑体" w:eastAsia="黑体" w:cs="黑体"/>
          <w:color w:val="0D0D0D" w:themeColor="text1" w:themeTint="F2"/>
          <w:sz w:val="32"/>
          <w:szCs w:val="32"/>
          <w:u w:color="000000" w:themeColor="text1"/>
          <w14:textFill>
            <w14:solidFill>
              <w14:schemeClr w14:val="tx1">
                <w14:lumMod w14:val="95000"/>
                <w14:lumOff w14:val="5000"/>
              </w14:schemeClr>
            </w14:solidFill>
          </w14:textFill>
        </w:rPr>
        <w:t>预算财政拨款收入支出决算</w:t>
      </w:r>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公开表</w:t>
      </w:r>
    </w:p>
    <w:p>
      <w:pPr>
        <w:ind w:left="1277" w:leftChars="608" w:firstLine="160" w:firstLineChars="50"/>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（见正文附件）。</w:t>
      </w:r>
    </w:p>
    <w:p>
      <w:pPr>
        <w:numPr>
          <w:ilvl w:val="0"/>
          <w:numId w:val="0"/>
        </w:numPr>
        <w:rPr>
          <w:rFonts w:hint="eastAsia" w:ascii="黑体" w:hAnsi="黑体" w:eastAsia="黑体" w:cs="黑体"/>
          <w:color w:val="0D0D0D" w:themeColor="text1" w:themeTint="F2"/>
          <w:sz w:val="32"/>
          <w:szCs w:val="32"/>
          <w:u w:color="000000" w:themeColor="text1"/>
          <w14:textFill>
            <w14:solidFill>
              <w14:schemeClr w14:val="tx1">
                <w14:lumMod w14:val="95000"/>
                <w14:lumOff w14:val="5000"/>
              </w14:schemeClr>
            </w14:solidFill>
          </w14:textFill>
        </w:rPr>
      </w:pPr>
      <w:bookmarkStart w:id="67" w:name="_Toc29886_WPSOffice_Level2"/>
      <w:bookmarkStart w:id="68" w:name="_Toc19961_WPSOffice_Level2"/>
      <w:bookmarkStart w:id="69" w:name="_Toc1820_WPSOffice_Level2"/>
      <w:bookmarkStart w:id="70" w:name="_Toc9377_WPSOffice_Level2"/>
      <w:r>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九、</w:t>
      </w:r>
      <w:r>
        <w:rPr>
          <w:rFonts w:hint="eastAsia" w:ascii="黑体" w:hAnsi="黑体" w:eastAsia="黑体" w:cs="黑体"/>
          <w:color w:val="0D0D0D" w:themeColor="text1" w:themeTint="F2"/>
          <w:sz w:val="32"/>
          <w:szCs w:val="32"/>
          <w:u w:color="000000" w:themeColor="text1"/>
          <w14:textFill>
            <w14:solidFill>
              <w14:schemeClr w14:val="tx1">
                <w14:lumMod w14:val="95000"/>
                <w14:lumOff w14:val="5000"/>
              </w14:schemeClr>
            </w14:solidFill>
          </w14:textFill>
        </w:rPr>
        <w:t>一般公共预算财政拨款“三公”经费支出决算</w:t>
      </w:r>
    </w:p>
    <w:p>
      <w:pPr>
        <w:numPr>
          <w:ilvl w:val="0"/>
          <w:numId w:val="0"/>
        </w:numPr>
        <w:ind w:firstLine="0" w:firstLineChars="0"/>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w:t>
      </w:r>
      <w:bookmarkEnd w:id="67"/>
      <w:bookmarkEnd w:id="68"/>
      <w:bookmarkEnd w:id="69"/>
      <w:bookmarkEnd w:id="70"/>
      <w:r>
        <w:rPr>
          <w:rFonts w:hint="eastAsia" w:ascii="黑体" w:hAnsi="黑体" w:eastAsia="黑体" w:cs="黑体"/>
          <w:color w:val="0D0D0D" w:themeColor="text1" w:themeTint="F2"/>
          <w:sz w:val="32"/>
          <w:szCs w:val="32"/>
          <w:u w:color="000000" w:themeColor="text1"/>
          <w:lang w:val="en-US" w:eastAsia="zh-CN"/>
          <w14:textFill>
            <w14:solidFill>
              <w14:schemeClr w14:val="tx1">
                <w14:lumMod w14:val="95000"/>
                <w14:lumOff w14:val="5000"/>
              </w14:schemeClr>
            </w14:solidFill>
          </w14:textFill>
        </w:rPr>
        <w:t>公开表</w:t>
      </w:r>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（见正文附件）。</w:t>
      </w:r>
    </w:p>
    <w:p>
      <w:pPr>
        <w:numPr>
          <w:ilvl w:val="0"/>
          <w:numId w:val="0"/>
        </w:numPr>
        <w:rPr>
          <w:rFonts w:hint="eastAsia" w:ascii="黑体" w:hAnsi="黑体" w:eastAsia="黑体" w:cs="黑体"/>
          <w:color w:val="0D0D0D" w:themeColor="text1" w:themeTint="F2"/>
          <w:w w:val="96"/>
          <w:sz w:val="32"/>
          <w:szCs w:val="32"/>
          <w:u w:color="000000" w:themeColor="text1"/>
          <w14:textFill>
            <w14:solidFill>
              <w14:schemeClr w14:val="tx1">
                <w14:lumMod w14:val="95000"/>
                <w14:lumOff w14:val="5000"/>
              </w14:schemeClr>
            </w14:solidFill>
          </w14:textFill>
        </w:rPr>
      </w:pPr>
      <w:r>
        <w:rPr>
          <w:rFonts w:hint="eastAsia" w:ascii="黑体" w:hAnsi="黑体" w:eastAsia="黑体" w:cs="黑体"/>
          <w:color w:val="0D0D0D" w:themeColor="text1" w:themeTint="F2"/>
          <w:w w:val="96"/>
          <w:sz w:val="32"/>
          <w:szCs w:val="32"/>
          <w:u w:color="000000" w:themeColor="text1"/>
          <w:lang w:val="en-US" w:eastAsia="zh-CN"/>
          <w14:textFill>
            <w14:solidFill>
              <w14:schemeClr w14:val="tx1">
                <w14:lumMod w14:val="95000"/>
                <w14:lumOff w14:val="5000"/>
              </w14:schemeClr>
            </w14:solidFill>
          </w14:textFill>
        </w:rPr>
        <w:t xml:space="preserve">    十、</w:t>
      </w:r>
      <w:r>
        <w:rPr>
          <w:rFonts w:hint="eastAsia" w:ascii="黑体" w:hAnsi="黑体" w:eastAsia="黑体" w:cs="黑体"/>
          <w:color w:val="0D0D0D" w:themeColor="text1" w:themeTint="F2"/>
          <w:w w:val="96"/>
          <w:sz w:val="32"/>
          <w:szCs w:val="32"/>
          <w:u w:color="000000" w:themeColor="text1"/>
          <w:lang w:eastAsia="zh-CN"/>
          <w14:textFill>
            <w14:solidFill>
              <w14:schemeClr w14:val="tx1">
                <w14:lumMod w14:val="95000"/>
                <w14:lumOff w14:val="5000"/>
              </w14:schemeClr>
            </w14:solidFill>
          </w14:textFill>
        </w:rPr>
        <w:t>政府性基金</w:t>
      </w:r>
      <w:r>
        <w:rPr>
          <w:rFonts w:hint="eastAsia" w:ascii="黑体" w:hAnsi="黑体" w:eastAsia="黑体" w:cs="黑体"/>
          <w:color w:val="0D0D0D" w:themeColor="text1" w:themeTint="F2"/>
          <w:w w:val="96"/>
          <w:sz w:val="32"/>
          <w:szCs w:val="32"/>
          <w:u w:color="000000" w:themeColor="text1"/>
          <w14:textFill>
            <w14:solidFill>
              <w14:schemeClr w14:val="tx1">
                <w14:lumMod w14:val="95000"/>
                <w14:lumOff w14:val="5000"/>
              </w14:schemeClr>
            </w14:solidFill>
          </w14:textFill>
        </w:rPr>
        <w:t>预算财政拨款“三公”经费支出决算</w:t>
      </w:r>
    </w:p>
    <w:p>
      <w:pPr>
        <w:numPr>
          <w:ilvl w:val="0"/>
          <w:numId w:val="0"/>
        </w:numPr>
        <w:ind w:firstLine="0" w:firstLineChars="0"/>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color w:val="0D0D0D" w:themeColor="text1" w:themeTint="F2"/>
          <w:w w:val="96"/>
          <w:sz w:val="32"/>
          <w:szCs w:val="32"/>
          <w:u w:color="000000" w:themeColor="text1"/>
          <w:lang w:val="en-US" w:eastAsia="zh-CN"/>
          <w14:textFill>
            <w14:solidFill>
              <w14:schemeClr w14:val="tx1">
                <w14:lumMod w14:val="95000"/>
                <w14:lumOff w14:val="5000"/>
              </w14:schemeClr>
            </w14:solidFill>
          </w14:textFill>
        </w:rPr>
        <w:t xml:space="preserve">          </w:t>
      </w:r>
      <w:r>
        <w:rPr>
          <w:rFonts w:hint="eastAsia" w:ascii="黑体" w:hAnsi="黑体" w:eastAsia="黑体" w:cs="黑体"/>
          <w:color w:val="0D0D0D" w:themeColor="text1" w:themeTint="F2"/>
          <w:w w:val="96"/>
          <w:sz w:val="32"/>
          <w:szCs w:val="32"/>
          <w:u w:color="000000" w:themeColor="text1"/>
          <w:lang w:eastAsia="zh-CN"/>
          <w14:textFill>
            <w14:solidFill>
              <w14:schemeClr w14:val="tx1">
                <w14:lumMod w14:val="95000"/>
                <w14:lumOff w14:val="5000"/>
              </w14:schemeClr>
            </w14:solidFill>
          </w14:textFill>
        </w:rPr>
        <w:t>公开表</w:t>
      </w:r>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（见正文附件）。</w:t>
      </w:r>
    </w:p>
    <w:p>
      <w:pPr>
        <w:numPr>
          <w:ilvl w:val="0"/>
          <w:numId w:val="0"/>
        </w:numPr>
        <w:rPr>
          <w:rFonts w:hint="eastAsia" w:ascii="黑体" w:hAnsi="黑体" w:eastAsia="黑体" w:cs="黑体"/>
          <w:color w:val="0D0D0D" w:themeColor="text1" w:themeTint="F2"/>
          <w:w w:val="96"/>
          <w:sz w:val="32"/>
          <w:szCs w:val="32"/>
          <w:u w:color="000000" w:themeColor="text1"/>
          <w14:textFill>
            <w14:solidFill>
              <w14:schemeClr w14:val="tx1">
                <w14:lumMod w14:val="95000"/>
                <w14:lumOff w14:val="5000"/>
              </w14:schemeClr>
            </w14:solidFill>
          </w14:textFill>
        </w:rPr>
      </w:pPr>
      <w:r>
        <w:rPr>
          <w:rFonts w:hint="eastAsia" w:ascii="黑体" w:hAnsi="黑体" w:eastAsia="黑体" w:cs="黑体"/>
          <w:color w:val="0D0D0D" w:themeColor="text1" w:themeTint="F2"/>
          <w:w w:val="96"/>
          <w:sz w:val="32"/>
          <w:szCs w:val="32"/>
          <w:u w:color="000000" w:themeColor="text1"/>
          <w:lang w:val="en-US" w:eastAsia="zh-CN"/>
          <w14:textFill>
            <w14:solidFill>
              <w14:schemeClr w14:val="tx1">
                <w14:lumMod w14:val="95000"/>
                <w14:lumOff w14:val="5000"/>
              </w14:schemeClr>
            </w14:solidFill>
          </w14:textFill>
        </w:rPr>
        <w:t xml:space="preserve">    十一、</w:t>
      </w:r>
      <w:r>
        <w:rPr>
          <w:rFonts w:hint="eastAsia" w:ascii="黑体" w:hAnsi="黑体" w:eastAsia="黑体" w:cs="黑体"/>
          <w:color w:val="0D0D0D" w:themeColor="text1" w:themeTint="F2"/>
          <w:w w:val="96"/>
          <w:sz w:val="32"/>
          <w:szCs w:val="32"/>
          <w:u w:color="000000" w:themeColor="text1"/>
          <w:lang w:eastAsia="zh-CN"/>
          <w14:textFill>
            <w14:solidFill>
              <w14:schemeClr w14:val="tx1">
                <w14:lumMod w14:val="95000"/>
                <w14:lumOff w14:val="5000"/>
              </w14:schemeClr>
            </w14:solidFill>
          </w14:textFill>
        </w:rPr>
        <w:t>国有资本经营</w:t>
      </w:r>
      <w:r>
        <w:rPr>
          <w:rFonts w:hint="eastAsia" w:ascii="黑体" w:hAnsi="黑体" w:eastAsia="黑体" w:cs="黑体"/>
          <w:color w:val="0D0D0D" w:themeColor="text1" w:themeTint="F2"/>
          <w:w w:val="96"/>
          <w:sz w:val="32"/>
          <w:szCs w:val="32"/>
          <w:u w:color="000000" w:themeColor="text1"/>
          <w14:textFill>
            <w14:solidFill>
              <w14:schemeClr w14:val="tx1">
                <w14:lumMod w14:val="95000"/>
                <w14:lumOff w14:val="5000"/>
              </w14:schemeClr>
            </w14:solidFill>
          </w14:textFill>
        </w:rPr>
        <w:t>预算财政拨款“三公”经费支出决算</w:t>
      </w:r>
    </w:p>
    <w:p>
      <w:pPr>
        <w:numPr>
          <w:ilvl w:val="0"/>
          <w:numId w:val="0"/>
        </w:numPr>
        <w:ind w:firstLine="0" w:firstLineChars="0"/>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color w:val="0D0D0D" w:themeColor="text1" w:themeTint="F2"/>
          <w:w w:val="96"/>
          <w:sz w:val="32"/>
          <w:szCs w:val="32"/>
          <w:u w:color="000000" w:themeColor="text1"/>
          <w:lang w:val="en-US" w:eastAsia="zh-CN"/>
          <w14:textFill>
            <w14:solidFill>
              <w14:schemeClr w14:val="tx1">
                <w14:lumMod w14:val="95000"/>
                <w14:lumOff w14:val="5000"/>
              </w14:schemeClr>
            </w14:solidFill>
          </w14:textFill>
        </w:rPr>
        <w:t xml:space="preserve">          </w:t>
      </w:r>
      <w:r>
        <w:rPr>
          <w:rFonts w:hint="eastAsia" w:ascii="黑体" w:hAnsi="黑体" w:eastAsia="黑体" w:cs="黑体"/>
          <w:color w:val="0D0D0D" w:themeColor="text1" w:themeTint="F2"/>
          <w:w w:val="96"/>
          <w:sz w:val="32"/>
          <w:szCs w:val="32"/>
          <w:u w:color="000000" w:themeColor="text1"/>
          <w:lang w:eastAsia="zh-CN"/>
          <w14:textFill>
            <w14:solidFill>
              <w14:schemeClr w14:val="tx1">
                <w14:lumMod w14:val="95000"/>
                <w14:lumOff w14:val="5000"/>
              </w14:schemeClr>
            </w14:solidFill>
          </w14:textFill>
        </w:rPr>
        <w:t>公开表</w:t>
      </w:r>
      <w:r>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t>（见正文附件）。</w:t>
      </w:r>
    </w:p>
    <w:p>
      <w:pPr>
        <w:jc w:val="center"/>
        <w:rPr>
          <w:rFonts w:hint="eastAsia" w:ascii="黑体" w:hAnsi="ˎ̥" w:eastAsia="黑体"/>
          <w:color w:val="0D0D0D" w:themeColor="text1" w:themeTint="F2"/>
          <w:sz w:val="32"/>
          <w:szCs w:val="32"/>
          <w:u w:color="000000" w:themeColor="text1"/>
          <w14:textFill>
            <w14:solidFill>
              <w14:schemeClr w14:val="tx1">
                <w14:lumMod w14:val="95000"/>
                <w14:lumOff w14:val="5000"/>
              </w14:schemeClr>
            </w14:solidFill>
          </w14:textFill>
        </w:rPr>
      </w:pPr>
      <w:bookmarkStart w:id="71" w:name="_Toc31264_WPSOffice_Level1"/>
      <w:bookmarkStart w:id="72" w:name="_Toc16686_WPSOffice_Level1"/>
      <w:bookmarkStart w:id="73" w:name="_Toc29683_WPSOffice_Level1"/>
      <w:bookmarkStart w:id="74" w:name="_Toc27590_WPSOffice_Level1"/>
      <w:bookmarkStart w:id="75" w:name="_Toc28629_WPSOffice_Level1"/>
      <w:bookmarkStart w:id="76" w:name="_Toc4402_WPSOffice_Level1"/>
      <w:r>
        <w:rPr>
          <w:rFonts w:hint="eastAsia" w:ascii="黑体" w:hAnsi="ˎ̥" w:eastAsia="黑体"/>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第三部分</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三亚市</w:t>
      </w:r>
      <w:r>
        <w:rPr>
          <w:rFonts w:hint="eastAsia" w:ascii="黑体" w:hAnsi="ˎ̥" w:eastAsia="黑体"/>
          <w:color w:val="0D0D0D" w:themeColor="text1" w:themeTint="F2"/>
          <w:sz w:val="32"/>
          <w:szCs w:val="32"/>
          <w:u w:val="none" w:color="000000" w:themeColor="text1"/>
          <w:lang w:val="en-US" w:eastAsia="zh-CN"/>
          <w14:textFill>
            <w14:solidFill>
              <w14:schemeClr w14:val="tx1">
                <w14:lumMod w14:val="95000"/>
                <w14:lumOff w14:val="5000"/>
              </w14:schemeClr>
            </w14:solidFill>
          </w14:textFill>
        </w:rPr>
        <w:t>天涯区第三</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幼儿园</w:t>
      </w:r>
      <w:r>
        <w:rPr>
          <w:rFonts w:hint="eastAsia" w:ascii="黑体" w:hAnsi="ˎ̥" w:eastAsia="黑体"/>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黑体" w:hAnsi="ˎ̥" w:eastAsia="黑体"/>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黑体" w:hAnsi="ˎ̥" w:eastAsia="黑体"/>
          <w:b w:val="0"/>
          <w:bCs w:val="0"/>
          <w:color w:val="0D0D0D" w:themeColor="text1" w:themeTint="F2"/>
          <w:sz w:val="32"/>
          <w:szCs w:val="32"/>
          <w:u w:color="000000" w:themeColor="text1"/>
          <w:lang w:val="en-US" w:eastAsia="zh-CN"/>
          <w14:textFill>
            <w14:solidFill>
              <w14:schemeClr w14:val="tx1">
                <w14:lumMod w14:val="95000"/>
                <w14:lumOff w14:val="5000"/>
              </w14:schemeClr>
            </w14:solidFill>
          </w14:textFill>
        </w:rPr>
        <w:t>单位</w:t>
      </w:r>
      <w:r>
        <w:rPr>
          <w:rFonts w:hint="eastAsia" w:ascii="黑体" w:hAnsi="ˎ̥" w:eastAsia="黑体"/>
          <w:b w:val="0"/>
          <w:bCs w:val="0"/>
          <w:color w:val="0D0D0D" w:themeColor="text1" w:themeTint="F2"/>
          <w:sz w:val="32"/>
          <w:szCs w:val="32"/>
          <w:u w:color="000000" w:themeColor="text1"/>
          <w14:textFill>
            <w14:solidFill>
              <w14:schemeClr w14:val="tx1">
                <w14:lumMod w14:val="95000"/>
                <w14:lumOff w14:val="5000"/>
              </w14:schemeClr>
            </w14:solidFill>
          </w14:textFill>
        </w:rPr>
        <w:t>决算情况说明</w:t>
      </w:r>
      <w:bookmarkEnd w:id="71"/>
      <w:bookmarkEnd w:id="72"/>
      <w:bookmarkEnd w:id="73"/>
      <w:bookmarkEnd w:id="74"/>
      <w:bookmarkEnd w:id="75"/>
      <w:bookmarkEnd w:id="76"/>
    </w:p>
    <w:p>
      <w:pPr>
        <w:numPr>
          <w:ilvl w:val="0"/>
          <w:numId w:val="0"/>
        </w:numPr>
        <w:ind w:firstLine="640" w:firstLineChars="200"/>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t>一、</w:t>
      </w:r>
      <w:r>
        <w:rPr>
          <w:rFonts w:hint="eastAsia" w:ascii="黑体" w:hAnsi="黑体" w:eastAsia="黑体" w:cs="黑体"/>
          <w:b w:val="0"/>
          <w:bCs/>
          <w:color w:val="0D0D0D" w:themeColor="text1" w:themeTint="F2"/>
          <w:sz w:val="32"/>
          <w:szCs w:val="32"/>
          <w:u w:color="000000" w:themeColor="text1"/>
          <w14:textFill>
            <w14:solidFill>
              <w14:schemeClr w14:val="tx1">
                <w14:lumMod w14:val="95000"/>
                <w14:lumOff w14:val="5000"/>
              </w14:schemeClr>
            </w14:solidFill>
          </w14:textFill>
        </w:rPr>
        <w:t>收入支出决算总体情况说明</w:t>
      </w:r>
    </w:p>
    <w:p>
      <w:pPr>
        <w:numPr>
          <w:ilvl w:val="0"/>
          <w:numId w:val="0"/>
        </w:numPr>
        <w:ind w:firstLine="640" w:firstLineChars="200"/>
        <w:rPr>
          <w:rFonts w:hint="eastAsia" w:ascii="仿宋_GB2312" w:hAnsi="ˎ̥" w:eastAsia="仿宋_GB2312"/>
          <w:color w:val="0D0D0D" w:themeColor="text1" w:themeTint="F2"/>
          <w:sz w:val="32"/>
          <w:szCs w:val="32"/>
          <w:highlight w:val="yellow"/>
          <w:u w:color="000000" w:themeColor="text1"/>
          <w:lang w:val="en-US"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收入总计621.49</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支出总计</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621.49</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万元，</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与</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21</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比</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收入减少15.5%，支出减少15.5%</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r>
        <w:rPr>
          <w:rFonts w:hint="eastAsia" w:ascii="仿宋_GB2312" w:hAnsi="ˎ̥" w:eastAsia="仿宋_GB2312"/>
          <w:color w:val="auto"/>
          <w:sz w:val="32"/>
          <w:szCs w:val="32"/>
          <w:u w:color="000000" w:themeColor="text1"/>
        </w:rPr>
        <w:t>主要原因：</w:t>
      </w:r>
      <w:r>
        <w:rPr>
          <w:rFonts w:hint="eastAsia" w:ascii="仿宋_GB2312" w:hAnsi="ˎ̥" w:eastAsia="仿宋_GB2312"/>
          <w:color w:val="auto"/>
          <w:sz w:val="32"/>
          <w:szCs w:val="32"/>
          <w:u w:color="000000" w:themeColor="text1"/>
          <w:lang w:val="en-US" w:eastAsia="zh-CN"/>
        </w:rPr>
        <w:t>2022年受疫情影响，春季学期4月份停课，秋季学期10月份开学，12月19日放寒假，幼儿园开课时间有所减少，故收入和支出相对2021年有所减少。</w:t>
      </w:r>
    </w:p>
    <w:p>
      <w:pPr>
        <w:numPr>
          <w:ilvl w:val="0"/>
          <w:numId w:val="0"/>
        </w:numPr>
        <w:ind w:firstLine="640" w:firstLineChars="200"/>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t>二、</w:t>
      </w:r>
      <w:r>
        <w:rPr>
          <w:rFonts w:hint="eastAsia" w:ascii="黑体" w:hAnsi="黑体" w:eastAsia="黑体" w:cs="黑体"/>
          <w:b w:val="0"/>
          <w:bCs/>
          <w:color w:val="0D0D0D" w:themeColor="text1" w:themeTint="F2"/>
          <w:sz w:val="32"/>
          <w:szCs w:val="32"/>
          <w:u w:color="000000" w:themeColor="text1"/>
          <w14:textFill>
            <w14:solidFill>
              <w14:schemeClr w14:val="tx1">
                <w14:lumMod w14:val="95000"/>
                <w14:lumOff w14:val="5000"/>
              </w14:schemeClr>
            </w14:solidFill>
          </w14:textFill>
        </w:rPr>
        <w:t>收入决算情况说明</w:t>
      </w:r>
    </w:p>
    <w:p>
      <w:pPr>
        <w:numPr>
          <w:ilvl w:val="0"/>
          <w:numId w:val="0"/>
        </w:numPr>
        <w:ind w:firstLine="640" w:firstLineChars="200"/>
        <w:rPr>
          <w:rFonts w:hint="default"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本年收入合计</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621.49</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万元，其中：财政拨款收入</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603.5</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97.1</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%；上级补助收入</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%；事业收入</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%；经营收入</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%；附属单位上缴收入</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%；其他收入</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17.98</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2.9%。</w:t>
      </w:r>
    </w:p>
    <w:p>
      <w:pPr>
        <w:ind w:firstLine="627" w:firstLineChars="196"/>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t>三、</w:t>
      </w:r>
      <w:r>
        <w:rPr>
          <w:rFonts w:hint="eastAsia" w:ascii="黑体" w:hAnsi="黑体" w:eastAsia="黑体" w:cs="黑体"/>
          <w:b w:val="0"/>
          <w:bCs/>
          <w:color w:val="0D0D0D" w:themeColor="text1" w:themeTint="F2"/>
          <w:sz w:val="32"/>
          <w:szCs w:val="32"/>
          <w:u w:color="000000" w:themeColor="text1"/>
          <w14:textFill>
            <w14:solidFill>
              <w14:schemeClr w14:val="tx1">
                <w14:lumMod w14:val="95000"/>
                <w14:lumOff w14:val="5000"/>
              </w14:schemeClr>
            </w14:solidFill>
          </w14:textFill>
        </w:rPr>
        <w:t>支出决算情况说明</w:t>
      </w:r>
    </w:p>
    <w:p>
      <w:pPr>
        <w:ind w:firstLine="640" w:firstLineChars="200"/>
        <w:rPr>
          <w:rFonts w:hint="eastAsia" w:ascii="仿宋_GB2312" w:hAnsi="ˎ̥" w:eastAsia="仿宋_GB2312"/>
          <w:color w:val="0D0D0D" w:themeColor="text1" w:themeTint="F2"/>
          <w:sz w:val="32"/>
          <w:szCs w:val="32"/>
          <w:highlight w:val="yellow"/>
          <w:u w:color="000000" w:themeColor="text1"/>
          <w:lang w:val="en-US"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本年支出合计</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621.49</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万元，其中：基本支出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55.44</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9</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%；项目支出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566.04</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91</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%；上缴上级支出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%；对附属单位补助支出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27" w:firstLineChars="196"/>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t>四、</w:t>
      </w:r>
      <w:r>
        <w:rPr>
          <w:rFonts w:hint="eastAsia" w:ascii="黑体" w:hAnsi="黑体" w:eastAsia="黑体" w:cs="黑体"/>
          <w:b w:val="0"/>
          <w:bCs/>
          <w:color w:val="0D0D0D" w:themeColor="text1" w:themeTint="F2"/>
          <w:sz w:val="32"/>
          <w:szCs w:val="32"/>
          <w:u w:color="000000" w:themeColor="text1"/>
          <w14:textFill>
            <w14:solidFill>
              <w14:schemeClr w14:val="tx1">
                <w14:lumMod w14:val="95000"/>
                <w14:lumOff w14:val="5000"/>
              </w14:schemeClr>
            </w14:solidFill>
          </w14:textFill>
        </w:rPr>
        <w:t>财政拨款收入支出决算总体情况说明</w:t>
      </w:r>
    </w:p>
    <w:p>
      <w:pPr>
        <w:numPr>
          <w:ilvl w:val="0"/>
          <w:numId w:val="0"/>
        </w:numPr>
        <w:ind w:firstLine="640" w:firstLineChars="200"/>
        <w:rPr>
          <w:rFonts w:hint="eastAsia" w:ascii="仿宋_GB2312" w:hAnsi="ˎ̥" w:eastAsia="仿宋_GB2312"/>
          <w:color w:val="FF0000"/>
          <w:sz w:val="32"/>
          <w:szCs w:val="32"/>
          <w:u w:color="000000" w:themeColor="text1"/>
          <w:lang w:eastAsia="zh-CN"/>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财政拨款收入</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总计</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603.5</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万元，</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支出总计   603.5</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与</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21</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比，财政拨款收入</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支出总计各减少292.01</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减少48.39</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r>
        <w:rPr>
          <w:rFonts w:hint="eastAsia" w:ascii="仿宋_GB2312" w:hAnsi="ˎ̥" w:eastAsia="仿宋_GB2312"/>
          <w:color w:val="auto"/>
          <w:sz w:val="32"/>
          <w:szCs w:val="32"/>
          <w:u w:color="000000" w:themeColor="text1"/>
        </w:rPr>
        <w:t>主要原因：</w:t>
      </w:r>
      <w:r>
        <w:rPr>
          <w:rFonts w:hint="eastAsia" w:ascii="仿宋_GB2312" w:hAnsi="ˎ̥" w:eastAsia="仿宋_GB2312"/>
          <w:color w:val="auto"/>
          <w:sz w:val="32"/>
          <w:szCs w:val="32"/>
          <w:u w:color="000000" w:themeColor="text1"/>
          <w:lang w:val="en-US" w:eastAsia="zh-CN"/>
        </w:rPr>
        <w:t>2022年受疫情影响，春季学期4月份停课，秋季学期10月份开学，12月19日放寒假，幼儿园开课时间有所减少，故收入和支出相对2021年有所减少。</w:t>
      </w:r>
    </w:p>
    <w:p>
      <w:pPr>
        <w:ind w:firstLine="640" w:firstLineChars="200"/>
        <w:rPr>
          <w:rFonts w:hint="eastAsia" w:ascii="仿宋_GB2312" w:hAnsi="ˎ̥" w:eastAsia="仿宋_GB2312"/>
          <w:color w:val="auto"/>
          <w:sz w:val="32"/>
          <w:szCs w:val="32"/>
          <w:highlight w:val="yellow"/>
          <w:u w:color="000000" w:themeColor="text1"/>
          <w:lang w:val="en-US" w:eastAsia="zh-CN"/>
        </w:rPr>
      </w:pPr>
      <w:r>
        <w:rPr>
          <w:rFonts w:hint="eastAsia" w:ascii="仿宋_GB2312" w:hAnsi="ˎ̥" w:eastAsia="仿宋_GB2312"/>
          <w:color w:val="auto"/>
          <w:sz w:val="32"/>
          <w:szCs w:val="32"/>
          <w:u w:color="000000" w:themeColor="text1"/>
          <w:lang w:eastAsia="zh-CN"/>
        </w:rPr>
        <w:t>财政拨款年末结转结余</w:t>
      </w:r>
      <w:r>
        <w:rPr>
          <w:rFonts w:hint="eastAsia" w:ascii="仿宋_GB2312" w:hAnsi="ˎ̥" w:eastAsia="仿宋_GB2312"/>
          <w:color w:val="auto"/>
          <w:sz w:val="32"/>
          <w:szCs w:val="32"/>
          <w:u w:color="000000" w:themeColor="text1"/>
          <w:lang w:val="en-US" w:eastAsia="zh-CN"/>
        </w:rPr>
        <w:t>0</w:t>
      </w:r>
      <w:r>
        <w:rPr>
          <w:rFonts w:hint="eastAsia" w:ascii="仿宋_GB2312" w:hAnsi="ˎ̥" w:eastAsia="仿宋_GB2312"/>
          <w:color w:val="auto"/>
          <w:sz w:val="32"/>
          <w:szCs w:val="32"/>
          <w:u w:color="000000" w:themeColor="text1"/>
        </w:rPr>
        <w:t>万元</w:t>
      </w:r>
      <w:r>
        <w:rPr>
          <w:rFonts w:hint="eastAsia" w:ascii="仿宋_GB2312" w:hAnsi="ˎ̥" w:eastAsia="仿宋_GB2312"/>
          <w:color w:val="auto"/>
          <w:sz w:val="32"/>
          <w:szCs w:val="32"/>
          <w:u w:color="000000" w:themeColor="text1"/>
          <w:lang w:eastAsia="zh-CN"/>
        </w:rPr>
        <w:t>，较</w:t>
      </w:r>
      <w:r>
        <w:rPr>
          <w:rFonts w:hint="eastAsia" w:ascii="仿宋_GB2312" w:hAnsi="ˎ̥" w:eastAsia="仿宋_GB2312"/>
          <w:color w:val="auto"/>
          <w:sz w:val="32"/>
          <w:szCs w:val="32"/>
          <w:u w:color="000000" w:themeColor="text1"/>
          <w:lang w:val="en-US" w:eastAsia="zh-CN"/>
        </w:rPr>
        <w:t>2021年度年末决算数减少0</w:t>
      </w:r>
      <w:r>
        <w:rPr>
          <w:rFonts w:hint="eastAsia" w:ascii="仿宋_GB2312" w:hAnsi="ˎ̥" w:eastAsia="仿宋_GB2312"/>
          <w:color w:val="auto"/>
          <w:sz w:val="32"/>
          <w:szCs w:val="32"/>
          <w:u w:color="000000" w:themeColor="text1"/>
        </w:rPr>
        <w:t>万元</w:t>
      </w:r>
      <w:r>
        <w:rPr>
          <w:rFonts w:hint="eastAsia" w:ascii="仿宋_GB2312" w:hAnsi="ˎ̥" w:eastAsia="仿宋_GB2312"/>
          <w:color w:val="auto"/>
          <w:sz w:val="32"/>
          <w:szCs w:val="32"/>
          <w:u w:color="000000" w:themeColor="text1"/>
          <w:lang w:eastAsia="zh-CN"/>
        </w:rPr>
        <w:t>，</w:t>
      </w:r>
      <w:r>
        <w:rPr>
          <w:rFonts w:hint="eastAsia" w:ascii="仿宋_GB2312" w:hAnsi="ˎ̥" w:eastAsia="仿宋_GB2312"/>
          <w:color w:val="auto"/>
          <w:sz w:val="32"/>
          <w:szCs w:val="32"/>
          <w:u w:color="000000" w:themeColor="text1"/>
        </w:rPr>
        <w:t>下降</w:t>
      </w:r>
      <w:r>
        <w:rPr>
          <w:rFonts w:hint="eastAsia" w:ascii="仿宋_GB2312" w:hAnsi="ˎ̥" w:eastAsia="仿宋_GB2312"/>
          <w:color w:val="auto"/>
          <w:sz w:val="32"/>
          <w:szCs w:val="32"/>
          <w:u w:color="000000" w:themeColor="text1"/>
          <w:lang w:val="en-US" w:eastAsia="zh-CN"/>
        </w:rPr>
        <w:t>0</w:t>
      </w:r>
      <w:r>
        <w:rPr>
          <w:rFonts w:hint="eastAsia" w:ascii="仿宋_GB2312" w:hAnsi="ˎ̥" w:eastAsia="仿宋_GB2312"/>
          <w:color w:val="auto"/>
          <w:sz w:val="32"/>
          <w:szCs w:val="32"/>
          <w:u w:color="000000" w:themeColor="text1"/>
        </w:rPr>
        <w:t>%</w:t>
      </w:r>
      <w:r>
        <w:rPr>
          <w:rFonts w:hint="eastAsia" w:ascii="仿宋_GB2312" w:hAnsi="ˎ̥" w:eastAsia="仿宋_GB2312"/>
          <w:color w:val="auto"/>
          <w:sz w:val="32"/>
          <w:szCs w:val="32"/>
          <w:u w:color="000000" w:themeColor="text1"/>
          <w:lang w:eastAsia="zh-CN"/>
        </w:rPr>
        <w:t>。</w:t>
      </w:r>
    </w:p>
    <w:p>
      <w:pPr>
        <w:ind w:firstLine="627" w:firstLineChars="196"/>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t>五、</w:t>
      </w:r>
      <w:r>
        <w:rPr>
          <w:rFonts w:hint="eastAsia" w:ascii="黑体" w:hAnsi="黑体" w:eastAsia="黑体" w:cs="黑体"/>
          <w:b w:val="0"/>
          <w:bCs/>
          <w:color w:val="0D0D0D" w:themeColor="text1" w:themeTint="F2"/>
          <w:sz w:val="32"/>
          <w:szCs w:val="32"/>
          <w:u w:color="000000" w:themeColor="text1"/>
          <w14:textFill>
            <w14:solidFill>
              <w14:schemeClr w14:val="tx1">
                <w14:lumMod w14:val="95000"/>
                <w14:lumOff w14:val="5000"/>
              </w14:schemeClr>
            </w14:solidFill>
          </w14:textFill>
        </w:rPr>
        <w:t>一般公共预算财政拨款支出决算情况说明</w:t>
      </w:r>
    </w:p>
    <w:p>
      <w:pPr>
        <w:ind w:firstLine="640" w:firstLineChars="200"/>
        <w:rPr>
          <w:rFonts w:hint="eastAsia" w:ascii="楷体" w:hAnsi="楷体" w:eastAsia="楷体" w:cs="楷体"/>
          <w:color w:val="0D0D0D" w:themeColor="text1" w:themeTint="F2"/>
          <w:sz w:val="32"/>
          <w:szCs w:val="32"/>
          <w:u w:color="000000" w:themeColor="text1"/>
          <w:lang w:eastAsia="zh-CN"/>
          <w14:textFill>
            <w14:solidFill>
              <w14:schemeClr w14:val="tx1">
                <w14:lumMod w14:val="95000"/>
                <w14:lumOff w14:val="5000"/>
              </w14:schemeClr>
            </w14:solidFill>
          </w14:textFill>
        </w:rPr>
      </w:pPr>
      <w:bookmarkStart w:id="77" w:name="_Toc13694_WPSOffice_Level2"/>
      <w:bookmarkStart w:id="78" w:name="_Toc17398_WPSOffice_Level2"/>
      <w:bookmarkStart w:id="79" w:name="_Toc9989_WPSOffice_Level2"/>
      <w:bookmarkStart w:id="80" w:name="_Toc23005_WPSOffice_Level2"/>
      <w:bookmarkStart w:id="81" w:name="_Toc19665_WPSOffice_Level2"/>
      <w:bookmarkStart w:id="82" w:name="_Toc21737_WPSOffice_Level2"/>
      <w:r>
        <w:rPr>
          <w:rFonts w:hint="eastAsia" w:ascii="楷体" w:hAnsi="楷体" w:eastAsia="楷体" w:cs="楷体"/>
          <w:color w:val="0D0D0D" w:themeColor="text1" w:themeTint="F2"/>
          <w:sz w:val="32"/>
          <w:szCs w:val="32"/>
          <w:u w:color="000000" w:themeColor="text1"/>
          <w:lang w:val="en-US" w:eastAsia="zh-CN"/>
          <w14:textFill>
            <w14:solidFill>
              <w14:schemeClr w14:val="tx1">
                <w14:lumMod w14:val="95000"/>
                <w14:lumOff w14:val="5000"/>
              </w14:schemeClr>
            </w14:solidFill>
          </w14:textFill>
        </w:rPr>
        <w:t>（一）</w:t>
      </w:r>
      <w:r>
        <w:rPr>
          <w:rFonts w:hint="eastAsia" w:ascii="楷体" w:hAnsi="楷体" w:eastAsia="楷体" w:cs="楷体"/>
          <w:color w:val="0D0D0D" w:themeColor="text1" w:themeTint="F2"/>
          <w:sz w:val="32"/>
          <w:szCs w:val="32"/>
          <w:u w:color="000000" w:themeColor="text1"/>
          <w14:textFill>
            <w14:solidFill>
              <w14:schemeClr w14:val="tx1">
                <w14:lumMod w14:val="95000"/>
                <w14:lumOff w14:val="5000"/>
              </w14:schemeClr>
            </w14:solidFill>
          </w14:textFill>
        </w:rPr>
        <w:t>一般公共预算财政拨款支出决算总体情况</w:t>
      </w:r>
      <w:bookmarkEnd w:id="77"/>
      <w:bookmarkEnd w:id="78"/>
      <w:r>
        <w:rPr>
          <w:rFonts w:hint="eastAsia" w:ascii="楷体" w:hAnsi="楷体" w:eastAsia="楷体" w:cs="楷体"/>
          <w:color w:val="0D0D0D" w:themeColor="text1" w:themeTint="F2"/>
          <w:sz w:val="32"/>
          <w:szCs w:val="32"/>
          <w:u w:color="000000" w:themeColor="text1"/>
          <w:lang w:eastAsia="zh-CN"/>
          <w14:textFill>
            <w14:solidFill>
              <w14:schemeClr w14:val="tx1">
                <w14:lumMod w14:val="95000"/>
                <w14:lumOff w14:val="5000"/>
              </w14:schemeClr>
            </w14:solidFill>
          </w14:textFill>
        </w:rPr>
        <w:t>。</w:t>
      </w:r>
      <w:bookmarkEnd w:id="79"/>
      <w:bookmarkEnd w:id="80"/>
      <w:bookmarkEnd w:id="81"/>
      <w:bookmarkEnd w:id="82"/>
    </w:p>
    <w:p>
      <w:pPr>
        <w:ind w:firstLine="640" w:firstLineChars="200"/>
        <w:rPr>
          <w:rFonts w:hint="eastAsia" w:ascii="仿宋_GB2312" w:hAnsi="黑体" w:eastAsia="仿宋_GB2312"/>
          <w:sz w:val="32"/>
          <w:szCs w:val="32"/>
          <w:lang w:val="en-US" w:eastAsia="zh-CN"/>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一般公共预算财政拨款支出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603.5</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万元，占本年支出合计的</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97.11</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%。与</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21</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相比，</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一般公共预算</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财政拨款支出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减少292.01</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减少48.39</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_GB2312" w:hAnsi="黑体" w:eastAsia="仿宋_GB2312"/>
          <w:sz w:val="32"/>
          <w:szCs w:val="32"/>
        </w:rPr>
        <w:t>主要是</w:t>
      </w:r>
      <w:bookmarkStart w:id="83" w:name="_Toc2711_WPSOffice_Level2"/>
      <w:bookmarkStart w:id="84" w:name="_Toc18793_WPSOffice_Level2"/>
      <w:bookmarkStart w:id="85" w:name="_Toc23864_WPSOffice_Level2"/>
      <w:bookmarkStart w:id="86" w:name="_Toc27767_WPSOffice_Level2"/>
      <w:bookmarkStart w:id="87" w:name="_Toc19075_WPSOffice_Level2"/>
      <w:bookmarkStart w:id="88" w:name="_Toc19535_WPSOffice_Level2"/>
      <w:r>
        <w:rPr>
          <w:rFonts w:hint="eastAsia" w:ascii="仿宋_GB2312" w:hAnsi="黑体" w:eastAsia="仿宋_GB2312"/>
          <w:sz w:val="32"/>
          <w:szCs w:val="32"/>
          <w:lang w:val="en-US" w:eastAsia="zh-CN"/>
        </w:rPr>
        <w:t>2022年受疫情影响，收入和支出有所减少。</w:t>
      </w:r>
    </w:p>
    <w:p>
      <w:pPr>
        <w:ind w:firstLine="640" w:firstLineChars="200"/>
        <w:rPr>
          <w:rFonts w:hint="eastAsia" w:ascii="楷体" w:hAnsi="楷体" w:eastAsia="楷体" w:cs="楷体"/>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楷体" w:hAnsi="楷体" w:eastAsia="楷体" w:cs="楷体"/>
          <w:color w:val="0D0D0D" w:themeColor="text1" w:themeTint="F2"/>
          <w:sz w:val="32"/>
          <w:szCs w:val="32"/>
          <w:u w:color="000000" w:themeColor="text1"/>
          <w:lang w:val="en-US" w:eastAsia="zh-CN"/>
          <w14:textFill>
            <w14:solidFill>
              <w14:schemeClr w14:val="tx1">
                <w14:lumMod w14:val="95000"/>
                <w14:lumOff w14:val="5000"/>
              </w14:schemeClr>
            </w14:solidFill>
          </w14:textFill>
        </w:rPr>
        <w:t>（二）一般公共预算</w:t>
      </w:r>
      <w:r>
        <w:rPr>
          <w:rFonts w:hint="eastAsia" w:ascii="楷体" w:hAnsi="楷体" w:eastAsia="楷体" w:cs="楷体"/>
          <w:color w:val="0D0D0D" w:themeColor="text1" w:themeTint="F2"/>
          <w:sz w:val="32"/>
          <w:szCs w:val="32"/>
          <w:u w:color="000000" w:themeColor="text1"/>
          <w14:textFill>
            <w14:solidFill>
              <w14:schemeClr w14:val="tx1">
                <w14:lumMod w14:val="95000"/>
                <w14:lumOff w14:val="5000"/>
              </w14:schemeClr>
            </w14:solidFill>
          </w14:textFill>
        </w:rPr>
        <w:t>财政拨款支出决算结构情况</w:t>
      </w:r>
      <w:bookmarkEnd w:id="83"/>
      <w:bookmarkEnd w:id="84"/>
      <w:r>
        <w:rPr>
          <w:rFonts w:hint="eastAsia" w:ascii="楷体" w:hAnsi="楷体" w:eastAsia="楷体" w:cs="楷体"/>
          <w:color w:val="0D0D0D" w:themeColor="text1" w:themeTint="F2"/>
          <w:sz w:val="32"/>
          <w:szCs w:val="32"/>
          <w:u w:color="000000" w:themeColor="text1"/>
          <w:lang w:eastAsia="zh-CN"/>
          <w14:textFill>
            <w14:solidFill>
              <w14:schemeClr w14:val="tx1">
                <w14:lumMod w14:val="95000"/>
                <w14:lumOff w14:val="5000"/>
              </w14:schemeClr>
            </w14:solidFill>
          </w14:textFill>
        </w:rPr>
        <w:t>。</w:t>
      </w:r>
      <w:bookmarkEnd w:id="85"/>
      <w:bookmarkEnd w:id="86"/>
      <w:bookmarkEnd w:id="87"/>
      <w:bookmarkEnd w:id="88"/>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一般公共预算财政拨款支出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603.5</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万元，主要用于以下方面：</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教育支出</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589.95</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97.76</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r>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t>社会保障和就业（类）</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4.06</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0.67</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r>
        <w:rPr>
          <w:rFonts w:hint="eastAsia" w:ascii="仿宋_GB2312" w:hAnsi="ˎ̥" w:eastAsia="仿宋_GB2312"/>
          <w:b/>
          <w:bCs/>
          <w:color w:val="0D0D0D" w:themeColor="text1" w:themeTint="F2"/>
          <w:sz w:val="32"/>
          <w:szCs w:val="32"/>
          <w:u w:color="000000" w:themeColor="text1"/>
          <w:lang w:eastAsia="zh-CN"/>
          <w14:textFill>
            <w14:solidFill>
              <w14:schemeClr w14:val="tx1">
                <w14:lumMod w14:val="95000"/>
                <w14:lumOff w14:val="5000"/>
              </w14:schemeClr>
            </w14:solidFill>
          </w14:textFill>
        </w:rPr>
        <w:t>卫生健康</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5.68万元，</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0.94</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w:t>
      </w:r>
      <w:r>
        <w:rPr>
          <w:rFonts w:hint="eastAsia" w:ascii="仿宋_GB2312" w:hAnsi="ˎ̥" w:eastAsia="仿宋_GB2312"/>
          <w:b/>
          <w:bCs/>
          <w:color w:val="0D0D0D" w:themeColor="text1" w:themeTint="F2"/>
          <w:sz w:val="32"/>
          <w:szCs w:val="32"/>
          <w:u w:color="000000" w:themeColor="text1"/>
          <w:lang w:val="en-US" w:eastAsia="zh-CN"/>
          <w14:textFill>
            <w14:solidFill>
              <w14:schemeClr w14:val="tx1">
                <w14:lumMod w14:val="95000"/>
                <w14:lumOff w14:val="5000"/>
              </w14:schemeClr>
            </w14:solidFill>
          </w14:textFill>
        </w:rPr>
        <w:t>住房保障（类）</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3.81</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0.63</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0" w:firstLineChars="200"/>
        <w:rPr>
          <w:rFonts w:hint="eastAsia" w:ascii="楷体" w:hAnsi="楷体" w:eastAsia="楷体" w:cs="楷体"/>
          <w:color w:val="0D0D0D" w:themeColor="text1" w:themeTint="F2"/>
          <w:sz w:val="32"/>
          <w:szCs w:val="32"/>
          <w:u w:color="000000" w:themeColor="text1"/>
          <w14:textFill>
            <w14:solidFill>
              <w14:schemeClr w14:val="tx1">
                <w14:lumMod w14:val="95000"/>
                <w14:lumOff w14:val="5000"/>
              </w14:schemeClr>
            </w14:solidFill>
          </w14:textFill>
        </w:rPr>
      </w:pPr>
      <w:bookmarkStart w:id="89" w:name="_Toc22318_WPSOffice_Level2"/>
      <w:bookmarkStart w:id="90" w:name="_Toc9502_WPSOffice_Level2"/>
      <w:bookmarkStart w:id="91" w:name="_Toc25136_WPSOffice_Level2"/>
      <w:bookmarkStart w:id="92" w:name="_Toc15415_WPSOffice_Level2"/>
      <w:bookmarkStart w:id="93" w:name="_Toc21701_WPSOffice_Level2"/>
      <w:bookmarkStart w:id="94" w:name="_Toc29364_WPSOffice_Level2"/>
      <w:r>
        <w:rPr>
          <w:rFonts w:hint="eastAsia" w:ascii="楷体" w:hAnsi="楷体" w:eastAsia="楷体" w:cs="楷体"/>
          <w:color w:val="0D0D0D" w:themeColor="text1" w:themeTint="F2"/>
          <w:sz w:val="32"/>
          <w:szCs w:val="32"/>
          <w:u w:color="000000" w:themeColor="text1"/>
          <w:lang w:val="en-US" w:eastAsia="zh-CN"/>
          <w14:textFill>
            <w14:solidFill>
              <w14:schemeClr w14:val="tx1">
                <w14:lumMod w14:val="95000"/>
                <w14:lumOff w14:val="5000"/>
              </w14:schemeClr>
            </w14:solidFill>
          </w14:textFill>
        </w:rPr>
        <w:t>（三）一般公共预算</w:t>
      </w:r>
      <w:r>
        <w:rPr>
          <w:rFonts w:hint="eastAsia" w:ascii="楷体" w:hAnsi="楷体" w:eastAsia="楷体" w:cs="楷体"/>
          <w:color w:val="0D0D0D" w:themeColor="text1" w:themeTint="F2"/>
          <w:sz w:val="32"/>
          <w:szCs w:val="32"/>
          <w:u w:color="000000" w:themeColor="text1"/>
          <w14:textFill>
            <w14:solidFill>
              <w14:schemeClr w14:val="tx1">
                <w14:lumMod w14:val="95000"/>
                <w14:lumOff w14:val="5000"/>
              </w14:schemeClr>
            </w14:solidFill>
          </w14:textFill>
        </w:rPr>
        <w:t>财政拨款支出决算具体情况。</w:t>
      </w:r>
      <w:bookmarkEnd w:id="89"/>
      <w:bookmarkEnd w:id="90"/>
      <w:bookmarkEnd w:id="91"/>
      <w:bookmarkEnd w:id="92"/>
      <w:bookmarkEnd w:id="93"/>
      <w:bookmarkEnd w:id="94"/>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年度一般公共预算</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财政拨款支出年初</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预算为</w:t>
      </w:r>
      <w:r>
        <w:rPr>
          <w:rFonts w:hint="eastAsia" w:ascii="仿宋_GB2312" w:hAnsi="ˎ̥" w:eastAsia="仿宋_GB2312"/>
          <w:color w:val="0D0D0D" w:themeColor="text1" w:themeTint="F2"/>
          <w:sz w:val="32"/>
          <w:szCs w:val="32"/>
          <w:highlight w:val="none"/>
          <w:u w:color="000000" w:themeColor="text1"/>
          <w:lang w:val="en-US" w:eastAsia="zh-CN"/>
          <w14:textFill>
            <w14:solidFill>
              <w14:schemeClr w14:val="tx1">
                <w14:lumMod w14:val="95000"/>
                <w14:lumOff w14:val="5000"/>
              </w14:schemeClr>
            </w14:solidFill>
          </w14:textFill>
        </w:rPr>
        <w:t>621.49</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万元，</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支</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出决算为</w:t>
      </w:r>
      <w:r>
        <w:rPr>
          <w:rFonts w:hint="eastAsia" w:ascii="仿宋_GB2312" w:hAnsi="ˎ̥" w:eastAsia="仿宋_GB2312"/>
          <w:color w:val="0D0D0D" w:themeColor="text1" w:themeTint="F2"/>
          <w:sz w:val="32"/>
          <w:szCs w:val="32"/>
          <w:highlight w:val="none"/>
          <w:u w:color="000000" w:themeColor="text1"/>
          <w:lang w:val="en-US" w:eastAsia="zh-CN"/>
          <w14:textFill>
            <w14:solidFill>
              <w14:schemeClr w14:val="tx1">
                <w14:lumMod w14:val="95000"/>
                <w14:lumOff w14:val="5000"/>
              </w14:schemeClr>
            </w14:solidFill>
          </w14:textFill>
        </w:rPr>
        <w:t>621.49</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万元</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，完成年初预算的</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100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%。其中：</w:t>
      </w:r>
    </w:p>
    <w:p>
      <w:pPr>
        <w:ind w:firstLine="640" w:firstLineChars="200"/>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1.</w:t>
      </w:r>
      <w:r>
        <w:rPr>
          <w:rFonts w:hint="eastAsia" w:ascii="仿宋_GB2312" w:hAnsi="ˎ̥" w:eastAsia="仿宋_GB2312"/>
          <w:b/>
          <w:color w:val="0D0D0D" w:themeColor="text1" w:themeTint="F2"/>
          <w:sz w:val="32"/>
          <w:szCs w:val="32"/>
          <w:u w:color="000000" w:themeColor="text1"/>
          <w:lang w:val="en-US" w:eastAsia="zh-CN"/>
          <w14:textFill>
            <w14:solidFill>
              <w14:schemeClr w14:val="tx1">
                <w14:lumMod w14:val="95000"/>
                <w14:lumOff w14:val="5000"/>
              </w14:schemeClr>
            </w14:solidFill>
          </w14:textFill>
        </w:rPr>
        <w:t>教育支出</w:t>
      </w:r>
      <w:r>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t>（类）</w:t>
      </w:r>
      <w:r>
        <w:rPr>
          <w:rFonts w:hint="eastAsia" w:ascii="仿宋_GB2312" w:hAnsi="ˎ̥" w:eastAsia="仿宋_GB2312"/>
          <w:b/>
          <w:color w:val="0D0D0D" w:themeColor="text1" w:themeTint="F2"/>
          <w:sz w:val="32"/>
          <w:szCs w:val="32"/>
          <w:u w:color="000000" w:themeColor="text1"/>
          <w:lang w:val="en-US" w:eastAsia="zh-CN"/>
          <w14:textFill>
            <w14:solidFill>
              <w14:schemeClr w14:val="tx1">
                <w14:lumMod w14:val="95000"/>
                <w14:lumOff w14:val="5000"/>
              </w14:schemeClr>
            </w14:solidFill>
          </w14:textFill>
        </w:rPr>
        <w:t>普通教育</w:t>
      </w:r>
      <w:r>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t>（款）</w:t>
      </w:r>
      <w:r>
        <w:rPr>
          <w:rFonts w:hint="eastAsia" w:ascii="仿宋_GB2312" w:hAnsi="ˎ̥" w:eastAsia="仿宋_GB2312"/>
          <w:b/>
          <w:color w:val="0D0D0D" w:themeColor="text1" w:themeTint="F2"/>
          <w:sz w:val="32"/>
          <w:szCs w:val="32"/>
          <w:u w:color="000000" w:themeColor="text1"/>
          <w:lang w:val="en-US" w:eastAsia="zh-CN"/>
          <w14:textFill>
            <w14:solidFill>
              <w14:schemeClr w14:val="tx1">
                <w14:lumMod w14:val="95000"/>
                <w14:lumOff w14:val="5000"/>
              </w14:schemeClr>
            </w14:solidFill>
          </w14:textFill>
        </w:rPr>
        <w:t>学前教育</w:t>
      </w:r>
      <w:r>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t>（项）。</w:t>
      </w:r>
    </w:p>
    <w:p>
      <w:pPr>
        <w:ind w:firstLine="640" w:firstLineChars="200"/>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年初预算为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621.49</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万元，支出决算为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621.49</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万元，完成年初预算的</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100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%。决算数</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等于</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预算数的主要原因：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项目支出无变化。</w:t>
      </w:r>
    </w:p>
    <w:p>
      <w:pPr>
        <w:ind w:firstLine="640" w:firstLineChars="200"/>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b/>
          <w:color w:val="0D0D0D" w:themeColor="text1" w:themeTint="F2"/>
          <w:sz w:val="32"/>
          <w:szCs w:val="32"/>
          <w:u w:color="000000" w:themeColor="text1"/>
          <w:lang w:val="en-US" w:eastAsia="zh-CN"/>
          <w14:textFill>
            <w14:solidFill>
              <w14:schemeClr w14:val="tx1">
                <w14:lumMod w14:val="95000"/>
                <w14:lumOff w14:val="5000"/>
              </w14:schemeClr>
            </w14:solidFill>
          </w14:textFill>
        </w:rPr>
        <w:t>社会保障和就业支出</w:t>
      </w:r>
      <w:r>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t>（类）</w:t>
      </w:r>
      <w:r>
        <w:rPr>
          <w:rFonts w:hint="eastAsia" w:ascii="仿宋_GB2312" w:hAnsi="ˎ̥" w:eastAsia="仿宋_GB2312"/>
          <w:b/>
          <w:color w:val="0D0D0D" w:themeColor="text1" w:themeTint="F2"/>
          <w:sz w:val="32"/>
          <w:szCs w:val="32"/>
          <w:u w:color="000000" w:themeColor="text1"/>
          <w:lang w:val="en-US" w:eastAsia="zh-CN"/>
          <w14:textFill>
            <w14:solidFill>
              <w14:schemeClr w14:val="tx1">
                <w14:lumMod w14:val="95000"/>
                <w14:lumOff w14:val="5000"/>
              </w14:schemeClr>
            </w14:solidFill>
          </w14:textFill>
        </w:rPr>
        <w:t>行政事业单位养老支出</w:t>
      </w:r>
      <w:r>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t>（款）</w:t>
      </w:r>
      <w:r>
        <w:rPr>
          <w:rFonts w:hint="eastAsia" w:ascii="仿宋_GB2312" w:hAnsi="ˎ̥" w:eastAsia="仿宋_GB2312"/>
          <w:b/>
          <w:color w:val="0D0D0D" w:themeColor="text1" w:themeTint="F2"/>
          <w:sz w:val="32"/>
          <w:szCs w:val="32"/>
          <w:u w:color="000000" w:themeColor="text1"/>
          <w:lang w:val="en-US" w:eastAsia="zh-CN"/>
          <w14:textFill>
            <w14:solidFill>
              <w14:schemeClr w14:val="tx1">
                <w14:lumMod w14:val="95000"/>
                <w14:lumOff w14:val="5000"/>
              </w14:schemeClr>
            </w14:solidFill>
          </w14:textFill>
        </w:rPr>
        <w:t>机关事业单位基本养老保险缴费支出、机关事业单位职业年金缴费支出</w:t>
      </w:r>
      <w:r>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t>（项）。</w:t>
      </w:r>
    </w:p>
    <w:p>
      <w:pPr>
        <w:ind w:firstLine="640" w:firstLineChars="200"/>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年初预算为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4.06</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万元，支出决算为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4.06</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万元，完成年初预算的</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100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%。决算数</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等于</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预算数的主要原因：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项目支出无变化。</w:t>
      </w:r>
    </w:p>
    <w:p>
      <w:pPr>
        <w:numPr>
          <w:ilvl w:val="0"/>
          <w:numId w:val="2"/>
        </w:numPr>
        <w:ind w:firstLine="643" w:firstLineChars="200"/>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b/>
          <w:color w:val="0D0D0D" w:themeColor="text1" w:themeTint="F2"/>
          <w:sz w:val="32"/>
          <w:szCs w:val="32"/>
          <w:u w:color="000000" w:themeColor="text1"/>
          <w:lang w:val="en-US" w:eastAsia="zh-CN"/>
          <w14:textFill>
            <w14:solidFill>
              <w14:schemeClr w14:val="tx1">
                <w14:lumMod w14:val="95000"/>
                <w14:lumOff w14:val="5000"/>
              </w14:schemeClr>
            </w14:solidFill>
          </w14:textFill>
        </w:rPr>
        <w:t>卫生健康支出</w:t>
      </w:r>
      <w:r>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t>（类）</w:t>
      </w:r>
    </w:p>
    <w:p>
      <w:pPr>
        <w:numPr>
          <w:ilvl w:val="0"/>
          <w:numId w:val="0"/>
        </w:numPr>
        <w:ind w:firstLine="640" w:firstLineChars="200"/>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年初预算为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5.68</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万元，支出决算为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5.68</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万元，完成年初预算的</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100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%。决算数</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等于</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预算数的主要原因：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项目支出无变化。</w:t>
      </w:r>
    </w:p>
    <w:p>
      <w:pPr>
        <w:numPr>
          <w:ilvl w:val="0"/>
          <w:numId w:val="2"/>
        </w:numPr>
        <w:ind w:left="0" w:leftChars="0" w:firstLine="643" w:firstLineChars="200"/>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b/>
          <w:color w:val="0D0D0D" w:themeColor="text1" w:themeTint="F2"/>
          <w:sz w:val="32"/>
          <w:szCs w:val="32"/>
          <w:u w:color="000000" w:themeColor="text1"/>
          <w:lang w:val="en-US" w:eastAsia="zh-CN"/>
          <w14:textFill>
            <w14:solidFill>
              <w14:schemeClr w14:val="tx1">
                <w14:lumMod w14:val="95000"/>
                <w14:lumOff w14:val="5000"/>
              </w14:schemeClr>
            </w14:solidFill>
          </w14:textFill>
        </w:rPr>
        <w:t>住房保障支出</w:t>
      </w:r>
      <w:r>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t>（类）</w:t>
      </w:r>
    </w:p>
    <w:p>
      <w:pPr>
        <w:numPr>
          <w:ilvl w:val="0"/>
          <w:numId w:val="0"/>
        </w:num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年初预算为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3.81</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万元，支出决算为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3.81</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万元，完成年初预算的</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100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%。决算数</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等于</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预算数的主要原因：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项目支出无变化。</w:t>
      </w:r>
    </w:p>
    <w:p>
      <w:pPr>
        <w:ind w:firstLine="627" w:firstLineChars="196"/>
        <w:rPr>
          <w:rFonts w:hint="eastAsia" w:ascii="黑体" w:hAnsi="黑体" w:eastAsia="黑体" w:cs="黑体"/>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t>六、</w:t>
      </w:r>
      <w:r>
        <w:rPr>
          <w:rFonts w:hint="eastAsia" w:ascii="黑体" w:hAnsi="黑体" w:eastAsia="黑体" w:cs="黑体"/>
          <w:b w:val="0"/>
          <w:bCs/>
          <w:color w:val="0D0D0D" w:themeColor="text1" w:themeTint="F2"/>
          <w:sz w:val="32"/>
          <w:szCs w:val="32"/>
          <w:u w:color="000000" w:themeColor="text1"/>
          <w14:textFill>
            <w14:solidFill>
              <w14:schemeClr w14:val="tx1">
                <w14:lumMod w14:val="95000"/>
                <w14:lumOff w14:val="5000"/>
              </w14:schemeClr>
            </w14:solidFill>
          </w14:textFill>
        </w:rPr>
        <w:t>一般公共预算财政拨款基本支出决算情况说明</w:t>
      </w:r>
      <w:r>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t>。</w:t>
      </w:r>
    </w:p>
    <w:p>
      <w:pPr>
        <w:tabs>
          <w:tab w:val="center" w:pos="4473"/>
        </w:tabs>
        <w:ind w:firstLine="640" w:firstLineChars="200"/>
        <w:rPr>
          <w:rFonts w:hint="eastAsia" w:ascii="仿宋_GB2312" w:hAnsi="ˎ̥" w:eastAsia="仿宋_GB2312"/>
          <w:color w:val="0D0D0D" w:themeColor="text1" w:themeTint="F2"/>
          <w:sz w:val="32"/>
          <w:szCs w:val="32"/>
          <w:highlight w:val="yellow"/>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财政拨款基本支出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55.44</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万元，其中：人员经费</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54.23</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万元，主要包括：</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工资福利支出中的</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基本工资、津贴补贴、奖金、伙食补助费、绩效工资、</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机关事业单位基本养老保险缴费、职业年金缴费、职工基本医疗保险缴费、公务员医疗补助缴费、其他社会保障缴费、住房公积金、医疗费、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其他工资福利支出</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；对个人和家庭的补助中的</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离休费、退休费、退职（役）费、抚恤金、生活补助、救济费、医疗费</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补助</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、助学金、奖励金、</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个人农业</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生产补贴、</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代缴社会保险费、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其他对个人和家庭的补助。公用经费</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1.21</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万元，主要包括：</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商品和服务支出中的</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债务利息及费用支出中的国内债务付息及国外债务付息；资本性支出中的房屋建筑物构建、办公设备购置、专用设备购置、基础设施建设、大型修缮、信息网络及软件购置更新、物资储备、土地补偿、安置补助、地上附着物和青苗补偿、拆迁补偿、公务用车购置、其他交通工具购置、文物和陈列品购置、无形资产购置、其他资本性支出等；其他支出中的赠予、国家赔偿费用支出、对民间非营利组织和群众性自治组织补贴和其他支出</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tabs>
          <w:tab w:val="center" w:pos="4473"/>
        </w:tabs>
        <w:ind w:firstLine="627" w:firstLineChars="196"/>
        <w:rPr>
          <w:rFonts w:hint="eastAsia" w:ascii="黑体" w:hAnsi="黑体" w:eastAsia="黑体" w:cs="黑体"/>
          <w:bCs/>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bCs/>
          <w:color w:val="0D0D0D" w:themeColor="text1" w:themeTint="F2"/>
          <w:sz w:val="32"/>
          <w:szCs w:val="32"/>
          <w:u w:color="000000" w:themeColor="text1"/>
          <w:lang w:eastAsia="zh-CN"/>
          <w14:textFill>
            <w14:solidFill>
              <w14:schemeClr w14:val="tx1">
                <w14:lumMod w14:val="95000"/>
                <w14:lumOff w14:val="5000"/>
              </w14:schemeClr>
            </w14:solidFill>
          </w14:textFill>
        </w:rPr>
        <w:t>七、政府性基金预算财政拨款支出决算情况说明</w:t>
      </w:r>
    </w:p>
    <w:p>
      <w:pPr>
        <w:ind w:firstLine="640" w:firstLineChars="200"/>
        <w:rPr>
          <w:rFonts w:hint="eastAsia" w:ascii="楷体" w:hAnsi="楷体" w:eastAsia="楷体" w:cs="楷体"/>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楷体" w:hAnsi="楷体" w:eastAsia="楷体" w:cs="楷体"/>
          <w:color w:val="0D0D0D" w:themeColor="text1" w:themeTint="F2"/>
          <w:sz w:val="32"/>
          <w:szCs w:val="32"/>
          <w:u w:color="000000" w:themeColor="text1"/>
          <w:lang w:val="en-US" w:eastAsia="zh-CN"/>
          <w14:textFill>
            <w14:solidFill>
              <w14:schemeClr w14:val="tx1">
                <w14:lumMod w14:val="95000"/>
                <w14:lumOff w14:val="5000"/>
              </w14:schemeClr>
            </w14:solidFill>
          </w14:textFill>
        </w:rPr>
        <w:t>（一）</w:t>
      </w:r>
      <w:r>
        <w:rPr>
          <w:rFonts w:hint="eastAsia" w:ascii="楷体" w:hAnsi="楷体" w:eastAsia="楷体" w:cs="楷体"/>
          <w:color w:val="0D0D0D" w:themeColor="text1" w:themeTint="F2"/>
          <w:sz w:val="32"/>
          <w:szCs w:val="32"/>
          <w:u w:color="000000" w:themeColor="text1"/>
          <w:lang w:eastAsia="zh-CN"/>
          <w14:textFill>
            <w14:solidFill>
              <w14:schemeClr w14:val="tx1">
                <w14:lumMod w14:val="95000"/>
                <w14:lumOff w14:val="5000"/>
              </w14:schemeClr>
            </w14:solidFill>
          </w14:textFill>
        </w:rPr>
        <w:t>政府性基金</w:t>
      </w:r>
      <w:r>
        <w:rPr>
          <w:rFonts w:hint="eastAsia" w:ascii="楷体" w:hAnsi="楷体" w:eastAsia="楷体" w:cs="楷体"/>
          <w:color w:val="0D0D0D" w:themeColor="text1" w:themeTint="F2"/>
          <w:sz w:val="32"/>
          <w:szCs w:val="32"/>
          <w:u w:color="000000" w:themeColor="text1"/>
          <w14:textFill>
            <w14:solidFill>
              <w14:schemeClr w14:val="tx1">
                <w14:lumMod w14:val="95000"/>
                <w14:lumOff w14:val="5000"/>
              </w14:schemeClr>
            </w14:solidFill>
          </w14:textFill>
        </w:rPr>
        <w:t>预算财政拨款支出决算总体情况</w:t>
      </w:r>
      <w:r>
        <w:rPr>
          <w:rFonts w:hint="eastAsia" w:ascii="楷体" w:hAnsi="楷体" w:eastAsia="楷体" w:cs="楷体"/>
          <w:color w:val="0D0D0D" w:themeColor="text1" w:themeTint="F2"/>
          <w:sz w:val="32"/>
          <w:szCs w:val="32"/>
          <w:u w:color="000000" w:themeColor="text1"/>
          <w:lang w:eastAsia="zh-CN"/>
          <w14:textFill>
            <w14:solidFill>
              <w14:schemeClr w14:val="tx1">
                <w14:lumMod w14:val="95000"/>
                <w14:lumOff w14:val="5000"/>
              </w14:schemeClr>
            </w14:solidFill>
          </w14:textFill>
        </w:rPr>
        <w:t>。</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年度政府性基金</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预算财政拨款支出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万元，占本年支出合计的</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%。与</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21</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相比，</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政府性基金预算</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财政拨款支出增加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万元，增长</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，主要原因是</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没有政府性基金支出</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0" w:firstLineChars="200"/>
        <w:rPr>
          <w:rFonts w:hint="eastAsia" w:ascii="楷体" w:hAnsi="楷体" w:eastAsia="楷体" w:cs="楷体"/>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楷体" w:hAnsi="楷体" w:eastAsia="楷体" w:cs="楷体"/>
          <w:color w:val="0D0D0D" w:themeColor="text1" w:themeTint="F2"/>
          <w:sz w:val="32"/>
          <w:szCs w:val="32"/>
          <w:u w:color="000000" w:themeColor="text1"/>
          <w:lang w:val="en-US" w:eastAsia="zh-CN"/>
          <w14:textFill>
            <w14:solidFill>
              <w14:schemeClr w14:val="tx1">
                <w14:lumMod w14:val="95000"/>
                <w14:lumOff w14:val="5000"/>
              </w14:schemeClr>
            </w14:solidFill>
          </w14:textFill>
        </w:rPr>
        <w:t>（二）政府性基金预算</w:t>
      </w:r>
      <w:r>
        <w:rPr>
          <w:rFonts w:hint="eastAsia" w:ascii="楷体" w:hAnsi="楷体" w:eastAsia="楷体" w:cs="楷体"/>
          <w:color w:val="0D0D0D" w:themeColor="text1" w:themeTint="F2"/>
          <w:sz w:val="32"/>
          <w:szCs w:val="32"/>
          <w:u w:color="000000" w:themeColor="text1"/>
          <w14:textFill>
            <w14:solidFill>
              <w14:schemeClr w14:val="tx1">
                <w14:lumMod w14:val="95000"/>
                <w14:lumOff w14:val="5000"/>
              </w14:schemeClr>
            </w14:solidFill>
          </w14:textFill>
        </w:rPr>
        <w:t>财政拨款支出决算结构情况</w:t>
      </w:r>
      <w:r>
        <w:rPr>
          <w:rFonts w:hint="eastAsia" w:ascii="楷体" w:hAnsi="楷体" w:eastAsia="楷体" w:cs="楷体"/>
          <w:color w:val="0D0D0D" w:themeColor="text1" w:themeTint="F2"/>
          <w:sz w:val="32"/>
          <w:szCs w:val="32"/>
          <w:u w:color="000000" w:themeColor="text1"/>
          <w:lang w:eastAsia="zh-CN"/>
          <w14:textFill>
            <w14:solidFill>
              <w14:schemeClr w14:val="tx1">
                <w14:lumMod w14:val="95000"/>
                <w14:lumOff w14:val="5000"/>
              </w14:schemeClr>
            </w14:solidFill>
          </w14:textFill>
        </w:rPr>
        <w:t>。</w:t>
      </w:r>
    </w:p>
    <w:p>
      <w:pPr>
        <w:ind w:firstLine="640" w:firstLineChars="200"/>
        <w:rPr>
          <w:rFonts w:hint="eastAsia" w:ascii="仿宋_GB2312" w:hAnsi="ˎ̥" w:eastAsia="仿宋_GB2312"/>
          <w:color w:val="0D0D0D" w:themeColor="text1" w:themeTint="F2"/>
          <w:sz w:val="32"/>
          <w:szCs w:val="32"/>
          <w:highlight w:val="yellow"/>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年度政府性基金</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预算财政拨款支出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p>
    <w:p>
      <w:pPr>
        <w:ind w:firstLine="640" w:firstLineChars="200"/>
        <w:rPr>
          <w:rFonts w:hint="eastAsia" w:ascii="楷体" w:hAnsi="楷体" w:eastAsia="楷体" w:cs="楷体"/>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楷体" w:hAnsi="楷体" w:eastAsia="楷体" w:cs="楷体"/>
          <w:color w:val="0D0D0D" w:themeColor="text1" w:themeTint="F2"/>
          <w:sz w:val="32"/>
          <w:szCs w:val="32"/>
          <w:u w:color="000000" w:themeColor="text1"/>
          <w:lang w:val="en-US" w:eastAsia="zh-CN"/>
          <w14:textFill>
            <w14:solidFill>
              <w14:schemeClr w14:val="tx1">
                <w14:lumMod w14:val="95000"/>
                <w14:lumOff w14:val="5000"/>
              </w14:schemeClr>
            </w14:solidFill>
          </w14:textFill>
        </w:rPr>
        <w:t>（三）政府性基金预算</w:t>
      </w:r>
      <w:r>
        <w:rPr>
          <w:rFonts w:hint="eastAsia" w:ascii="楷体" w:hAnsi="楷体" w:eastAsia="楷体" w:cs="楷体"/>
          <w:color w:val="0D0D0D" w:themeColor="text1" w:themeTint="F2"/>
          <w:sz w:val="32"/>
          <w:szCs w:val="32"/>
          <w:u w:color="000000" w:themeColor="text1"/>
          <w14:textFill>
            <w14:solidFill>
              <w14:schemeClr w14:val="tx1">
                <w14:lumMod w14:val="95000"/>
                <w14:lumOff w14:val="5000"/>
              </w14:schemeClr>
            </w14:solidFill>
          </w14:textFill>
        </w:rPr>
        <w:t>财政拨款支出决算具体情况。</w:t>
      </w:r>
    </w:p>
    <w:p>
      <w:pPr>
        <w:ind w:firstLine="640" w:firstLineChars="200"/>
        <w:rPr>
          <w:rFonts w:hint="eastAsia" w:ascii="仿宋_GB2312" w:hAnsi="ˎ̥" w:eastAsia="仿宋_GB2312" w:cs="Times New Roman"/>
          <w:bCs w:val="0"/>
          <w:color w:val="0D0D0D" w:themeColor="text1" w:themeTint="F2"/>
          <w:sz w:val="32"/>
          <w:szCs w:val="32"/>
          <w:highlight w:val="yellow"/>
          <w:u w:color="000000" w:themeColor="text1"/>
          <w:lang w:val="en-US"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年度政府性基金预算财政拨款</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支出年初预算为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万元，支出决算为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万元，完成年初预算的</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tabs>
          <w:tab w:val="center" w:pos="4473"/>
        </w:tabs>
        <w:ind w:firstLine="627" w:firstLineChars="196"/>
        <w:rPr>
          <w:rFonts w:hint="eastAsia" w:ascii="黑体" w:hAnsi="黑体" w:eastAsia="黑体" w:cs="黑体"/>
          <w:bCs/>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bCs/>
          <w:color w:val="0D0D0D" w:themeColor="text1" w:themeTint="F2"/>
          <w:sz w:val="32"/>
          <w:szCs w:val="32"/>
          <w:u w:color="000000" w:themeColor="text1"/>
          <w:lang w:eastAsia="zh-CN"/>
          <w14:textFill>
            <w14:solidFill>
              <w14:schemeClr w14:val="tx1">
                <w14:lumMod w14:val="95000"/>
                <w14:lumOff w14:val="5000"/>
              </w14:schemeClr>
            </w14:solidFill>
          </w14:textFill>
        </w:rPr>
        <w:t>八、国有资本经营预算财政拨款支出决算情况说明</w:t>
      </w:r>
    </w:p>
    <w:p>
      <w:pPr>
        <w:ind w:firstLine="640" w:firstLineChars="200"/>
        <w:rPr>
          <w:rFonts w:hint="eastAsia" w:ascii="楷体" w:hAnsi="楷体" w:eastAsia="楷体" w:cs="楷体"/>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楷体" w:hAnsi="楷体" w:eastAsia="楷体" w:cs="楷体"/>
          <w:color w:val="0D0D0D" w:themeColor="text1" w:themeTint="F2"/>
          <w:sz w:val="32"/>
          <w:szCs w:val="32"/>
          <w:u w:color="000000" w:themeColor="text1"/>
          <w:lang w:val="en-US" w:eastAsia="zh-CN"/>
          <w14:textFill>
            <w14:solidFill>
              <w14:schemeClr w14:val="tx1">
                <w14:lumMod w14:val="95000"/>
                <w14:lumOff w14:val="5000"/>
              </w14:schemeClr>
            </w14:solidFill>
          </w14:textFill>
        </w:rPr>
        <w:t>（一）</w:t>
      </w:r>
      <w:r>
        <w:rPr>
          <w:rFonts w:hint="eastAsia" w:ascii="楷体" w:hAnsi="楷体" w:eastAsia="楷体" w:cs="楷体"/>
          <w:color w:val="0D0D0D" w:themeColor="text1" w:themeTint="F2"/>
          <w:sz w:val="32"/>
          <w:szCs w:val="32"/>
          <w:u w:color="000000" w:themeColor="text1"/>
          <w:lang w:eastAsia="zh-CN"/>
          <w14:textFill>
            <w14:solidFill>
              <w14:schemeClr w14:val="tx1">
                <w14:lumMod w14:val="95000"/>
                <w14:lumOff w14:val="5000"/>
              </w14:schemeClr>
            </w14:solidFill>
          </w14:textFill>
        </w:rPr>
        <w:t>国有资本经营预算</w:t>
      </w:r>
      <w:r>
        <w:rPr>
          <w:rFonts w:hint="eastAsia" w:ascii="楷体" w:hAnsi="楷体" w:eastAsia="楷体" w:cs="楷体"/>
          <w:color w:val="0D0D0D" w:themeColor="text1" w:themeTint="F2"/>
          <w:sz w:val="32"/>
          <w:szCs w:val="32"/>
          <w:u w:color="000000" w:themeColor="text1"/>
          <w14:textFill>
            <w14:solidFill>
              <w14:schemeClr w14:val="tx1">
                <w14:lumMod w14:val="95000"/>
                <w14:lumOff w14:val="5000"/>
              </w14:schemeClr>
            </w14:solidFill>
          </w14:textFill>
        </w:rPr>
        <w:t>财政拨款支出决算总体情况</w:t>
      </w:r>
      <w:r>
        <w:rPr>
          <w:rFonts w:hint="eastAsia" w:ascii="楷体" w:hAnsi="楷体" w:eastAsia="楷体" w:cs="楷体"/>
          <w:color w:val="0D0D0D" w:themeColor="text1" w:themeTint="F2"/>
          <w:sz w:val="32"/>
          <w:szCs w:val="32"/>
          <w:u w:color="000000" w:themeColor="text1"/>
          <w:lang w:eastAsia="zh-CN"/>
          <w14:textFill>
            <w14:solidFill>
              <w14:schemeClr w14:val="tx1">
                <w14:lumMod w14:val="95000"/>
                <w14:lumOff w14:val="5000"/>
              </w14:schemeClr>
            </w14:solidFill>
          </w14:textFill>
        </w:rPr>
        <w:t>。</w:t>
      </w:r>
    </w:p>
    <w:p>
      <w:pPr>
        <w:ind w:firstLine="640" w:firstLineChars="200"/>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年度国有资本经营预算</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财政拨款支出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万元，占本年支出合计的</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%。与</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21</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相比，</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国有资本经营预算</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财政拨款支出增加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万元，增长</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，主要原因是</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没有国产资本经营支出</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0" w:firstLineChars="200"/>
        <w:rPr>
          <w:rFonts w:hint="eastAsia" w:ascii="楷体" w:hAnsi="楷体" w:eastAsia="楷体" w:cs="楷体"/>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楷体" w:hAnsi="楷体" w:eastAsia="楷体" w:cs="楷体"/>
          <w:color w:val="0D0D0D" w:themeColor="text1" w:themeTint="F2"/>
          <w:sz w:val="32"/>
          <w:szCs w:val="32"/>
          <w:u w:color="000000" w:themeColor="text1"/>
          <w:lang w:val="en-US" w:eastAsia="zh-CN"/>
          <w14:textFill>
            <w14:solidFill>
              <w14:schemeClr w14:val="tx1">
                <w14:lumMod w14:val="95000"/>
                <w14:lumOff w14:val="5000"/>
              </w14:schemeClr>
            </w14:solidFill>
          </w14:textFill>
        </w:rPr>
        <w:t>（二）国有资本经营预算</w:t>
      </w:r>
      <w:r>
        <w:rPr>
          <w:rFonts w:hint="eastAsia" w:ascii="楷体" w:hAnsi="楷体" w:eastAsia="楷体" w:cs="楷体"/>
          <w:color w:val="0D0D0D" w:themeColor="text1" w:themeTint="F2"/>
          <w:sz w:val="32"/>
          <w:szCs w:val="32"/>
          <w:u w:color="000000" w:themeColor="text1"/>
          <w14:textFill>
            <w14:solidFill>
              <w14:schemeClr w14:val="tx1">
                <w14:lumMod w14:val="95000"/>
                <w14:lumOff w14:val="5000"/>
              </w14:schemeClr>
            </w14:solidFill>
          </w14:textFill>
        </w:rPr>
        <w:t>财政拨款支出决算结构情况</w:t>
      </w:r>
      <w:r>
        <w:rPr>
          <w:rFonts w:hint="eastAsia" w:ascii="楷体" w:hAnsi="楷体" w:eastAsia="楷体" w:cs="楷体"/>
          <w:color w:val="0D0D0D" w:themeColor="text1" w:themeTint="F2"/>
          <w:sz w:val="32"/>
          <w:szCs w:val="32"/>
          <w:u w:color="000000" w:themeColor="text1"/>
          <w:lang w:eastAsia="zh-CN"/>
          <w14:textFill>
            <w14:solidFill>
              <w14:schemeClr w14:val="tx1">
                <w14:lumMod w14:val="95000"/>
                <w14:lumOff w14:val="5000"/>
              </w14:schemeClr>
            </w14:solidFill>
          </w14:textFill>
        </w:rPr>
        <w:t>。</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年度国有资本经营预算</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财政拨款支出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w:t>
      </w:r>
    </w:p>
    <w:p>
      <w:pPr>
        <w:ind w:firstLine="640" w:firstLineChars="200"/>
        <w:rPr>
          <w:rFonts w:hint="eastAsia" w:ascii="楷体" w:hAnsi="楷体" w:eastAsia="楷体" w:cs="楷体"/>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楷体" w:hAnsi="楷体" w:eastAsia="楷体" w:cs="楷体"/>
          <w:color w:val="0D0D0D" w:themeColor="text1" w:themeTint="F2"/>
          <w:sz w:val="32"/>
          <w:szCs w:val="32"/>
          <w:u w:color="000000" w:themeColor="text1"/>
          <w:lang w:val="en-US" w:eastAsia="zh-CN"/>
          <w14:textFill>
            <w14:solidFill>
              <w14:schemeClr w14:val="tx1">
                <w14:lumMod w14:val="95000"/>
                <w14:lumOff w14:val="5000"/>
              </w14:schemeClr>
            </w14:solidFill>
          </w14:textFill>
        </w:rPr>
        <w:t>（三）国有资本经营预算</w:t>
      </w:r>
      <w:r>
        <w:rPr>
          <w:rFonts w:hint="eastAsia" w:ascii="楷体" w:hAnsi="楷体" w:eastAsia="楷体" w:cs="楷体"/>
          <w:color w:val="0D0D0D" w:themeColor="text1" w:themeTint="F2"/>
          <w:sz w:val="32"/>
          <w:szCs w:val="32"/>
          <w:u w:color="000000" w:themeColor="text1"/>
          <w14:textFill>
            <w14:solidFill>
              <w14:schemeClr w14:val="tx1">
                <w14:lumMod w14:val="95000"/>
                <w14:lumOff w14:val="5000"/>
              </w14:schemeClr>
            </w14:solidFill>
          </w14:textFill>
        </w:rPr>
        <w:t>财政拨款支出决算具体情况。</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年度国有资本经营预算财政拨款</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支出年初预算为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万元，支出决算为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万元，完成年初预算的</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27" w:firstLineChars="196"/>
        <w:rPr>
          <w:rFonts w:hint="eastAsia" w:ascii="仿宋_GB2312" w:hAnsi="ˎ̥" w:eastAsia="楷体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t>九、</w:t>
      </w:r>
      <w:r>
        <w:rPr>
          <w:rFonts w:hint="eastAsia" w:ascii="黑体" w:hAnsi="黑体" w:eastAsia="黑体" w:cs="黑体"/>
          <w:b w:val="0"/>
          <w:bCs/>
          <w:color w:val="0D0D0D" w:themeColor="text1" w:themeTint="F2"/>
          <w:sz w:val="32"/>
          <w:szCs w:val="32"/>
          <w:u w:color="000000" w:themeColor="text1"/>
          <w14:textFill>
            <w14:solidFill>
              <w14:schemeClr w14:val="tx1">
                <w14:lumMod w14:val="95000"/>
                <w14:lumOff w14:val="5000"/>
              </w14:schemeClr>
            </w14:solidFill>
          </w14:textFill>
        </w:rPr>
        <w:t>一般公共预算财政拨款“三公”经费支出决算情况说明</w:t>
      </w:r>
    </w:p>
    <w:p>
      <w:pPr>
        <w:ind w:firstLine="643" w:firstLineChars="200"/>
        <w:rPr>
          <w:rFonts w:hint="eastAsia" w:ascii="楷体" w:hAnsi="楷体" w:eastAsia="楷体" w:cs="楷体"/>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楷体" w:hAnsi="楷体" w:eastAsia="楷体" w:cs="楷体"/>
          <w:b/>
          <w:color w:val="0D0D0D" w:themeColor="text1" w:themeTint="F2"/>
          <w:sz w:val="32"/>
          <w:szCs w:val="32"/>
          <w:u w:color="000000" w:themeColor="text1"/>
          <w:lang w:eastAsia="zh-CN"/>
          <w14:textFill>
            <w14:solidFill>
              <w14:schemeClr w14:val="tx1">
                <w14:lumMod w14:val="95000"/>
                <w14:lumOff w14:val="5000"/>
              </w14:schemeClr>
            </w14:solidFill>
          </w14:textFill>
        </w:rPr>
        <w:t>（一）</w:t>
      </w:r>
      <w:r>
        <w:rPr>
          <w:rFonts w:hint="eastAsia" w:ascii="楷体" w:hAnsi="楷体" w:eastAsia="楷体" w:cs="楷体"/>
          <w:b/>
          <w:color w:val="0D0D0D" w:themeColor="text1" w:themeTint="F2"/>
          <w:sz w:val="32"/>
          <w:szCs w:val="32"/>
          <w:u w:color="000000" w:themeColor="text1"/>
          <w:lang w:val="en-US" w:eastAsia="zh-CN"/>
          <w14:textFill>
            <w14:solidFill>
              <w14:schemeClr w14:val="tx1">
                <w14:lumMod w14:val="95000"/>
                <w14:lumOff w14:val="5000"/>
              </w14:schemeClr>
            </w14:solidFill>
          </w14:textFill>
        </w:rPr>
        <w:t>一般公共预算</w:t>
      </w:r>
      <w:r>
        <w:rPr>
          <w:rFonts w:hint="eastAsia" w:ascii="楷体" w:hAnsi="楷体" w:eastAsia="楷体" w:cs="楷体"/>
          <w:b/>
          <w:color w:val="0D0D0D" w:themeColor="text1" w:themeTint="F2"/>
          <w:sz w:val="32"/>
          <w:szCs w:val="32"/>
          <w:u w:color="000000" w:themeColor="text1"/>
          <w14:textFill>
            <w14:solidFill>
              <w14:schemeClr w14:val="tx1">
                <w14:lumMod w14:val="95000"/>
                <w14:lumOff w14:val="5000"/>
              </w14:schemeClr>
            </w14:solidFill>
          </w14:textFill>
        </w:rPr>
        <w:t>财政拨款“三公”经费支出决算总体情况说明。</w:t>
      </w:r>
    </w:p>
    <w:p>
      <w:pP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一般公共预算财政拨款</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“三公”经费支出预算为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万元，支出决算为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万元，完成预算的</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p>
    <w:p>
      <w:pPr>
        <w:rPr>
          <w:rFonts w:hint="eastAsia" w:ascii="楷体" w:hAnsi="楷体" w:eastAsia="楷体" w:cs="楷体"/>
          <w:b/>
          <w:bCs/>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楷体" w:hAnsi="楷体" w:eastAsia="楷体" w:cs="楷体"/>
          <w:b/>
          <w:bCs/>
          <w:color w:val="0D0D0D" w:themeColor="text1" w:themeTint="F2"/>
          <w:sz w:val="32"/>
          <w:szCs w:val="32"/>
          <w:u w:color="000000" w:themeColor="text1"/>
          <w14:textFill>
            <w14:solidFill>
              <w14:schemeClr w14:val="tx1">
                <w14:lumMod w14:val="95000"/>
                <w14:lumOff w14:val="5000"/>
              </w14:schemeClr>
            </w14:solidFill>
          </w14:textFill>
        </w:rPr>
        <w:t xml:space="preserve">  </w:t>
      </w:r>
      <w:r>
        <w:rPr>
          <w:rFonts w:hint="eastAsia" w:ascii="楷体" w:hAnsi="楷体" w:eastAsia="楷体" w:cs="楷体"/>
          <w:b/>
          <w:bCs/>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w:t>
      </w:r>
      <w:r>
        <w:rPr>
          <w:rFonts w:hint="eastAsia" w:ascii="楷体" w:hAnsi="楷体" w:eastAsia="楷体" w:cs="楷体"/>
          <w:b/>
          <w:bCs/>
          <w:color w:val="0D0D0D" w:themeColor="text1" w:themeTint="F2"/>
          <w:sz w:val="32"/>
          <w:szCs w:val="32"/>
          <w:u w:color="000000" w:themeColor="text1"/>
          <w:lang w:eastAsia="zh-CN"/>
          <w14:textFill>
            <w14:solidFill>
              <w14:schemeClr w14:val="tx1">
                <w14:lumMod w14:val="95000"/>
                <w14:lumOff w14:val="5000"/>
              </w14:schemeClr>
            </w14:solidFill>
          </w14:textFill>
        </w:rPr>
        <w:t>（二）一般公共预算</w:t>
      </w:r>
      <w:r>
        <w:rPr>
          <w:rFonts w:hint="eastAsia" w:ascii="楷体" w:hAnsi="楷体" w:eastAsia="楷体" w:cs="楷体"/>
          <w:b/>
          <w:bCs/>
          <w:color w:val="0D0D0D" w:themeColor="text1" w:themeTint="F2"/>
          <w:sz w:val="32"/>
          <w:szCs w:val="32"/>
          <w:u w:color="000000" w:themeColor="text1"/>
          <w14:textFill>
            <w14:solidFill>
              <w14:schemeClr w14:val="tx1">
                <w14:lumMod w14:val="95000"/>
                <w14:lumOff w14:val="5000"/>
              </w14:schemeClr>
            </w14:solidFill>
          </w14:textFill>
        </w:rPr>
        <w:t>财政拨款“三公”经费支出决算具体情况说明。</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一般公共预算财政拨款</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“三公”经费支出决算中，因公出国（境）费支出决算</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%；公务用车购置及运行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维护</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费支出决算</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%；公务接待费支出决算</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%。具体情况如下：</w:t>
      </w:r>
    </w:p>
    <w:p>
      <w:pPr>
        <w:ind w:firstLine="643" w:firstLineChars="200"/>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_GB2312" w:hAnsi="ˎ̥" w:eastAsia="仿宋_GB2312"/>
          <w:b/>
          <w:color w:val="0D0D0D" w:themeColor="text1" w:themeTint="F2"/>
          <w:sz w:val="32"/>
          <w:szCs w:val="32"/>
          <w:u w:color="000000" w:themeColor="text1"/>
          <w:lang w:val="en-US" w:eastAsia="zh-CN"/>
          <w14:textFill>
            <w14:solidFill>
              <w14:schemeClr w14:val="tx1">
                <w14:lumMod w14:val="95000"/>
                <w14:lumOff w14:val="5000"/>
              </w14:schemeClr>
            </w14:solidFill>
          </w14:textFill>
        </w:rPr>
        <w:t>1.</w:t>
      </w:r>
      <w:r>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t>因公出国（境）费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万元。全年安排因公出国（境）团组</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个，因公出国（境）</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人次。</w:t>
      </w:r>
    </w:p>
    <w:p>
      <w:pPr>
        <w:ind w:firstLine="640" w:firstLineChars="200"/>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因公出国（境）费支出决算</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比预算数增加0万元，增长0%。本年决算数较上年增加0万元，增长0%。</w:t>
      </w:r>
    </w:p>
    <w:p>
      <w:pPr>
        <w:numPr>
          <w:ilvl w:val="0"/>
          <w:numId w:val="0"/>
        </w:numPr>
        <w:ind w:firstLine="0" w:firstLineChars="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b/>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2.</w:t>
      </w:r>
      <w:r>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t>公务用车购置及运行</w:t>
      </w:r>
      <w:r>
        <w:rPr>
          <w:rFonts w:hint="eastAsia" w:ascii="仿宋_GB2312" w:hAnsi="ˎ̥" w:eastAsia="仿宋_GB2312"/>
          <w:b/>
          <w:color w:val="0D0D0D" w:themeColor="text1" w:themeTint="F2"/>
          <w:sz w:val="32"/>
          <w:szCs w:val="32"/>
          <w:u w:color="000000" w:themeColor="text1"/>
          <w:lang w:eastAsia="zh-CN"/>
          <w14:textFill>
            <w14:solidFill>
              <w14:schemeClr w14:val="tx1">
                <w14:lumMod w14:val="95000"/>
                <w14:lumOff w14:val="5000"/>
              </w14:schemeClr>
            </w14:solidFill>
          </w14:textFill>
        </w:rPr>
        <w:t>维护</w:t>
      </w:r>
      <w:r>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t>费支出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万元。其中：</w:t>
      </w:r>
    </w:p>
    <w:p>
      <w:pPr>
        <w:numPr>
          <w:ilvl w:val="0"/>
          <w:numId w:val="0"/>
        </w:numPr>
        <w:ind w:firstLine="643"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t>公务用车购置支出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万元，全年购置公务用车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辆，年末公务用车保有量</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辆。</w:t>
      </w:r>
    </w:p>
    <w:p>
      <w:pPr>
        <w:numPr>
          <w:ilvl w:val="0"/>
          <w:numId w:val="0"/>
        </w:numPr>
        <w:ind w:firstLine="643"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t>公务用车运行</w:t>
      </w:r>
      <w:r>
        <w:rPr>
          <w:rFonts w:hint="eastAsia" w:ascii="仿宋_GB2312" w:hAnsi="ˎ̥" w:eastAsia="仿宋_GB2312"/>
          <w:b/>
          <w:color w:val="0D0D0D" w:themeColor="text1" w:themeTint="F2"/>
          <w:sz w:val="32"/>
          <w:szCs w:val="32"/>
          <w:u w:color="000000" w:themeColor="text1"/>
          <w:lang w:eastAsia="zh-CN"/>
          <w14:textFill>
            <w14:solidFill>
              <w14:schemeClr w14:val="tx1">
                <w14:lumMod w14:val="95000"/>
                <w14:lumOff w14:val="5000"/>
              </w14:schemeClr>
            </w14:solidFill>
          </w14:textFill>
        </w:rPr>
        <w:t>维护费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w:t>
      </w:r>
    </w:p>
    <w:p>
      <w:pPr>
        <w:ind w:firstLine="640" w:firstLineChars="200"/>
        <w:rPr>
          <w:rFonts w:hint="eastAsia" w:ascii="仿宋_GB2312" w:hAnsi="ˎ̥" w:eastAsia="仿宋_GB2312"/>
          <w:b w:val="0"/>
          <w:bCs/>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_GB2312" w:hAnsi="ˎ̥" w:eastAsia="仿宋_GB2312"/>
          <w:b w:val="0"/>
          <w:bCs/>
          <w:color w:val="0D0D0D" w:themeColor="text1" w:themeTint="F2"/>
          <w:sz w:val="32"/>
          <w:szCs w:val="32"/>
          <w:u w:color="000000" w:themeColor="text1"/>
          <w14:textFill>
            <w14:solidFill>
              <w14:schemeClr w14:val="tx1">
                <w14:lumMod w14:val="95000"/>
                <w14:lumOff w14:val="5000"/>
              </w14:schemeClr>
            </w14:solidFill>
          </w14:textFill>
        </w:rPr>
        <w:t>公务用车购置及运行费支出</w:t>
      </w:r>
      <w:r>
        <w:rPr>
          <w:rFonts w:hint="eastAsia" w:ascii="仿宋_GB2312" w:hAnsi="ˎ̥" w:eastAsia="仿宋_GB2312"/>
          <w:b w:val="0"/>
          <w:bCs/>
          <w:color w:val="0D0D0D" w:themeColor="text1" w:themeTint="F2"/>
          <w:sz w:val="32"/>
          <w:szCs w:val="32"/>
          <w:u w:color="000000" w:themeColor="text1"/>
          <w:lang w:val="en-US" w:eastAsia="zh-CN"/>
          <w14:textFill>
            <w14:solidFill>
              <w14:schemeClr w14:val="tx1">
                <w14:lumMod w14:val="95000"/>
                <w14:lumOff w14:val="5000"/>
              </w14:schemeClr>
            </w14:solidFill>
          </w14:textFill>
        </w:rPr>
        <w:t>决算数</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比预算数增加0万元，增长0%。本年决算数较上年增加0万元，增长0%。</w:t>
      </w:r>
    </w:p>
    <w:p>
      <w:pPr>
        <w:numPr>
          <w:ilvl w:val="0"/>
          <w:numId w:val="0"/>
        </w:numPr>
        <w:ind w:left="0" w:leftChars="0" w:firstLine="0" w:firstLineChars="0"/>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_GB2312" w:hAnsi="ˎ̥" w:eastAsia="仿宋_GB2312"/>
          <w:b/>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3.</w:t>
      </w:r>
      <w:r>
        <w:rPr>
          <w:rFonts w:hint="eastAsia" w:ascii="仿宋_GB2312" w:hAnsi="ˎ̥" w:eastAsia="仿宋_GB2312"/>
          <w:b/>
          <w:color w:val="0D0D0D" w:themeColor="text1" w:themeTint="F2"/>
          <w:sz w:val="32"/>
          <w:szCs w:val="32"/>
          <w:u w:color="000000" w:themeColor="text1"/>
          <w14:textFill>
            <w14:solidFill>
              <w14:schemeClr w14:val="tx1">
                <w14:lumMod w14:val="95000"/>
                <w14:lumOff w14:val="5000"/>
              </w14:schemeClr>
            </w14:solidFill>
          </w14:textFill>
        </w:rPr>
        <w:t>公务接待费支出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其中：</w:t>
      </w:r>
    </w:p>
    <w:p>
      <w:pPr>
        <w:numPr>
          <w:ilvl w:val="0"/>
          <w:numId w:val="0"/>
        </w:numPr>
        <w:ind w:left="0" w:leftChars="0" w:firstLine="643"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b/>
          <w:color w:val="0D0D0D" w:themeColor="text1" w:themeTint="F2"/>
          <w:sz w:val="32"/>
          <w:szCs w:val="32"/>
          <w:u w:color="000000" w:themeColor="text1"/>
          <w:lang w:eastAsia="zh-CN"/>
          <w14:textFill>
            <w14:solidFill>
              <w14:schemeClr w14:val="tx1">
                <w14:lumMod w14:val="95000"/>
                <w14:lumOff w14:val="5000"/>
              </w14:schemeClr>
            </w14:solidFill>
          </w14:textFill>
        </w:rPr>
        <w:t>国内接待费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支出</w:t>
      </w:r>
      <w:r>
        <w:rPr>
          <w:rFonts w:hint="eastAsia" w:ascii="仿宋_GB2312" w:hAnsi="ˎ̥" w:eastAsia="仿宋_GB2312"/>
          <w:color w:val="0D0D0D" w:themeColor="text1" w:themeTint="F2"/>
          <w:sz w:val="32"/>
          <w:szCs w:val="32"/>
          <w:highlight w:val="none"/>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国内公务接待</w:t>
      </w:r>
      <w:r>
        <w:rPr>
          <w:rFonts w:hint="eastAsia" w:ascii="仿宋_GB2312" w:hAnsi="ˎ̥" w:eastAsia="仿宋_GB2312"/>
          <w:color w:val="0D0D0D" w:themeColor="text1" w:themeTint="F2"/>
          <w:sz w:val="32"/>
          <w:szCs w:val="32"/>
          <w:highlight w:val="none"/>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批次，接待</w:t>
      </w:r>
      <w:r>
        <w:rPr>
          <w:rFonts w:hint="eastAsia" w:ascii="仿宋_GB2312" w:hAnsi="ˎ̥" w:eastAsia="仿宋_GB2312"/>
          <w:color w:val="0D0D0D" w:themeColor="text1" w:themeTint="F2"/>
          <w:sz w:val="32"/>
          <w:szCs w:val="32"/>
          <w:highlight w:val="none"/>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人次</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numPr>
          <w:ilvl w:val="0"/>
          <w:numId w:val="0"/>
        </w:numPr>
        <w:ind w:left="0" w:leftChars="0" w:firstLine="640" w:firstLineChars="200"/>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国（境）外接待费</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支出</w:t>
      </w:r>
      <w:r>
        <w:rPr>
          <w:rFonts w:hint="eastAsia" w:ascii="仿宋_GB2312" w:hAnsi="ˎ̥" w:eastAsia="仿宋_GB2312"/>
          <w:color w:val="0D0D0D" w:themeColor="text1" w:themeTint="F2"/>
          <w:sz w:val="32"/>
          <w:szCs w:val="32"/>
          <w:highlight w:val="none"/>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万元，</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国（境）外公务接待</w:t>
      </w:r>
      <w:r>
        <w:rPr>
          <w:rFonts w:hint="eastAsia" w:ascii="仿宋_GB2312" w:hAnsi="ˎ̥" w:eastAsia="仿宋_GB2312"/>
          <w:color w:val="0D0D0D" w:themeColor="text1" w:themeTint="F2"/>
          <w:sz w:val="32"/>
          <w:szCs w:val="32"/>
          <w:highlight w:val="none"/>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批次</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，接待</w:t>
      </w:r>
      <w:r>
        <w:rPr>
          <w:rFonts w:hint="eastAsia" w:ascii="仿宋_GB2312" w:hAnsi="ˎ̥" w:eastAsia="仿宋_GB2312"/>
          <w:color w:val="0D0D0D" w:themeColor="text1" w:themeTint="F2"/>
          <w:sz w:val="32"/>
          <w:szCs w:val="32"/>
          <w:highlight w:val="none"/>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人次。</w:t>
      </w:r>
    </w:p>
    <w:p>
      <w:pPr>
        <w:numPr>
          <w:ilvl w:val="0"/>
          <w:numId w:val="0"/>
        </w:numPr>
        <w:ind w:left="0" w:leftChars="0" w:firstLine="640" w:firstLineChars="200"/>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highlight w:val="none"/>
          <w:u w:color="000000" w:themeColor="text1"/>
          <w:lang w:val="en-US" w:eastAsia="zh-CN"/>
          <w14:textFill>
            <w14:solidFill>
              <w14:schemeClr w14:val="tx1">
                <w14:lumMod w14:val="95000"/>
                <w14:lumOff w14:val="5000"/>
              </w14:schemeClr>
            </w14:solidFill>
          </w14:textFill>
        </w:rPr>
        <w:t>公务接待费支出决算数比预算数增加0万元，增长0%。</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本年决算数较上年增加0万元，增长0%。</w:t>
      </w:r>
    </w:p>
    <w:p>
      <w:pPr>
        <w:ind w:firstLine="627" w:firstLineChars="196"/>
        <w:rPr>
          <w:rFonts w:hint="eastAsia" w:ascii="仿宋_GB2312" w:hAnsi="ˎ̥" w:eastAsia="楷体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bCs/>
          <w:color w:val="0D0D0D" w:themeColor="text1" w:themeTint="F2"/>
          <w:sz w:val="32"/>
          <w:szCs w:val="32"/>
          <w:u w:color="000000" w:themeColor="text1"/>
          <w:lang w:val="en-US" w:eastAsia="zh-CN"/>
          <w14:textFill>
            <w14:solidFill>
              <w14:schemeClr w14:val="tx1">
                <w14:lumMod w14:val="95000"/>
                <w14:lumOff w14:val="5000"/>
              </w14:schemeClr>
            </w14:solidFill>
          </w14:textFill>
        </w:rPr>
        <w:t>十、</w:t>
      </w:r>
      <w:r>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t>政府性基金</w:t>
      </w:r>
      <w:r>
        <w:rPr>
          <w:rFonts w:hint="eastAsia" w:ascii="黑体" w:hAnsi="黑体" w:eastAsia="黑体" w:cs="黑体"/>
          <w:b w:val="0"/>
          <w:bCs/>
          <w:color w:val="0D0D0D" w:themeColor="text1" w:themeTint="F2"/>
          <w:sz w:val="32"/>
          <w:szCs w:val="32"/>
          <w:u w:color="000000" w:themeColor="text1"/>
          <w14:textFill>
            <w14:solidFill>
              <w14:schemeClr w14:val="tx1">
                <w14:lumMod w14:val="95000"/>
                <w14:lumOff w14:val="5000"/>
              </w14:schemeClr>
            </w14:solidFill>
          </w14:textFill>
        </w:rPr>
        <w:t>预算财政拨款“三公”经费支出决算情况说明</w:t>
      </w:r>
    </w:p>
    <w:p>
      <w:pPr>
        <w:numPr>
          <w:ilvl w:val="0"/>
          <w:numId w:val="0"/>
        </w:numPr>
        <w:ind w:left="0" w:leftChars="0"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政府性基金预算财政拨款</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“三公”经费支出</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合计</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。其中：</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因公出国（境）费支出决算</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%；公务用车购置及运行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维护</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费支出决算</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%；公务接待费支出决算</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27" w:firstLineChars="196"/>
        <w:rPr>
          <w:rFonts w:hint="eastAsia" w:ascii="仿宋_GB2312" w:hAnsi="ˎ̥" w:eastAsia="楷体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bCs/>
          <w:color w:val="0D0D0D" w:themeColor="text1" w:themeTint="F2"/>
          <w:sz w:val="32"/>
          <w:szCs w:val="32"/>
          <w:u w:color="000000" w:themeColor="text1"/>
          <w:lang w:val="en-US" w:eastAsia="zh-CN"/>
          <w14:textFill>
            <w14:solidFill>
              <w14:schemeClr w14:val="tx1">
                <w14:lumMod w14:val="95000"/>
                <w14:lumOff w14:val="5000"/>
              </w14:schemeClr>
            </w14:solidFill>
          </w14:textFill>
        </w:rPr>
        <w:t>十一、</w:t>
      </w:r>
      <w:r>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t>国有资本经营</w:t>
      </w:r>
      <w:r>
        <w:rPr>
          <w:rFonts w:hint="eastAsia" w:ascii="黑体" w:hAnsi="黑体" w:eastAsia="黑体" w:cs="黑体"/>
          <w:b w:val="0"/>
          <w:bCs/>
          <w:color w:val="0D0D0D" w:themeColor="text1" w:themeTint="F2"/>
          <w:sz w:val="32"/>
          <w:szCs w:val="32"/>
          <w:u w:color="000000" w:themeColor="text1"/>
          <w14:textFill>
            <w14:solidFill>
              <w14:schemeClr w14:val="tx1">
                <w14:lumMod w14:val="95000"/>
                <w14:lumOff w14:val="5000"/>
              </w14:schemeClr>
            </w14:solidFill>
          </w14:textFill>
        </w:rPr>
        <w:t>预算财政拨款“三公”经费支出决算情况说明</w:t>
      </w:r>
    </w:p>
    <w:p>
      <w:pPr>
        <w:numPr>
          <w:ilvl w:val="0"/>
          <w:numId w:val="0"/>
        </w:numPr>
        <w:ind w:left="0" w:leftChars="0"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国有资本经营预算财政拨款</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“三公”经费支出</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合计</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。其中：</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因公出国（境）费支出决算</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%；公务用车购置及运行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维护</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费支出决算</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%；公务接待费支出决算</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0" w:firstLineChars="200"/>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t>十二、</w:t>
      </w:r>
      <w:r>
        <w:rPr>
          <w:rFonts w:hint="eastAsia" w:ascii="黑体" w:hAnsi="黑体" w:eastAsia="黑体" w:cs="黑体"/>
          <w:b w:val="0"/>
          <w:bCs/>
          <w:color w:val="0D0D0D" w:themeColor="text1" w:themeTint="F2"/>
          <w:sz w:val="32"/>
          <w:szCs w:val="32"/>
          <w:u w:color="000000" w:themeColor="text1"/>
          <w14:textFill>
            <w14:solidFill>
              <w14:schemeClr w14:val="tx1">
                <w14:lumMod w14:val="95000"/>
                <w14:lumOff w14:val="5000"/>
              </w14:schemeClr>
            </w14:solidFill>
          </w14:textFill>
        </w:rPr>
        <w:t>预算绩效情况说明</w:t>
      </w:r>
      <w:r>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t>。</w:t>
      </w:r>
    </w:p>
    <w:p>
      <w:pPr>
        <w:spacing w:line="578" w:lineRule="exact"/>
        <w:ind w:firstLine="643" w:firstLineChars="200"/>
        <w:rPr>
          <w:rFonts w:hint="eastAsia" w:ascii="楷体" w:hAnsi="楷体" w:eastAsia="楷体" w:cs="楷体"/>
          <w:b/>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楷体" w:hAnsi="楷体" w:eastAsia="楷体" w:cs="楷体"/>
          <w:b/>
          <w:color w:val="0D0D0D" w:themeColor="text1" w:themeTint="F2"/>
          <w:sz w:val="32"/>
          <w:szCs w:val="32"/>
          <w:u w:color="000000" w:themeColor="text1"/>
          <w:lang w:eastAsia="zh-CN"/>
          <w14:textFill>
            <w14:solidFill>
              <w14:schemeClr w14:val="tx1">
                <w14:lumMod w14:val="95000"/>
                <w14:lumOff w14:val="5000"/>
              </w14:schemeClr>
            </w14:solidFill>
          </w14:textFill>
        </w:rPr>
        <w:t>（一）</w:t>
      </w:r>
      <w:r>
        <w:rPr>
          <w:rFonts w:hint="eastAsia" w:ascii="楷体" w:hAnsi="楷体" w:eastAsia="楷体" w:cs="楷体"/>
          <w:b/>
          <w:color w:val="0D0D0D" w:themeColor="text1" w:themeTint="F2"/>
          <w:sz w:val="32"/>
          <w:szCs w:val="32"/>
          <w:u w:color="000000" w:themeColor="text1"/>
          <w14:textFill>
            <w14:solidFill>
              <w14:schemeClr w14:val="tx1">
                <w14:lumMod w14:val="95000"/>
                <w14:lumOff w14:val="5000"/>
              </w14:schemeClr>
            </w14:solidFill>
          </w14:textFill>
        </w:rPr>
        <w:t>绩效管理工作开展情况。</w:t>
      </w:r>
    </w:p>
    <w:p>
      <w:pPr>
        <w:spacing w:line="578" w:lineRule="exact"/>
        <w:ind w:firstLine="960" w:firstLineChars="300"/>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t>无</w:t>
      </w:r>
    </w:p>
    <w:p>
      <w:pPr>
        <w:spacing w:line="578" w:lineRule="exact"/>
        <w:ind w:firstLine="643" w:firstLineChars="200"/>
        <w:rPr>
          <w:rFonts w:hint="default" w:ascii="楷体" w:hAnsi="楷体" w:eastAsia="楷体" w:cs="楷体"/>
          <w:b/>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楷体" w:hAnsi="楷体" w:eastAsia="楷体" w:cs="楷体"/>
          <w:b/>
          <w:color w:val="0D0D0D" w:themeColor="text1" w:themeTint="F2"/>
          <w:sz w:val="32"/>
          <w:szCs w:val="32"/>
          <w:u w:color="000000" w:themeColor="text1"/>
          <w:lang w:eastAsia="zh-CN"/>
          <w14:textFill>
            <w14:solidFill>
              <w14:schemeClr w14:val="tx1">
                <w14:lumMod w14:val="95000"/>
                <w14:lumOff w14:val="5000"/>
              </w14:schemeClr>
            </w14:solidFill>
          </w14:textFill>
        </w:rPr>
        <w:t>（二）</w:t>
      </w:r>
      <w:r>
        <w:rPr>
          <w:rFonts w:hint="eastAsia" w:ascii="楷体" w:hAnsi="楷体" w:eastAsia="楷体" w:cs="楷体"/>
          <w:b/>
          <w:color w:val="0D0D0D" w:themeColor="text1" w:themeTint="F2"/>
          <w:sz w:val="32"/>
          <w:szCs w:val="32"/>
          <w:u w:color="000000" w:themeColor="text1"/>
          <w14:textFill>
            <w14:solidFill>
              <w14:schemeClr w14:val="tx1">
                <w14:lumMod w14:val="95000"/>
                <w14:lumOff w14:val="5000"/>
              </w14:schemeClr>
            </w14:solidFill>
          </w14:textFill>
        </w:rPr>
        <w:t>部门决算中项目绩效自评结果</w:t>
      </w:r>
    </w:p>
    <w:p>
      <w:pPr>
        <w:spacing w:line="578" w:lineRule="exact"/>
        <w:ind w:firstLine="960" w:firstLineChars="300"/>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u w:color="000000" w:themeColor="text1"/>
          <w:lang w:val="en-US" w:eastAsia="zh-CN"/>
          <w14:textFill>
            <w14:solidFill>
              <w14:schemeClr w14:val="tx1">
                <w14:lumMod w14:val="95000"/>
                <w14:lumOff w14:val="5000"/>
              </w14:schemeClr>
            </w14:solidFill>
          </w14:textFill>
        </w:rPr>
        <w:t>无</w:t>
      </w:r>
    </w:p>
    <w:p>
      <w:pPr>
        <w:spacing w:line="578" w:lineRule="exact"/>
        <w:ind w:firstLine="643" w:firstLineChars="200"/>
        <w:rPr>
          <w:rFonts w:hint="eastAsia" w:ascii="楷体" w:hAnsi="楷体" w:eastAsia="楷体" w:cs="楷体"/>
          <w:b/>
          <w:bCs w:val="0"/>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楷体" w:hAnsi="楷体" w:eastAsia="楷体" w:cs="楷体"/>
          <w:b/>
          <w:color w:val="0D0D0D" w:themeColor="text1" w:themeTint="F2"/>
          <w:sz w:val="32"/>
          <w:szCs w:val="32"/>
          <w:u w:color="000000" w:themeColor="text1"/>
          <w:lang w:eastAsia="zh-CN"/>
          <w14:textFill>
            <w14:solidFill>
              <w14:schemeClr w14:val="tx1">
                <w14:lumMod w14:val="95000"/>
                <w14:lumOff w14:val="5000"/>
              </w14:schemeClr>
            </w14:solidFill>
          </w14:textFill>
        </w:rPr>
        <w:t>（三）</w:t>
      </w:r>
      <w:r>
        <w:rPr>
          <w:rFonts w:hint="eastAsia" w:ascii="楷体" w:hAnsi="楷体" w:eastAsia="楷体" w:cs="楷体"/>
          <w:b/>
          <w:bCs w:val="0"/>
          <w:color w:val="0D0D0D" w:themeColor="text1" w:themeTint="F2"/>
          <w:sz w:val="32"/>
          <w:szCs w:val="32"/>
          <w:u w:color="000000" w:themeColor="text1"/>
          <w:lang w:eastAsia="zh-CN"/>
          <w14:textFill>
            <w14:solidFill>
              <w14:schemeClr w14:val="tx1">
                <w14:lumMod w14:val="95000"/>
                <w14:lumOff w14:val="5000"/>
              </w14:schemeClr>
            </w14:solidFill>
          </w14:textFill>
        </w:rPr>
        <w:t>财政评价项目绩效评价结果</w:t>
      </w:r>
      <w:bookmarkStart w:id="119" w:name="_GoBack"/>
      <w:bookmarkEnd w:id="119"/>
      <w:r>
        <w:rPr>
          <w:rFonts w:hint="eastAsia" w:ascii="楷体" w:hAnsi="楷体" w:eastAsia="楷体" w:cs="楷体"/>
          <w:b/>
          <w:bCs w:val="0"/>
          <w:color w:val="0D0D0D" w:themeColor="text1" w:themeTint="F2"/>
          <w:sz w:val="32"/>
          <w:szCs w:val="32"/>
          <w:u w:color="000000" w:themeColor="text1"/>
          <w14:textFill>
            <w14:solidFill>
              <w14:schemeClr w14:val="tx1">
                <w14:lumMod w14:val="95000"/>
                <w14:lumOff w14:val="5000"/>
              </w14:schemeClr>
            </w14:solidFill>
          </w14:textFill>
        </w:rPr>
        <w:t>。</w:t>
      </w:r>
    </w:p>
    <w:p>
      <w:pPr>
        <w:spacing w:line="578" w:lineRule="exact"/>
        <w:ind w:firstLine="960" w:firstLineChars="300"/>
        <w:rPr>
          <w:rFonts w:hint="eastAsia" w:ascii="仿宋_GB2312"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无</w:t>
      </w:r>
    </w:p>
    <w:p>
      <w:pPr>
        <w:spacing w:line="578" w:lineRule="exact"/>
        <w:ind w:firstLine="643" w:firstLineChars="200"/>
        <w:rPr>
          <w:rFonts w:hint="eastAsia" w:ascii="楷体" w:hAnsi="楷体" w:eastAsia="楷体" w:cs="楷体"/>
          <w:b/>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楷体" w:hAnsi="楷体" w:eastAsia="楷体" w:cs="楷体"/>
          <w:b/>
          <w:color w:val="0D0D0D" w:themeColor="text1" w:themeTint="F2"/>
          <w:sz w:val="32"/>
          <w:szCs w:val="32"/>
          <w:u w:color="000000" w:themeColor="text1"/>
          <w:lang w:eastAsia="zh-CN"/>
          <w14:textFill>
            <w14:solidFill>
              <w14:schemeClr w14:val="tx1">
                <w14:lumMod w14:val="95000"/>
                <w14:lumOff w14:val="5000"/>
              </w14:schemeClr>
            </w14:solidFill>
          </w14:textFill>
        </w:rPr>
        <w:t>（四）</w:t>
      </w:r>
      <w:r>
        <w:rPr>
          <w:rFonts w:hint="eastAsia" w:ascii="楷体" w:hAnsi="楷体" w:eastAsia="楷体" w:cs="楷体"/>
          <w:b/>
          <w:color w:val="0D0D0D" w:themeColor="text1" w:themeTint="F2"/>
          <w:sz w:val="32"/>
          <w:szCs w:val="32"/>
          <w:u w:color="000000" w:themeColor="text1"/>
          <w:lang w:val="en-US"/>
          <w14:textFill>
            <w14:solidFill>
              <w14:schemeClr w14:val="tx1">
                <w14:lumMod w14:val="95000"/>
                <w14:lumOff w14:val="5000"/>
              </w14:schemeClr>
            </w14:solidFill>
          </w14:textFill>
        </w:rPr>
        <w:t>部门评价项目绩效评价结果</w:t>
      </w:r>
      <w:r>
        <w:rPr>
          <w:rFonts w:hint="eastAsia" w:ascii="楷体" w:hAnsi="楷体" w:eastAsia="楷体" w:cs="楷体"/>
          <w:b/>
          <w:color w:val="0D0D0D" w:themeColor="text1" w:themeTint="F2"/>
          <w:sz w:val="32"/>
          <w:szCs w:val="32"/>
          <w:u w:val="none" w:color="000000" w:themeColor="text1"/>
          <w14:textFill>
            <w14:solidFill>
              <w14:schemeClr w14:val="tx1">
                <w14:lumMod w14:val="95000"/>
                <w14:lumOff w14:val="5000"/>
              </w14:schemeClr>
            </w14:solidFill>
          </w14:textFill>
        </w:rPr>
        <w:t>。</w:t>
      </w:r>
    </w:p>
    <w:p>
      <w:pPr>
        <w:ind w:firstLine="960" w:firstLineChars="300"/>
        <w:rPr>
          <w:rFonts w:hint="eastAsia" w:ascii="仿宋_GB2312"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无</w:t>
      </w:r>
    </w:p>
    <w:p>
      <w:pPr>
        <w:ind w:firstLine="640" w:firstLineChars="200"/>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t>十三、</w:t>
      </w:r>
      <w:r>
        <w:rPr>
          <w:rFonts w:hint="eastAsia" w:ascii="黑体" w:hAnsi="黑体" w:eastAsia="黑体" w:cs="黑体"/>
          <w:b w:val="0"/>
          <w:bCs/>
          <w:color w:val="0D0D0D" w:themeColor="text1" w:themeTint="F2"/>
          <w:sz w:val="32"/>
          <w:szCs w:val="32"/>
          <w:u w:color="000000" w:themeColor="text1"/>
          <w14:textFill>
            <w14:solidFill>
              <w14:schemeClr w14:val="tx1">
                <w14:lumMod w14:val="95000"/>
                <w14:lumOff w14:val="5000"/>
              </w14:schemeClr>
            </w14:solidFill>
          </w14:textFill>
        </w:rPr>
        <w:t>其他重要事项情况说明</w:t>
      </w:r>
      <w:r>
        <w:rPr>
          <w:rFonts w:hint="eastAsia" w:ascii="黑体" w:hAnsi="黑体" w:eastAsia="黑体" w:cs="黑体"/>
          <w:b w:val="0"/>
          <w:bCs/>
          <w:color w:val="0D0D0D" w:themeColor="text1" w:themeTint="F2"/>
          <w:sz w:val="32"/>
          <w:szCs w:val="32"/>
          <w:u w:color="000000" w:themeColor="text1"/>
          <w:lang w:eastAsia="zh-CN"/>
          <w14:textFill>
            <w14:solidFill>
              <w14:schemeClr w14:val="tx1">
                <w14:lumMod w14:val="95000"/>
                <w14:lumOff w14:val="5000"/>
              </w14:schemeClr>
            </w14:solidFill>
          </w14:textFill>
        </w:rPr>
        <w:t>。</w:t>
      </w:r>
    </w:p>
    <w:p>
      <w:pPr>
        <w:ind w:firstLine="643" w:firstLineChars="200"/>
        <w:rPr>
          <w:rFonts w:hint="eastAsia" w:ascii="楷体" w:hAnsi="楷体" w:eastAsia="楷体" w:cs="楷体"/>
          <w:b/>
          <w:color w:val="0D0D0D" w:themeColor="text1" w:themeTint="F2"/>
          <w:sz w:val="32"/>
          <w:szCs w:val="32"/>
          <w:u w:color="000000" w:themeColor="text1"/>
          <w14:textFill>
            <w14:solidFill>
              <w14:schemeClr w14:val="tx1">
                <w14:lumMod w14:val="95000"/>
                <w14:lumOff w14:val="5000"/>
              </w14:schemeClr>
            </w14:solidFill>
          </w14:textFill>
        </w:rPr>
      </w:pPr>
      <w:bookmarkStart w:id="95" w:name="_Toc15262_WPSOffice_Level2"/>
      <w:bookmarkStart w:id="96" w:name="_Toc5978_WPSOffice_Level2"/>
      <w:bookmarkStart w:id="97" w:name="_Toc15565_WPSOffice_Level2"/>
      <w:bookmarkStart w:id="98" w:name="_Toc18325_WPSOffice_Level2"/>
      <w:bookmarkStart w:id="99" w:name="_Toc32639_WPSOffice_Level2"/>
      <w:bookmarkStart w:id="100" w:name="_Toc23598_WPSOffice_Level2"/>
      <w:r>
        <w:rPr>
          <w:rFonts w:hint="eastAsia" w:ascii="楷体" w:hAnsi="楷体" w:eastAsia="楷体" w:cs="楷体"/>
          <w:b/>
          <w:color w:val="0D0D0D" w:themeColor="text1" w:themeTint="F2"/>
          <w:sz w:val="32"/>
          <w:szCs w:val="32"/>
          <w:u w:color="000000" w:themeColor="text1"/>
          <w:lang w:eastAsia="zh-CN"/>
          <w14:textFill>
            <w14:solidFill>
              <w14:schemeClr w14:val="tx1">
                <w14:lumMod w14:val="95000"/>
                <w14:lumOff w14:val="5000"/>
              </w14:schemeClr>
            </w14:solidFill>
          </w14:textFill>
        </w:rPr>
        <w:t>（一）</w:t>
      </w:r>
      <w:r>
        <w:rPr>
          <w:rFonts w:hint="eastAsia" w:ascii="楷体" w:hAnsi="楷体" w:eastAsia="楷体" w:cs="楷体"/>
          <w:b/>
          <w:color w:val="0D0D0D" w:themeColor="text1" w:themeTint="F2"/>
          <w:sz w:val="32"/>
          <w:szCs w:val="32"/>
          <w:u w:color="000000" w:themeColor="text1"/>
          <w14:textFill>
            <w14:solidFill>
              <w14:schemeClr w14:val="tx1">
                <w14:lumMod w14:val="95000"/>
                <w14:lumOff w14:val="5000"/>
              </w14:schemeClr>
            </w14:solidFill>
          </w14:textFill>
        </w:rPr>
        <w:t>机关运行经费支出情况。</w:t>
      </w:r>
      <w:bookmarkEnd w:id="95"/>
      <w:bookmarkEnd w:id="96"/>
      <w:bookmarkEnd w:id="97"/>
      <w:bookmarkEnd w:id="98"/>
      <w:bookmarkEnd w:id="99"/>
      <w:bookmarkEnd w:id="100"/>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三亚市天涯区第三幼儿园</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单位机关运行经费</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万元，比</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年初预算</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增加</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万元，增长</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3" w:firstLineChars="200"/>
        <w:rPr>
          <w:rFonts w:hint="eastAsia" w:ascii="楷体" w:hAnsi="楷体" w:eastAsia="楷体" w:cs="楷体"/>
          <w:b/>
          <w:color w:val="0D0D0D" w:themeColor="text1" w:themeTint="F2"/>
          <w:sz w:val="32"/>
          <w:szCs w:val="32"/>
          <w:u w:color="000000" w:themeColor="text1"/>
          <w14:textFill>
            <w14:solidFill>
              <w14:schemeClr w14:val="tx1">
                <w14:lumMod w14:val="95000"/>
                <w14:lumOff w14:val="5000"/>
              </w14:schemeClr>
            </w14:solidFill>
          </w14:textFill>
        </w:rPr>
      </w:pPr>
      <w:bookmarkStart w:id="101" w:name="_Toc3131_WPSOffice_Level2"/>
      <w:bookmarkStart w:id="102" w:name="_Toc30383_WPSOffice_Level2"/>
      <w:bookmarkStart w:id="103" w:name="_Toc13084_WPSOffice_Level2"/>
      <w:bookmarkStart w:id="104" w:name="_Toc25333_WPSOffice_Level2"/>
      <w:bookmarkStart w:id="105" w:name="_Toc32689_WPSOffice_Level2"/>
      <w:bookmarkStart w:id="106" w:name="_Toc23966_WPSOffice_Level2"/>
      <w:r>
        <w:rPr>
          <w:rFonts w:hint="eastAsia" w:ascii="楷体" w:hAnsi="楷体" w:eastAsia="楷体" w:cs="楷体"/>
          <w:b/>
          <w:color w:val="0D0D0D" w:themeColor="text1" w:themeTint="F2"/>
          <w:sz w:val="32"/>
          <w:szCs w:val="32"/>
          <w:u w:color="000000" w:themeColor="text1"/>
          <w:lang w:eastAsia="zh-CN"/>
          <w14:textFill>
            <w14:solidFill>
              <w14:schemeClr w14:val="tx1">
                <w14:lumMod w14:val="95000"/>
                <w14:lumOff w14:val="5000"/>
              </w14:schemeClr>
            </w14:solidFill>
          </w14:textFill>
        </w:rPr>
        <w:t>（二）</w:t>
      </w:r>
      <w:r>
        <w:rPr>
          <w:rFonts w:hint="eastAsia" w:ascii="楷体" w:hAnsi="楷体" w:eastAsia="楷体" w:cs="楷体"/>
          <w:b/>
          <w:color w:val="0D0D0D" w:themeColor="text1" w:themeTint="F2"/>
          <w:sz w:val="32"/>
          <w:szCs w:val="32"/>
          <w:u w:color="000000" w:themeColor="text1"/>
          <w14:textFill>
            <w14:solidFill>
              <w14:schemeClr w14:val="tx1">
                <w14:lumMod w14:val="95000"/>
                <w14:lumOff w14:val="5000"/>
              </w14:schemeClr>
            </w14:solidFill>
          </w14:textFill>
        </w:rPr>
        <w:t>政府采购支出情况。</w:t>
      </w:r>
      <w:bookmarkEnd w:id="101"/>
      <w:bookmarkEnd w:id="102"/>
      <w:bookmarkEnd w:id="103"/>
      <w:bookmarkEnd w:id="104"/>
      <w:bookmarkEnd w:id="105"/>
      <w:bookmarkEnd w:id="106"/>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三亚市天涯区第三幼儿园</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单位政府采购支出总额</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万元，其中：政府采购货物支出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万元、政府采购工程支出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万元、政府采购服务支出</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万元。授予中小企业合同金额</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万元，占政府采购支出总额的</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%，其中：授予小微企业合同金额</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万元，占政府采购支出总额的</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3" w:firstLineChars="200"/>
        <w:rPr>
          <w:rFonts w:hint="eastAsia" w:ascii="楷体" w:hAnsi="楷体" w:eastAsia="楷体" w:cs="楷体"/>
          <w:b/>
          <w:color w:val="0D0D0D" w:themeColor="text1" w:themeTint="F2"/>
          <w:sz w:val="32"/>
          <w:szCs w:val="32"/>
          <w:u w:color="000000" w:themeColor="text1"/>
          <w14:textFill>
            <w14:solidFill>
              <w14:schemeClr w14:val="tx1">
                <w14:lumMod w14:val="95000"/>
                <w14:lumOff w14:val="5000"/>
              </w14:schemeClr>
            </w14:solidFill>
          </w14:textFill>
        </w:rPr>
      </w:pPr>
      <w:bookmarkStart w:id="107" w:name="_Toc10902_WPSOffice_Level2"/>
      <w:bookmarkStart w:id="108" w:name="_Toc19989_WPSOffice_Level2"/>
      <w:bookmarkStart w:id="109" w:name="_Toc6016_WPSOffice_Level2"/>
      <w:bookmarkStart w:id="110" w:name="_Toc29584_WPSOffice_Level2"/>
      <w:bookmarkStart w:id="111" w:name="_Toc15129_WPSOffice_Level2"/>
      <w:bookmarkStart w:id="112" w:name="_Toc527_WPSOffice_Level2"/>
      <w:r>
        <w:rPr>
          <w:rFonts w:hint="eastAsia" w:ascii="楷体" w:hAnsi="楷体" w:eastAsia="楷体" w:cs="楷体"/>
          <w:b/>
          <w:color w:val="0D0D0D" w:themeColor="text1" w:themeTint="F2"/>
          <w:sz w:val="32"/>
          <w:szCs w:val="32"/>
          <w:u w:color="000000" w:themeColor="text1"/>
          <w:lang w:eastAsia="zh-CN"/>
          <w14:textFill>
            <w14:solidFill>
              <w14:schemeClr w14:val="tx1">
                <w14:lumMod w14:val="95000"/>
                <w14:lumOff w14:val="5000"/>
              </w14:schemeClr>
            </w14:solidFill>
          </w14:textFill>
        </w:rPr>
        <w:t>（三）</w:t>
      </w:r>
      <w:r>
        <w:rPr>
          <w:rFonts w:hint="eastAsia" w:ascii="楷体" w:hAnsi="楷体" w:eastAsia="楷体" w:cs="楷体"/>
          <w:b/>
          <w:color w:val="0D0D0D" w:themeColor="text1" w:themeTint="F2"/>
          <w:sz w:val="32"/>
          <w:szCs w:val="32"/>
          <w:u w:color="000000" w:themeColor="text1"/>
          <w14:textFill>
            <w14:solidFill>
              <w14:schemeClr w14:val="tx1">
                <w14:lumMod w14:val="95000"/>
                <w14:lumOff w14:val="5000"/>
              </w14:schemeClr>
            </w14:solidFill>
          </w14:textFill>
        </w:rPr>
        <w:t>国有资产占用情况。</w:t>
      </w:r>
      <w:bookmarkEnd w:id="107"/>
      <w:bookmarkEnd w:id="108"/>
      <w:bookmarkEnd w:id="109"/>
      <w:bookmarkEnd w:id="110"/>
      <w:bookmarkEnd w:id="111"/>
      <w:bookmarkEnd w:id="112"/>
    </w:p>
    <w:p>
      <w:pPr>
        <w:spacing w:line="578" w:lineRule="exact"/>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截至</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202</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2</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12月31日，</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本部门占用房屋面积0平方米，其中：办公用房0平方米，业务用房0平方米，其他（不含构筑物）0平方米。</w:t>
      </w:r>
    </w:p>
    <w:p>
      <w:pPr>
        <w:spacing w:line="578" w:lineRule="exact"/>
        <w:ind w:firstLine="640" w:firstLineChars="200"/>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本部门共有车辆</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辆，其中</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：从车辆种类说明：</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轿车0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辆、</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越野车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辆、</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小型载客汽</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辆、</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大中型载客汽车</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辆、其他</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车型</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辆，</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；从车辆使用情况说明：副</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部</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（省）</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级</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及以上</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领导用车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辆、</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主要领导干部用车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辆、</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机要通信用车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辆、</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应急保障用车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辆、</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执法执勤</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用车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辆、特种专业技术用车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辆、</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离退休干部</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用车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辆、其他用车</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辆</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p>
    <w:p>
      <w:pPr>
        <w:spacing w:line="578" w:lineRule="exact"/>
        <w:ind w:firstLine="640" w:firstLineChars="200"/>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单位价值50万元</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（含）</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以上通用设备</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台（套），单价100万元</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（含）</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以上专用设备</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台（套）。</w:t>
      </w:r>
    </w:p>
    <w:p>
      <w:pPr>
        <w:spacing w:line="578" w:lineRule="exact"/>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年末在建工程</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0</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万元</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spacing w:line="578" w:lineRule="exact"/>
        <w:ind w:firstLine="640" w:firstLineChars="200"/>
        <w:rPr>
          <w:rFonts w:hint="eastAsia" w:ascii="仿宋_GB2312" w:hAnsi="ˎ̥" w:eastAsia="仿宋_GB2312"/>
          <w:color w:val="0D0D0D" w:themeColor="text1" w:themeTint="F2"/>
          <w:sz w:val="32"/>
          <w:szCs w:val="32"/>
          <w:highlight w:val="yellow"/>
          <w:u w:color="000000" w:themeColor="text1"/>
          <w:lang w:val="en-US" w:eastAsia="zh-CN"/>
          <w14:textFill>
            <w14:solidFill>
              <w14:schemeClr w14:val="tx1">
                <w14:lumMod w14:val="95000"/>
                <w14:lumOff w14:val="5000"/>
              </w14:schemeClr>
            </w14:solidFill>
          </w14:textFill>
        </w:rPr>
      </w:pPr>
    </w:p>
    <w:p>
      <w:pPr>
        <w:spacing w:line="578" w:lineRule="exact"/>
        <w:ind w:firstLine="640" w:firstLineChars="200"/>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pPr>
    </w:p>
    <w:p>
      <w:pPr>
        <w:spacing w:line="578" w:lineRule="exact"/>
        <w:ind w:firstLine="640" w:firstLineChars="200"/>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pPr>
    </w:p>
    <w:p>
      <w:pPr>
        <w:jc w:val="cente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bookmarkStart w:id="113" w:name="_Toc8808_WPSOffice_Level1"/>
      <w:bookmarkStart w:id="114" w:name="_Toc11039_WPSOffice_Level1"/>
      <w:bookmarkStart w:id="115" w:name="_Toc17580_WPSOffice_Level1"/>
      <w:bookmarkStart w:id="116" w:name="_Toc8874_WPSOffice_Level1"/>
      <w:bookmarkStart w:id="117" w:name="_Toc15425_WPSOffice_Level1"/>
      <w:bookmarkStart w:id="118" w:name="_Toc4398_WPSOffice_Level1"/>
    </w:p>
    <w:p>
      <w:pPr>
        <w:jc w:val="cente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jc w:val="cente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jc w:val="cente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jc w:val="cente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jc w:val="cente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jc w:val="cente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jc w:val="cente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jc w:val="center"/>
        <w:rPr>
          <w:rFonts w:hint="eastAsia" w:ascii="黑体" w:hAnsi="ˎ̥" w:eastAsia="黑体"/>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t>第四部分</w:t>
      </w:r>
      <w:r>
        <w:rPr>
          <w:rFonts w:hint="eastAsia" w:ascii="黑体" w:hAnsi="ˎ̥" w:eastAsia="黑体"/>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w:t>
      </w:r>
      <w:r>
        <w:rPr>
          <w:rFonts w:hint="eastAsia" w:ascii="黑体" w:hAnsi="ˎ̥" w:eastAsia="黑体"/>
          <w:color w:val="0D0D0D" w:themeColor="text1" w:themeTint="F2"/>
          <w:sz w:val="32"/>
          <w:szCs w:val="32"/>
          <w:u w:color="000000" w:themeColor="text1"/>
          <w14:textFill>
            <w14:solidFill>
              <w14:schemeClr w14:val="tx1">
                <w14:lumMod w14:val="95000"/>
                <w14:lumOff w14:val="5000"/>
              </w14:schemeClr>
            </w14:solidFill>
          </w14:textFill>
        </w:rPr>
        <w:t>名词解释</w:t>
      </w:r>
      <w:bookmarkEnd w:id="113"/>
      <w:bookmarkEnd w:id="114"/>
      <w:bookmarkEnd w:id="115"/>
      <w:bookmarkEnd w:id="116"/>
      <w:bookmarkEnd w:id="117"/>
      <w:bookmarkEnd w:id="118"/>
    </w:p>
    <w:p>
      <w:pPr>
        <w:numPr>
          <w:ilvl w:val="0"/>
          <w:numId w:val="3"/>
        </w:num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财政拨款收入：指</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同</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级</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政府财政部门</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当年拨付的</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各类财政拨款</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二、上级补助收入：指事业单位从主管部门和上级单位取得的非财政补助收入。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三、</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事业收入：指事业单位开展专业业务活动及辅助活动取得的收入。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四、</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经营收入：指事业单位在专业业务活动及其辅助活动之外开展非独立核算经营活动取得的收入。</w:t>
      </w:r>
    </w:p>
    <w:p>
      <w:pPr>
        <w:ind w:firstLine="640" w:firstLineChars="200"/>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五、附属单位上缴收入：指事业单位取得附属独立核算单位根据有关规定上缴的收入。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六、</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其他收入：指除上述“财政拨款收入”“事业收入”</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“上级补助收入”</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“经营收入”</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“附属单位上缴收入”</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等以外的收入。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七、</w:t>
      </w: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使用非财政拨款结余</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：指事业单位在当年的“财政拨款收入”“事业收入”“经营收入”“其他收入”</w:t>
      </w: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等</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不足以安排当年支出的情况下，使</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用以前年度积累的</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非限定用途的非同级财政拨款结余资金弥补本年度收支缺口。</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八、</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年初结转和结余：指以前年度尚未完成、结转到本年按有关规定继续使用的资金。</w:t>
      </w:r>
    </w:p>
    <w:p>
      <w:pPr>
        <w:ind w:firstLine="640" w:firstLineChars="200"/>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九、</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结余分配：指</w:t>
      </w: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事业</w:t>
      </w:r>
      <w:r>
        <w:rPr>
          <w:rFonts w:hint="eastAsia" w:ascii="仿宋_GB2312" w:hAnsi="ˎ̥" w:eastAsia="仿宋_GB2312" w:cs="Times New Roman"/>
          <w:color w:val="0D0D0D" w:themeColor="text1" w:themeTint="F2"/>
          <w:sz w:val="32"/>
          <w:szCs w:val="32"/>
          <w:u w:color="000000" w:themeColor="text1"/>
          <w:lang w:eastAsia="zh-CN"/>
          <w14:textFill>
            <w14:solidFill>
              <w14:schemeClr w14:val="tx1">
                <w14:lumMod w14:val="95000"/>
                <w14:lumOff w14:val="5000"/>
              </w14:schemeClr>
            </w14:solidFill>
          </w14:textFill>
        </w:rPr>
        <w:t>单位缴纳企业所得税以及从非财政拨款结余或经营结余中提取各类结余的情况。</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年末结转和结余：指本年度或以前年度预算安排、因客观条件发生变化无法按原计划实施，需要延迟到以后年度按有关规定继续使用的资金</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_GB2312" w:hAnsi="ˎ̥" w:eastAsia="仿宋_GB2312" w:cs="Times New Roman"/>
          <w:color w:val="0D0D0D" w:themeColor="text1" w:themeTint="F2"/>
          <w:sz w:val="32"/>
          <w:szCs w:val="32"/>
          <w:u w:color="000000" w:themeColor="text1"/>
          <w:lang w:eastAsia="zh-CN"/>
          <w14:textFill>
            <w14:solidFill>
              <w14:schemeClr w14:val="tx1">
                <w14:lumMod w14:val="95000"/>
                <w14:lumOff w14:val="5000"/>
              </w14:schemeClr>
            </w14:solidFill>
          </w14:textFill>
        </w:rPr>
        <w:t>不包括事业单位非财政拨款结余和专用结余</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十一、</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基本支出：指为保障机构正常运转、完成日常工作任务而发生的人员支出和公用支出。</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二、</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项目支出：指在基本支出之外为完成特定行政任务和事业发展目标所发生的支出。</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三、</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经营支出：指事业单位在专业业务活动及其辅助活动之外开展非独立核算经营活动发生的支出。</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四、</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“三公”经费：纳入本级财政预决算管理的“三公”经费，是指用一般公共预算财政财政拨款</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、政府性基金</w:t>
      </w:r>
      <w:r>
        <w:rPr>
          <w:rFonts w:hint="eastAsia" w:ascii="仿宋_GB2312" w:hAnsi="ˎ̥" w:eastAsia="仿宋_GB2312" w:cs="Times New Roman"/>
          <w:b w:val="0"/>
          <w:bCs w:val="0"/>
          <w:color w:val="0D0D0D" w:themeColor="text1" w:themeTint="F2"/>
          <w:sz w:val="32"/>
          <w:szCs w:val="32"/>
          <w:u w:color="000000" w:themeColor="text1"/>
          <w14:textFill>
            <w14:solidFill>
              <w14:schemeClr w14:val="tx1">
                <w14:lumMod w14:val="95000"/>
                <w14:lumOff w14:val="5000"/>
              </w14:schemeClr>
            </w14:solidFill>
          </w14:textFill>
        </w:rPr>
        <w:t>预算财政拨款</w:t>
      </w:r>
      <w:r>
        <w:rPr>
          <w:rFonts w:hint="eastAsia" w:ascii="仿宋_GB2312" w:hAnsi="ˎ̥" w:eastAsia="仿宋_GB2312" w:cs="Times New Roman"/>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及国有资本经营预算财政拨款</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安排的因公出国（境）费、公务用车购置及运行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维护</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费和公务接待费。其中，因公出国（境）费反映单位公务出国（境）的国际旅费、国外城市间交通费、住宿费、伙食费、培训费、公杂费等支出；公务用车购置及运行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维护</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费反映单位公务用车车辆购置支出（含车辆购置税</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、牌照费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）及燃料费、维修费、过路过桥费、保险费、安全奖励费用等支出；公务接待费反映单位按规定开支的各类公务接待（含外宾接待）</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费用</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5"/>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五</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机关运行经费：为保障行政单位（含参照公务员法管理的事业单位）运行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使用</w:t>
      </w:r>
      <w:r>
        <w:rPr>
          <w:rFonts w:hint="eastAsia" w:ascii="仿宋_GB2312" w:hAnsi="ˎ̥" w:eastAsia="仿宋_GB2312" w:cs="Times New Roman"/>
          <w:color w:val="0D0D0D" w:themeColor="text1" w:themeTint="F2"/>
          <w:sz w:val="32"/>
          <w:szCs w:val="32"/>
          <w:u w:color="000000" w:themeColor="text1"/>
          <w:lang w:eastAsia="zh-CN"/>
          <w14:textFill>
            <w14:solidFill>
              <w14:schemeClr w14:val="tx1">
                <w14:lumMod w14:val="95000"/>
                <w14:lumOff w14:val="5000"/>
              </w14:schemeClr>
            </w14:solidFill>
          </w14:textFill>
        </w:rPr>
        <w:t>一般公共预算财政拨款安排的基本支出经费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等</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ˎ̥">
    <w:altName w:val="Times New Roman"/>
    <w:panose1 w:val="00000000000000000000"/>
    <w:charset w:val="00"/>
    <w:family w:val="swiss"/>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fldChar w:fldCharType="begin"/>
    </w:r>
    <w:r>
      <w:rPr>
        <w:rStyle w:val="4"/>
      </w:rPr>
      <w:instrText xml:space="preserve">PAGE  </w:instrText>
    </w:r>
    <w:r>
      <w:fldChar w:fldCharType="separate"/>
    </w:r>
    <w:r>
      <w:rPr>
        <w:rStyle w:val="4"/>
      </w:rPr>
      <w:t>1</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fldChar w:fldCharType="begin"/>
    </w:r>
    <w:r>
      <w:rPr>
        <w:rStyle w:val="4"/>
      </w:rPr>
      <w:instrText xml:space="preserve">PAGE  </w:instrText>
    </w:r>
    <w:r>
      <w:fldChar w:fldCharType="separate"/>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E17B5E0E"/>
    <w:multiLevelType w:val="singleLevel"/>
    <w:tmpl w:val="E17B5E0E"/>
    <w:lvl w:ilvl="0" w:tentative="0">
      <w:start w:val="3"/>
      <w:numFmt w:val="decimal"/>
      <w:lvlText w:val="%1."/>
      <w:lvlJc w:val="left"/>
      <w:pPr>
        <w:tabs>
          <w:tab w:val="left" w:pos="312"/>
        </w:tabs>
      </w:pPr>
    </w:lvl>
  </w:abstractNum>
  <w:abstractNum w:abstractNumId="2">
    <w:nsid w:val="72109F8D"/>
    <w:multiLevelType w:val="singleLevel"/>
    <w:tmpl w:val="72109F8D"/>
    <w:lvl w:ilvl="0" w:tentative="0">
      <w:start w:val="7"/>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wYzBkZGM2MjNjZTA5ZWY0MDQ3MWU4OGE1ZWVlNDUifQ=="/>
  </w:docVars>
  <w:rsids>
    <w:rsidRoot w:val="440F6068"/>
    <w:rsid w:val="001A7BD6"/>
    <w:rsid w:val="0143277A"/>
    <w:rsid w:val="06432B98"/>
    <w:rsid w:val="06EB1ECA"/>
    <w:rsid w:val="0BD04822"/>
    <w:rsid w:val="0F6459AD"/>
    <w:rsid w:val="0FAA3C2A"/>
    <w:rsid w:val="106670EE"/>
    <w:rsid w:val="10870FDC"/>
    <w:rsid w:val="113656BA"/>
    <w:rsid w:val="124C0321"/>
    <w:rsid w:val="12883907"/>
    <w:rsid w:val="13B13835"/>
    <w:rsid w:val="1A134258"/>
    <w:rsid w:val="1C196AEA"/>
    <w:rsid w:val="1EDA6DEF"/>
    <w:rsid w:val="1F1572E5"/>
    <w:rsid w:val="1F275C8F"/>
    <w:rsid w:val="1FE75396"/>
    <w:rsid w:val="209C39D5"/>
    <w:rsid w:val="252C1E57"/>
    <w:rsid w:val="2A3E4EAF"/>
    <w:rsid w:val="2ABC7C7F"/>
    <w:rsid w:val="2B370D8D"/>
    <w:rsid w:val="2BA246DE"/>
    <w:rsid w:val="2BD359EB"/>
    <w:rsid w:val="2CB93D2B"/>
    <w:rsid w:val="2DD64D2A"/>
    <w:rsid w:val="2E462532"/>
    <w:rsid w:val="2E884DBD"/>
    <w:rsid w:val="30F070D0"/>
    <w:rsid w:val="333D17BD"/>
    <w:rsid w:val="355C2FFE"/>
    <w:rsid w:val="374322A8"/>
    <w:rsid w:val="377502EF"/>
    <w:rsid w:val="379F13B2"/>
    <w:rsid w:val="3C395948"/>
    <w:rsid w:val="3CE533DA"/>
    <w:rsid w:val="3D6209C4"/>
    <w:rsid w:val="3DD70A30"/>
    <w:rsid w:val="3E5A7DF8"/>
    <w:rsid w:val="440F6068"/>
    <w:rsid w:val="45631A4E"/>
    <w:rsid w:val="461A0599"/>
    <w:rsid w:val="465943C5"/>
    <w:rsid w:val="494469E0"/>
    <w:rsid w:val="4B0B0783"/>
    <w:rsid w:val="4C0110B0"/>
    <w:rsid w:val="4CD04437"/>
    <w:rsid w:val="4E5A4D52"/>
    <w:rsid w:val="4E5B6308"/>
    <w:rsid w:val="52A86660"/>
    <w:rsid w:val="578B7726"/>
    <w:rsid w:val="5DB93D9B"/>
    <w:rsid w:val="5FBA25CB"/>
    <w:rsid w:val="664953E4"/>
    <w:rsid w:val="6C087720"/>
    <w:rsid w:val="6D6B0029"/>
    <w:rsid w:val="70C73F76"/>
    <w:rsid w:val="72EA532A"/>
    <w:rsid w:val="75337592"/>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4">
    <w:name w:val="page number"/>
    <w:basedOn w:val="3"/>
    <w:qFormat/>
    <w:uiPriority w:val="0"/>
  </w:style>
  <w:style w:type="paragraph" w:customStyle="1" w:styleId="6">
    <w:name w:val="WPSOffice手动目录 1"/>
    <w:qFormat/>
    <w:uiPriority w:val="0"/>
    <w:pPr>
      <w:ind w:leftChars="0"/>
    </w:pPr>
    <w:rPr>
      <w:rFonts w:ascii="Times New Roman" w:hAnsi="Times New Roman" w:eastAsia="宋体" w:cs="Times New Roman"/>
      <w:sz w:val="20"/>
      <w:szCs w:val="20"/>
    </w:rPr>
  </w:style>
  <w:style w:type="paragraph" w:customStyle="1" w:styleId="7">
    <w:name w:val="WPSOffice手动目录 2"/>
    <w:qFormat/>
    <w:uiPriority w:val="0"/>
    <w:pPr>
      <w:ind w:leftChars="200"/>
    </w:pPr>
    <w:rPr>
      <w:rFonts w:ascii="Times New Roman" w:hAnsi="Times New Roman" w:eastAsia="宋体" w:cs="Times New Roman"/>
      <w:sz w:val="20"/>
      <w:szCs w:val="20"/>
    </w:rPr>
  </w:style>
  <w:style w:type="paragraph" w:customStyle="1" w:styleId="8">
    <w:name w:val="正文1 Char Char 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7230</Words>
  <Characters>7680</Characters>
  <Lines>0</Lines>
  <Paragraphs>0</Paragraphs>
  <TotalTime>0</TotalTime>
  <ScaleCrop>false</ScaleCrop>
  <LinksUpToDate>false</LinksUpToDate>
  <CharactersWithSpaces>7804</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2022-11-10T07:16:00Z</dcterms:created>
  <dc:creator>三亚市第八幼儿园教师专用号</dc:creator>
  <cp:lastModifiedBy>尹华源</cp:lastModifiedBy>
  <dcterms:modified xsi:type="dcterms:W3CDTF">2023-09-25T09:59:01Z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EEE9D210049B42289FBE8FD3777DA1E7</vt:lpwstr>
  </property>
</Properties>
</file>