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30"/>
          <w:szCs w:val="30"/>
        </w:rPr>
      </w:pPr>
      <w:r>
        <w:rPr>
          <w:rFonts w:hint="eastAsia" w:ascii="黑体" w:hAnsi="宋体" w:eastAsia="黑体" w:cs="黑体"/>
          <w:kern w:val="2"/>
          <w:sz w:val="32"/>
          <w:szCs w:val="32"/>
          <w:lang w:val="en-US" w:eastAsia="zh-CN" w:bidi="ar"/>
        </w:rPr>
        <w:t>附件2</w:t>
      </w:r>
    </w:p>
    <w:p>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44"/>
          <w:szCs w:val="44"/>
          <w:lang w:val="en-US" w:eastAsia="zh-CN" w:bidi="ar"/>
        </w:rPr>
      </w:pP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44"/>
          <w:szCs w:val="44"/>
        </w:rPr>
      </w:pPr>
      <w:r>
        <w:rPr>
          <w:rFonts w:hint="eastAsia" w:ascii="黑体" w:hAnsi="宋体" w:eastAsia="黑体" w:cs="黑体"/>
          <w:kern w:val="2"/>
          <w:sz w:val="44"/>
          <w:szCs w:val="44"/>
          <w:lang w:val="en-US" w:eastAsia="zh-CN" w:bidi="ar"/>
        </w:rPr>
        <w:t xml:space="preserve">  三亚市天涯区</w:t>
      </w:r>
      <w:r>
        <w:rPr>
          <w:rFonts w:hint="eastAsia" w:ascii="黑体" w:hAnsi="ˎ̥" w:eastAsia="黑体" w:cs="黑体"/>
          <w:kern w:val="2"/>
          <w:sz w:val="44"/>
          <w:szCs w:val="44"/>
          <w:lang w:val="en-US" w:eastAsia="zh-CN" w:bidi="ar"/>
        </w:rPr>
        <w:t>环卫所2022</w:t>
      </w:r>
      <w:r>
        <w:rPr>
          <w:rFonts w:hint="eastAsia" w:ascii="黑体" w:hAnsi="宋体" w:eastAsia="黑体" w:cs="黑体"/>
          <w:kern w:val="2"/>
          <w:sz w:val="44"/>
          <w:szCs w:val="44"/>
          <w:lang w:val="en-US" w:eastAsia="zh-CN" w:bidi="ar"/>
        </w:rPr>
        <w:t>年度部门决算</w:t>
      </w: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r>
        <w:rPr>
          <w:rFonts w:hint="eastAsia" w:ascii="黑体" w:hAnsi="ˎ̥" w:eastAsia="黑体" w:cs="黑体"/>
          <w:b/>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p>
    <w:p>
      <w:pPr>
        <w:keepNext w:val="0"/>
        <w:keepLines w:val="0"/>
        <w:widowControl w:val="0"/>
        <w:suppressLineNumbers w:val="0"/>
        <w:spacing w:before="0" w:beforeAutospacing="0" w:after="0" w:afterAutospacing="0"/>
        <w:ind w:left="0" w:right="0"/>
        <w:jc w:val="center"/>
        <w:rPr>
          <w:rFonts w:hint="eastAsia" w:ascii="黑体" w:hAnsi="ˎ̥" w:eastAsia="黑体" w:cs="黑体"/>
          <w:b/>
          <w:kern w:val="2"/>
          <w:sz w:val="32"/>
          <w:szCs w:val="32"/>
          <w:lang w:val="en-US" w:eastAsia="zh-CN" w:bidi="ar"/>
        </w:rPr>
      </w:pPr>
    </w:p>
    <w:p>
      <w:pPr>
        <w:keepNext w:val="0"/>
        <w:keepLines w:val="0"/>
        <w:pageBreakBefore w:val="0"/>
        <w:kinsoku/>
        <w:wordWrap/>
        <w:overflowPunct/>
        <w:topLinePunct w:val="0"/>
        <w:autoSpaceDE/>
        <w:autoSpaceDN/>
        <w:bidi w:val="0"/>
        <w:adjustRightInd/>
        <w:snapToGrid/>
        <w:spacing w:before="0" w:beforeLines="0" w:after="0" w:afterLines="0" w:line="800" w:lineRule="exact"/>
        <w:ind w:left="0" w:leftChars="0" w:right="0" w:rightChars="0" w:firstLine="0" w:firstLineChars="0"/>
        <w:jc w:val="center"/>
        <w:textAlignment w:val="auto"/>
        <w:rPr>
          <w:rFonts w:hint="eastAsia" w:ascii="黑体" w:hAnsi="黑体" w:eastAsia="黑体" w:cs="黑体"/>
          <w:sz w:val="44"/>
          <w:szCs w:val="44"/>
        </w:rPr>
      </w:pPr>
      <w:bookmarkStart w:id="0" w:name="_Toc11440_WPSOffice_Type2"/>
      <w:bookmarkEnd w:id="0"/>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pPr>
        <w:pStyle w:val="7"/>
        <w:keepNext w:val="0"/>
        <w:keepLines w:val="0"/>
        <w:pageBreakBefore w:val="0"/>
        <w:tabs>
          <w:tab w:val="right" w:leader="dot" w:pos="8306"/>
        </w:tabs>
        <w:kinsoku/>
        <w:wordWrap/>
        <w:overflowPunct/>
        <w:topLinePunct w:val="0"/>
        <w:autoSpaceDE/>
        <w:autoSpaceDN/>
        <w:bidi w:val="0"/>
        <w:adjustRightInd/>
        <w:snapToGrid/>
        <w:spacing w:line="80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_Toc1704_WPSOffice_Level1 </w:instrText>
      </w:r>
      <w:r>
        <w:rPr>
          <w:b w:val="0"/>
          <w:bCs w:val="0"/>
          <w:sz w:val="32"/>
          <w:szCs w:val="32"/>
        </w:rPr>
        <w:fldChar w:fldCharType="separate"/>
      </w:r>
      <w:r>
        <w:rPr>
          <w:rFonts w:hint="eastAsia" w:ascii="黑体" w:hAnsi="ˎ̥" w:eastAsia="黑体"/>
          <w:b w:val="0"/>
          <w:bCs w:val="0"/>
          <w:sz w:val="32"/>
          <w:szCs w:val="32"/>
          <w:lang w:eastAsia="zh-CN"/>
        </w:rPr>
        <w:t>第一部分</w:t>
      </w:r>
      <w:r>
        <w:rPr>
          <w:rFonts w:hint="eastAsia" w:ascii="黑体" w:hAnsi="ˎ̥" w:eastAsia="黑体"/>
          <w:b w:val="0"/>
          <w:bCs w:val="0"/>
          <w:sz w:val="32"/>
          <w:szCs w:val="32"/>
          <w:lang w:val="en-US" w:eastAsia="zh-CN"/>
        </w:rPr>
        <w:t xml:space="preserve">  三亚市天涯区环卫所部门概况</w:t>
      </w:r>
      <w:r>
        <w:rPr>
          <w:b w:val="0"/>
          <w:bCs w:val="0"/>
          <w:sz w:val="32"/>
          <w:szCs w:val="32"/>
        </w:rPr>
        <w:tab/>
      </w:r>
      <w:r>
        <w:rPr>
          <w:rFonts w:hint="eastAsia"/>
          <w:b w:val="0"/>
          <w:bCs w:val="0"/>
          <w:sz w:val="32"/>
          <w:szCs w:val="32"/>
          <w:lang w:val="en-US" w:eastAsia="zh-CN"/>
        </w:rPr>
        <w:t>3</w:t>
      </w:r>
      <w:r>
        <w:rPr>
          <w:b w:val="0"/>
          <w:bCs w:val="0"/>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7"/>
        <w:keepNext w:val="0"/>
        <w:keepLines w:val="0"/>
        <w:pageBreakBefore w:val="0"/>
        <w:tabs>
          <w:tab w:val="right" w:leader="dot" w:pos="8306"/>
        </w:tabs>
        <w:kinsoku/>
        <w:wordWrap/>
        <w:overflowPunct/>
        <w:topLinePunct w:val="0"/>
        <w:autoSpaceDE/>
        <w:autoSpaceDN/>
        <w:bidi w:val="0"/>
        <w:adjustRightInd/>
        <w:snapToGrid/>
        <w:spacing w:line="800" w:lineRule="exact"/>
        <w:textAlignment w:val="auto"/>
        <w:rPr>
          <w:rFonts w:hint="default" w:eastAsiaTheme="minorEastAsia"/>
          <w:b w:val="0"/>
          <w:bCs w:val="0"/>
          <w:sz w:val="32"/>
          <w:szCs w:val="32"/>
          <w:lang w:val="en-US" w:eastAsia="zh-CN"/>
        </w:rPr>
      </w:pPr>
      <w:r>
        <w:rPr>
          <w:b w:val="0"/>
          <w:bCs w:val="0"/>
          <w:sz w:val="32"/>
          <w:szCs w:val="32"/>
        </w:rPr>
        <w:fldChar w:fldCharType="begin"/>
      </w:r>
      <w:r>
        <w:rPr>
          <w:b w:val="0"/>
          <w:bCs w:val="0"/>
          <w:sz w:val="32"/>
          <w:szCs w:val="32"/>
        </w:rPr>
        <w:instrText xml:space="preserve"> HYPERLINK \l _Toc28253_WPSOffice_Level1 </w:instrText>
      </w:r>
      <w:r>
        <w:rPr>
          <w:b w:val="0"/>
          <w:bCs w:val="0"/>
          <w:sz w:val="32"/>
          <w:szCs w:val="32"/>
        </w:rPr>
        <w:fldChar w:fldCharType="separate"/>
      </w:r>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三亚市天涯区环卫所</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w:t>
      </w:r>
      <w:r>
        <w:rPr>
          <w:rFonts w:hint="eastAsia" w:ascii="黑体" w:hAnsi="ˎ̥" w:eastAsia="黑体"/>
          <w:b w:val="0"/>
          <w:bCs w:val="0"/>
          <w:sz w:val="32"/>
          <w:szCs w:val="32"/>
          <w:lang w:eastAsia="zh-CN"/>
        </w:rPr>
        <w:t>公开报表</w:t>
      </w:r>
      <w:r>
        <w:rPr>
          <w:b w:val="0"/>
          <w:bCs w:val="0"/>
          <w:sz w:val="32"/>
          <w:szCs w:val="32"/>
        </w:rPr>
        <w:fldChar w:fldCharType="end"/>
      </w:r>
      <w:r>
        <w:rPr>
          <w:rFonts w:hint="eastAsia"/>
          <w:b w:val="0"/>
          <w:bCs w:val="0"/>
          <w:sz w:val="32"/>
          <w:szCs w:val="32"/>
          <w:lang w:val="en-US" w:eastAsia="zh-CN"/>
        </w:rPr>
        <w:t>.................................................................................................4</w:t>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_Toc11518_WPSOffice_Level2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_Toc28622_WPSOffice_Level2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收入决算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_Toc5489_WPSOffice_Level2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三、</w:t>
      </w:r>
      <w:r>
        <w:rPr>
          <w:rFonts w:hint="eastAsia" w:ascii="仿宋" w:hAnsi="仿宋" w:eastAsia="仿宋" w:cs="仿宋"/>
          <w:sz w:val="32"/>
          <w:szCs w:val="32"/>
        </w:rPr>
        <w:t>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_Toc23493_WPSOffice_Level2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四、</w:t>
      </w:r>
      <w:r>
        <w:rPr>
          <w:rFonts w:hint="eastAsia" w:ascii="仿宋" w:hAnsi="仿宋" w:eastAsia="仿宋" w:cs="仿宋"/>
          <w:sz w:val="32"/>
          <w:szCs w:val="32"/>
        </w:rPr>
        <w:t>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_Toc7879_WPSOffice_Level2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五、</w:t>
      </w:r>
      <w:r>
        <w:rPr>
          <w:rFonts w:hint="eastAsia" w:ascii="仿宋" w:hAnsi="仿宋" w:eastAsia="仿宋" w:cs="仿宋"/>
          <w:sz w:val="32"/>
          <w:szCs w:val="32"/>
        </w:rPr>
        <w:t>一般公共预算财政拨款收入支出决算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_Toc8373_WPSOffice_Level2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六、</w:t>
      </w:r>
      <w:r>
        <w:rPr>
          <w:rFonts w:hint="eastAsia" w:ascii="仿宋" w:hAnsi="仿宋" w:eastAsia="仿宋" w:cs="仿宋"/>
          <w:sz w:val="32"/>
          <w:szCs w:val="32"/>
        </w:rPr>
        <w:t>一般公共预算财政拨款基本支出决算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七、</w:t>
      </w:r>
      <w:r>
        <w:rPr>
          <w:rFonts w:hint="eastAsia" w:ascii="仿宋" w:hAnsi="仿宋" w:eastAsia="仿宋" w:cs="仿宋"/>
          <w:sz w:val="32"/>
          <w:szCs w:val="32"/>
        </w:rPr>
        <w:t>政府性基金预算财政拨款收入支出决算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_Toc1820_WPSOffice_Level2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八、国有资本经营</w:t>
      </w:r>
      <w:r>
        <w:rPr>
          <w:rFonts w:hint="eastAsia" w:ascii="仿宋" w:hAnsi="仿宋" w:eastAsia="仿宋" w:cs="仿宋"/>
          <w:sz w:val="32"/>
          <w:szCs w:val="32"/>
        </w:rPr>
        <w:t>预算财政拨款收入支出决算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8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九、</w:t>
      </w:r>
      <w:r>
        <w:rPr>
          <w:rFonts w:hint="eastAsia" w:ascii="仿宋" w:hAnsi="仿宋" w:eastAsia="仿宋" w:cs="仿宋"/>
          <w:sz w:val="32"/>
          <w:szCs w:val="32"/>
        </w:rPr>
        <w:t>一般公共预算财政拨款“三公”经费支出决算</w:t>
      </w:r>
      <w:r>
        <w:rPr>
          <w:rFonts w:hint="eastAsia" w:ascii="仿宋" w:hAnsi="仿宋" w:eastAsia="仿宋" w:cs="仿宋"/>
          <w:sz w:val="32"/>
          <w:szCs w:val="32"/>
          <w:lang w:eastAsia="zh-CN"/>
        </w:rPr>
        <w:t>公开表</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6"/>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_Toc21310_WPSOffice_Level2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4</w:t>
      </w:r>
    </w:p>
    <w:p>
      <w:pPr>
        <w:pStyle w:val="7"/>
        <w:keepNext w:val="0"/>
        <w:keepLines w:val="0"/>
        <w:pageBreakBefore w:val="0"/>
        <w:tabs>
          <w:tab w:val="right" w:leader="dot" w:pos="8306"/>
        </w:tabs>
        <w:kinsoku/>
        <w:wordWrap/>
        <w:overflowPunct/>
        <w:topLinePunct w:val="0"/>
        <w:autoSpaceDE/>
        <w:autoSpaceDN/>
        <w:bidi w:val="0"/>
        <w:adjustRightInd/>
        <w:snapToGrid/>
        <w:spacing w:line="700" w:lineRule="exact"/>
        <w:textAlignment w:val="auto"/>
        <w:rPr>
          <w:b w:val="0"/>
          <w:bCs w:val="0"/>
          <w:sz w:val="32"/>
          <w:szCs w:val="32"/>
        </w:rPr>
      </w:pPr>
      <w:r>
        <w:rPr>
          <w:b w:val="0"/>
          <w:bCs w:val="0"/>
          <w:sz w:val="32"/>
          <w:szCs w:val="32"/>
        </w:rPr>
        <w:fldChar w:fldCharType="begin"/>
      </w:r>
      <w:r>
        <w:rPr>
          <w:b w:val="0"/>
          <w:bCs w:val="0"/>
          <w:sz w:val="32"/>
          <w:szCs w:val="32"/>
        </w:rPr>
        <w:instrText xml:space="preserve"> HYPERLINK \l _Toc27590_WPSOffice_Level1 </w:instrText>
      </w:r>
      <w:r>
        <w:rPr>
          <w:b w:val="0"/>
          <w:bCs w:val="0"/>
          <w:sz w:val="32"/>
          <w:szCs w:val="32"/>
        </w:rPr>
        <w:fldChar w:fldCharType="separate"/>
      </w:r>
      <w:r>
        <w:rPr>
          <w:rFonts w:hint="eastAsia" w:ascii="黑体" w:hAnsi="黑体" w:eastAsia="黑体" w:cs="黑体"/>
          <w:b w:val="0"/>
          <w:bCs w:val="0"/>
          <w:sz w:val="32"/>
          <w:szCs w:val="32"/>
          <w:lang w:eastAsia="zh-CN"/>
        </w:rPr>
        <w:t>第三部分</w:t>
      </w:r>
      <w:r>
        <w:rPr>
          <w:rFonts w:hint="eastAsia"/>
          <w:b w:val="0"/>
          <w:bCs w:val="0"/>
          <w:sz w:val="32"/>
          <w:szCs w:val="32"/>
          <w:lang w:val="en-US" w:eastAsia="zh-CN"/>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b w:val="0"/>
          <w:bCs w:val="0"/>
          <w:sz w:val="32"/>
          <w:szCs w:val="32"/>
          <w:lang w:eastAsia="zh-CN"/>
        </w:rPr>
        <w:t>202</w:t>
      </w:r>
      <w:r>
        <w:rPr>
          <w:rFonts w:hint="eastAsia"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rPr>
        <w:t>部门决算情况说明</w:t>
      </w:r>
      <w:r>
        <w:rPr>
          <w:b w:val="0"/>
          <w:bCs w:val="0"/>
          <w:sz w:val="32"/>
          <w:szCs w:val="32"/>
        </w:rPr>
        <w:tab/>
      </w:r>
      <w:r>
        <w:rPr>
          <w:rFonts w:hint="eastAsia" w:ascii="仿宋" w:hAnsi="仿宋" w:eastAsia="仿宋" w:cs="仿宋"/>
          <w:b w:val="0"/>
          <w:bCs w:val="0"/>
          <w:sz w:val="32"/>
          <w:szCs w:val="32"/>
          <w:lang w:val="en-US" w:eastAsia="zh-CN"/>
        </w:rPr>
        <w:t>4</w:t>
      </w:r>
      <w:r>
        <w:rPr>
          <w:b w:val="0"/>
          <w:bCs w:val="0"/>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5</w:t>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lang w:val="en-US" w:eastAsia="zh-CN"/>
        </w:rPr>
        <w:t>支出</w:t>
      </w:r>
      <w:r>
        <w:rPr>
          <w:rFonts w:hint="eastAsia" w:ascii="仿宋" w:hAnsi="仿宋" w:eastAsia="仿宋" w:cs="仿宋"/>
          <w:b w:val="0"/>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rPr>
        <w:t>五</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kern w:val="0"/>
          <w:sz w:val="32"/>
          <w:szCs w:val="32"/>
        </w:rPr>
        <w:t>六</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6"/>
        <w:keepNext w:val="0"/>
        <w:keepLines w:val="0"/>
        <w:pageBreakBefore w:val="0"/>
        <w:numPr>
          <w:ilvl w:val="0"/>
          <w:numId w:val="1"/>
        </w:numPr>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政府性基金</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6"/>
        <w:keepNext w:val="0"/>
        <w:keepLines w:val="0"/>
        <w:pageBreakBefore w:val="0"/>
        <w:numPr>
          <w:ilvl w:val="0"/>
          <w:numId w:val="1"/>
        </w:numPr>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keepNext w:val="0"/>
        <w:keepLines w:val="0"/>
        <w:pageBreakBefore w:val="0"/>
        <w:kinsoku/>
        <w:wordWrap/>
        <w:overflowPunct/>
        <w:topLinePunct w:val="0"/>
        <w:autoSpaceDE/>
        <w:autoSpaceDN/>
        <w:bidi w:val="0"/>
        <w:adjustRightInd/>
        <w:snapToGrid/>
        <w:spacing w:line="700" w:lineRule="exact"/>
        <w:textAlignment w:val="auto"/>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8</w:t>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pStyle w:val="6"/>
        <w:keepNext w:val="0"/>
        <w:keepLines w:val="0"/>
        <w:pageBreakBefore w:val="0"/>
        <w:tabs>
          <w:tab w:val="right" w:leader="dot" w:pos="8306"/>
        </w:tabs>
        <w:kinsoku/>
        <w:wordWrap/>
        <w:overflowPunct/>
        <w:topLinePunct w:val="0"/>
        <w:autoSpaceDE/>
        <w:autoSpaceDN/>
        <w:bidi w:val="0"/>
        <w:adjustRightInd/>
        <w:snapToGrid/>
        <w:spacing w:line="700" w:lineRule="exact"/>
        <w:ind w:left="0" w:leftChars="0" w:firstLine="0" w:firstLineChars="0"/>
        <w:textAlignment w:val="auto"/>
        <w:rPr>
          <w:rFonts w:hint="eastAsia"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十一</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10</w:t>
      </w:r>
    </w:p>
    <w:p>
      <w:pPr>
        <w:pStyle w:val="7"/>
        <w:keepNext w:val="0"/>
        <w:keepLines w:val="0"/>
        <w:pageBreakBefore w:val="0"/>
        <w:tabs>
          <w:tab w:val="right" w:leader="dot" w:pos="8306"/>
        </w:tabs>
        <w:kinsoku/>
        <w:wordWrap/>
        <w:overflowPunct/>
        <w:topLinePunct w:val="0"/>
        <w:autoSpaceDE/>
        <w:autoSpaceDN/>
        <w:bidi w:val="0"/>
        <w:adjustRightInd/>
        <w:snapToGrid/>
        <w:spacing w:line="700" w:lineRule="exact"/>
        <w:textAlignment w:val="auto"/>
        <w:rPr>
          <w:rFonts w:hint="eastAsia" w:ascii="黑体" w:hAnsi="ˎ̥" w:eastAsia="黑体" w:cs="黑体"/>
          <w:b/>
          <w:kern w:val="2"/>
          <w:sz w:val="32"/>
          <w:szCs w:val="32"/>
        </w:rPr>
      </w:pPr>
      <w:r>
        <w:rPr>
          <w:b w:val="0"/>
          <w:bCs w:val="0"/>
          <w:sz w:val="32"/>
          <w:szCs w:val="32"/>
        </w:rPr>
        <w:fldChar w:fldCharType="begin"/>
      </w:r>
      <w:r>
        <w:rPr>
          <w:b w:val="0"/>
          <w:bCs w:val="0"/>
          <w:sz w:val="32"/>
          <w:szCs w:val="32"/>
        </w:rPr>
        <w:instrText xml:space="preserve"> HYPERLINK \l _Toc15425_WPSOffice_Level1 </w:instrText>
      </w:r>
      <w:r>
        <w:rPr>
          <w:b w:val="0"/>
          <w:bCs w:val="0"/>
          <w:sz w:val="32"/>
          <w:szCs w:val="32"/>
        </w:rPr>
        <w:fldChar w:fldCharType="separate"/>
      </w:r>
      <w:r>
        <w:rPr>
          <w:rFonts w:hint="eastAsia" w:ascii="黑体" w:hAnsi="ˎ̥" w:eastAsia="黑体"/>
          <w:b w:val="0"/>
          <w:bCs w:val="0"/>
          <w:sz w:val="32"/>
          <w:szCs w:val="32"/>
          <w:lang w:eastAsia="zh-CN"/>
        </w:rPr>
        <w:t>第四部分</w:t>
      </w:r>
      <w:r>
        <w:rPr>
          <w:rFonts w:hint="eastAsia" w:ascii="黑体" w:hAnsi="ˎ̥" w:eastAsia="黑体"/>
          <w:b w:val="0"/>
          <w:bCs w:val="0"/>
          <w:sz w:val="32"/>
          <w:szCs w:val="32"/>
          <w:lang w:val="en-US" w:eastAsia="zh-CN"/>
        </w:rPr>
        <w:t xml:space="preserve">  </w:t>
      </w:r>
      <w:r>
        <w:rPr>
          <w:rFonts w:hint="eastAsia" w:ascii="黑体" w:hAnsi="ˎ̥" w:eastAsia="黑体"/>
          <w:b w:val="0"/>
          <w:bCs w:val="0"/>
          <w:sz w:val="32"/>
          <w:szCs w:val="32"/>
        </w:rPr>
        <w:t>名词解释</w:t>
      </w:r>
      <w:r>
        <w:rPr>
          <w:b w:val="0"/>
          <w:bCs w:val="0"/>
          <w:sz w:val="32"/>
          <w:szCs w:val="32"/>
        </w:rPr>
        <w:tab/>
      </w:r>
      <w:bookmarkStart w:id="1" w:name="_Toc15425_WPSOffice_Level1Page"/>
      <w:r>
        <w:rPr>
          <w:b w:val="0"/>
          <w:bCs w:val="0"/>
          <w:sz w:val="32"/>
          <w:szCs w:val="32"/>
        </w:rPr>
        <w:t>1</w:t>
      </w:r>
      <w:bookmarkEnd w:id="1"/>
      <w:r>
        <w:rPr>
          <w:b w:val="0"/>
          <w:bCs w:val="0"/>
          <w:sz w:val="32"/>
          <w:szCs w:val="32"/>
        </w:rPr>
        <w:fldChar w:fldCharType="end"/>
      </w:r>
      <w:r>
        <w:rPr>
          <w:rFonts w:hint="eastAsia"/>
          <w:b w:val="0"/>
          <w:bCs w:val="0"/>
          <w:sz w:val="32"/>
          <w:szCs w:val="32"/>
          <w:lang w:val="en-US" w:eastAsia="zh-CN"/>
        </w:rPr>
        <w:t>1</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bookmarkStart w:id="2" w:name="_Toc14159_WPSOffice_Level2"/>
      <w:bookmarkEnd w:id="2"/>
      <w:bookmarkStart w:id="3" w:name="_Toc20274_WPSOffice_Level2"/>
      <w:bookmarkEnd w:id="3"/>
      <w:bookmarkStart w:id="4" w:name="_Toc32433_WPSOffice_Level1"/>
      <w:bookmarkEnd w:id="4"/>
      <w:bookmarkStart w:id="5" w:name="_Toc26580_WPSOffice_Level2"/>
      <w:bookmarkEnd w:id="5"/>
      <w:bookmarkStart w:id="6" w:name="_Toc1704_WPSOffice_Level1"/>
      <w:bookmarkEnd w:id="6"/>
      <w:bookmarkStart w:id="7" w:name="_Toc24238_WPSOffice_Level2"/>
      <w:bookmarkEnd w:id="7"/>
      <w:bookmarkStart w:id="8" w:name="_Toc20205_WPSOffice_Level2"/>
      <w:bookmarkEnd w:id="8"/>
      <w:bookmarkStart w:id="9" w:name="_Toc23465_WPSOffice_Level1"/>
      <w:bookmarkEnd w:id="9"/>
      <w:bookmarkStart w:id="10" w:name="_Toc10049_WPSOffice_Level1"/>
      <w:bookmarkEnd w:id="10"/>
      <w:bookmarkStart w:id="11" w:name="_Toc22941_WPSOffice_Level1"/>
      <w:bookmarkEnd w:id="11"/>
      <w:bookmarkStart w:id="12" w:name="_Toc10720_WPSOffice_Level1"/>
      <w:bookmarkEnd w:id="12"/>
      <w:bookmarkStart w:id="13" w:name="_Toc32622_WPSOffice_Level2"/>
      <w:r>
        <w:rPr>
          <w:rFonts w:hint="eastAsia" w:ascii="黑体" w:hAnsi="宋体" w:eastAsia="黑体" w:cs="黑体"/>
          <w:kern w:val="2"/>
          <w:sz w:val="32"/>
          <w:szCs w:val="32"/>
          <w:lang w:val="en-US" w:eastAsia="zh-CN" w:bidi="ar"/>
        </w:rPr>
        <w:t>第一部分</w:t>
      </w:r>
      <w:bookmarkEnd w:id="13"/>
      <w:r>
        <w:rPr>
          <w:rFonts w:hint="eastAsia" w:ascii="黑体" w:hAnsi="ˎ̥" w:eastAsia="黑体" w:cs="黑体"/>
          <w:kern w:val="2"/>
          <w:sz w:val="32"/>
          <w:szCs w:val="32"/>
          <w:lang w:val="en-US" w:eastAsia="zh-CN" w:bidi="ar"/>
        </w:rPr>
        <w:t xml:space="preserve">  </w:t>
      </w:r>
      <w:r>
        <w:rPr>
          <w:rFonts w:hint="eastAsia" w:ascii="黑体" w:hAnsi="ˎ̥" w:eastAsia="黑体" w:cs="黑体"/>
          <w:b w:val="0"/>
          <w:kern w:val="2"/>
          <w:sz w:val="32"/>
          <w:szCs w:val="32"/>
          <w:lang w:val="en-US" w:eastAsia="zh-CN" w:bidi="ar"/>
        </w:rPr>
        <w:t>三亚市天涯区环卫所部门</w:t>
      </w:r>
      <w:r>
        <w:rPr>
          <w:rFonts w:hint="eastAsia" w:ascii="黑体" w:hAnsi="宋体" w:eastAsia="黑体" w:cs="黑体"/>
          <w:kern w:val="2"/>
          <w:sz w:val="32"/>
          <w:szCs w:val="32"/>
          <w:lang w:val="en-US" w:eastAsia="zh-CN" w:bidi="ar"/>
        </w:rPr>
        <w:t>概况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 xml:space="preserve"> </w:t>
      </w:r>
    </w:p>
    <w:p>
      <w:pPr>
        <w:keepNext w:val="0"/>
        <w:keepLines w:val="0"/>
        <w:widowControl w:val="0"/>
        <w:numPr>
          <w:ilvl w:val="0"/>
          <w:numId w:val="2"/>
        </w:numPr>
        <w:suppressLineNumbers w:val="0"/>
        <w:spacing w:before="0" w:beforeAutospacing="0" w:after="0" w:afterAutospacing="0"/>
        <w:ind w:left="0" w:right="0" w:firstLine="640" w:firstLineChars="200"/>
        <w:jc w:val="both"/>
        <w:rPr>
          <w:rFonts w:hint="eastAsia" w:ascii="黑体" w:hAnsi="宋体" w:eastAsia="黑体" w:cs="黑体"/>
          <w:kern w:val="2"/>
          <w:sz w:val="32"/>
          <w:szCs w:val="32"/>
          <w:lang w:val="en-US" w:eastAsia="zh-CN" w:bidi="ar"/>
        </w:rPr>
      </w:pPr>
      <w:r>
        <w:rPr>
          <w:rFonts w:hint="eastAsia" w:ascii="黑体" w:hAnsi="宋体" w:eastAsia="黑体" w:cs="黑体"/>
          <w:kern w:val="2"/>
          <w:sz w:val="32"/>
          <w:szCs w:val="32"/>
          <w:lang w:val="en-US" w:eastAsia="zh-CN" w:bidi="ar"/>
        </w:rPr>
        <w:t>部门职责</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（一）执行中央及省、市有关环境卫生管理的方针、政策；依法拟定并组织实施有关环境卫生管理的规划和措施；</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（二）组织实施本区环境卫生的检查和宣传工作；组织本区环境卫生行业有关的普查、资源调查评估、统计申报工作；培养、发展和维护本区环境卫生作业市场。</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（三）负责实施本区清扫保洁以及生活垃圾、建筑垃圾、特种垃圾、粪便的收集清运。负责对本区突发应急事件（如台风、大型活动等）环境卫生整治工作；</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（四）对社区（村）和城区主次街道同意保洁，治理“脏乱差”，美化城市环境；</w:t>
      </w:r>
    </w:p>
    <w:p>
      <w:pPr>
        <w:numPr>
          <w:ilvl w:val="0"/>
          <w:numId w:val="0"/>
        </w:num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（五）不定期对各路段、社区（村）的保洁进行监督、巡查，落实各项规章制度，对每路段、社区（村）保洁检查情况进行检查通报；</w:t>
      </w:r>
    </w:p>
    <w:p>
      <w:pPr>
        <w:numPr>
          <w:ilvl w:val="0"/>
          <w:numId w:val="0"/>
        </w:numPr>
        <w:ind w:firstLine="640" w:firstLineChars="200"/>
        <w:rPr>
          <w:rFonts w:hint="eastAsia" w:ascii="黑体" w:hAnsi="宋体" w:eastAsia="黑体" w:cs="黑体"/>
          <w:kern w:val="2"/>
          <w:sz w:val="32"/>
          <w:szCs w:val="32"/>
          <w:lang w:val="en-US" w:eastAsia="zh-CN" w:bidi="ar"/>
        </w:rPr>
      </w:pPr>
      <w:r>
        <w:rPr>
          <w:rFonts w:hint="eastAsia" w:ascii="仿宋_GB2312" w:hAnsi="ˎ̥" w:eastAsia="仿宋_GB2312"/>
          <w:sz w:val="32"/>
          <w:szCs w:val="32"/>
          <w:lang w:eastAsia="zh-CN"/>
        </w:rPr>
        <w:t>（六）承办区委区政府和上级部门交办的工作。</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kern w:val="2"/>
          <w:sz w:val="32"/>
          <w:szCs w:val="32"/>
        </w:rPr>
      </w:pPr>
      <w:bookmarkStart w:id="14" w:name="_Toc24474_WPSOffice_Level2"/>
      <w:bookmarkEnd w:id="14"/>
      <w:bookmarkStart w:id="15" w:name="_Toc4833_WPSOffice_Level2"/>
      <w:bookmarkEnd w:id="15"/>
      <w:bookmarkStart w:id="16" w:name="_Toc24059_WPSOffice_Level2"/>
      <w:bookmarkEnd w:id="16"/>
      <w:bookmarkStart w:id="17" w:name="_Toc17796_WPSOffice_Level2"/>
      <w:bookmarkEnd w:id="17"/>
      <w:bookmarkStart w:id="18" w:name="_Toc6572_WPSOffice_Level2"/>
      <w:r>
        <w:rPr>
          <w:rFonts w:hint="eastAsia" w:ascii="黑体" w:hAnsi="宋体" w:eastAsia="黑体" w:cs="黑体"/>
          <w:kern w:val="2"/>
          <w:sz w:val="32"/>
          <w:szCs w:val="32"/>
          <w:lang w:val="en-US" w:eastAsia="zh-CN" w:bidi="ar"/>
        </w:rPr>
        <w:t>二、</w:t>
      </w:r>
      <w:bookmarkEnd w:id="18"/>
      <w:r>
        <w:rPr>
          <w:rFonts w:hint="eastAsia" w:ascii="黑体" w:hAnsi="宋体" w:eastAsia="黑体" w:cs="黑体"/>
          <w:kern w:val="2"/>
          <w:sz w:val="32"/>
          <w:szCs w:val="32"/>
          <w:lang w:val="en-US" w:eastAsia="zh-CN" w:bidi="ar"/>
        </w:rPr>
        <w:t>机构设置</w:t>
      </w:r>
    </w:p>
    <w:p>
      <w:pPr>
        <w:ind w:firstLine="640" w:firstLineChars="200"/>
        <w:rPr>
          <w:rFonts w:hint="eastAsia" w:ascii="仿宋_GB2312" w:hAnsi="ˎ̥" w:eastAsia="仿宋_GB2312"/>
          <w:sz w:val="32"/>
          <w:szCs w:val="32"/>
          <w:lang w:eastAsia="zh-CN"/>
        </w:rPr>
      </w:pPr>
      <w:bookmarkStart w:id="19" w:name="_Toc11518_WPSOffice_Level2"/>
      <w:bookmarkEnd w:id="19"/>
      <w:bookmarkStart w:id="20" w:name="_Toc15521_WPSOffice_Level1"/>
      <w:bookmarkEnd w:id="20"/>
      <w:bookmarkStart w:id="21" w:name="_Toc30690_WPSOffice_Level1"/>
      <w:bookmarkEnd w:id="21"/>
      <w:bookmarkStart w:id="22" w:name="_Toc28253_WPSOffice_Level1"/>
      <w:bookmarkEnd w:id="22"/>
      <w:bookmarkStart w:id="23" w:name="_Toc30451_WPSOffice_Level1"/>
      <w:bookmarkEnd w:id="23"/>
      <w:bookmarkStart w:id="24" w:name="_Toc32472_WPSOffice_Level2"/>
      <w:bookmarkEnd w:id="24"/>
      <w:bookmarkStart w:id="25" w:name="_Toc8867_WPSOffice_Level2"/>
      <w:bookmarkEnd w:id="25"/>
      <w:bookmarkStart w:id="26" w:name="_Toc6234_WPSOffice_Level1"/>
      <w:bookmarkEnd w:id="26"/>
      <w:bookmarkStart w:id="27" w:name="_Toc32695_WPSOffice_Level2"/>
      <w:bookmarkEnd w:id="27"/>
      <w:bookmarkStart w:id="28" w:name="_Toc6211_WPSOffice_Level2"/>
      <w:bookmarkEnd w:id="28"/>
      <w:bookmarkStart w:id="29" w:name="_Toc8164_WPSOffice_Level1"/>
      <w:bookmarkEnd w:id="29"/>
      <w:bookmarkStart w:id="30" w:name="_Toc4029_WPSOffice_Level2"/>
      <w:r>
        <w:rPr>
          <w:rFonts w:hint="eastAsia" w:ascii="仿宋_GB2312" w:hAnsi="ˎ̥" w:eastAsia="仿宋_GB2312"/>
          <w:sz w:val="32"/>
          <w:szCs w:val="32"/>
          <w:lang w:eastAsia="zh-CN"/>
        </w:rPr>
        <w:t>三亚市天涯区环卫所为隶属三亚市天涯区人民政府的正科级事业部门，</w:t>
      </w:r>
      <w:r>
        <w:rPr>
          <w:rFonts w:hint="eastAsia" w:ascii="仿宋_GB2312" w:hAnsi="ˎ̥" w:eastAsia="仿宋_GB2312"/>
          <w:sz w:val="32"/>
          <w:szCs w:val="32"/>
          <w:lang w:val="en-US" w:eastAsia="zh-CN"/>
        </w:rPr>
        <w:t>没有纳入决算编制的二级预算部门。根据单位主要职责，我所内设办公室、财务室、业务室、督察室四个科室以及环卫一队、二队、三队、四队、车队、公厕队等6个基层队</w:t>
      </w:r>
      <w:r>
        <w:rPr>
          <w:rFonts w:hint="eastAsia" w:ascii="仿宋_GB2312" w:hAnsi="ˎ̥" w:eastAsia="仿宋_GB2312"/>
          <w:sz w:val="32"/>
          <w:szCs w:val="32"/>
          <w:lang w:eastAsia="zh-CN"/>
        </w:rPr>
        <w:t>。</w:t>
      </w:r>
    </w:p>
    <w:p>
      <w:pPr>
        <w:ind w:firstLine="640" w:firstLineChars="200"/>
        <w:rPr>
          <w:rFonts w:hint="eastAsia" w:ascii="仿宋_GB2312" w:hAnsi="ˎ̥" w:eastAsia="仿宋_GB2312"/>
          <w:sz w:val="32"/>
          <w:szCs w:val="32"/>
          <w:lang w:eastAsia="zh-CN"/>
        </w:rPr>
      </w:pPr>
    </w:p>
    <w:p>
      <w:pPr>
        <w:keepNext w:val="0"/>
        <w:keepLines w:val="0"/>
        <w:widowControl w:val="0"/>
        <w:suppressLineNumbers w:val="0"/>
        <w:spacing w:before="0" w:beforeAutospacing="0" w:after="0" w:afterAutospacing="0"/>
        <w:ind w:left="0" w:right="0"/>
        <w:jc w:val="center"/>
        <w:rPr>
          <w:rFonts w:hint="eastAsia" w:ascii="黑体" w:hAnsi="ˎ̥" w:eastAsia="黑体" w:cs="黑体"/>
          <w:b w:val="0"/>
          <w:kern w:val="2"/>
          <w:sz w:val="32"/>
          <w:szCs w:val="32"/>
        </w:rPr>
      </w:pPr>
      <w:r>
        <w:rPr>
          <w:rFonts w:hint="eastAsia" w:ascii="黑体" w:hAnsi="宋体" w:eastAsia="黑体" w:cs="黑体"/>
          <w:b w:val="0"/>
          <w:kern w:val="2"/>
          <w:sz w:val="32"/>
          <w:szCs w:val="32"/>
          <w:lang w:val="en-US" w:eastAsia="zh-CN" w:bidi="ar"/>
        </w:rPr>
        <w:t>第二部分</w:t>
      </w:r>
      <w:bookmarkEnd w:id="30"/>
      <w:r>
        <w:rPr>
          <w:rFonts w:hint="eastAsia" w:ascii="黑体" w:hAnsi="ˎ̥" w:eastAsia="黑体" w:cs="黑体"/>
          <w:b w:val="0"/>
          <w:kern w:val="2"/>
          <w:sz w:val="32"/>
          <w:szCs w:val="32"/>
          <w:lang w:val="en-US" w:eastAsia="zh-CN" w:bidi="ar"/>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cs="黑体"/>
          <w:b w:val="0"/>
          <w:kern w:val="2"/>
          <w:sz w:val="32"/>
          <w:szCs w:val="32"/>
          <w:lang w:val="en-US" w:eastAsia="zh-CN" w:bidi="ar"/>
        </w:rPr>
        <w:t>2022</w:t>
      </w:r>
      <w:r>
        <w:rPr>
          <w:rFonts w:hint="eastAsia" w:ascii="黑体" w:hAnsi="宋体" w:eastAsia="黑体" w:cs="黑体"/>
          <w:b w:val="0"/>
          <w:kern w:val="2"/>
          <w:sz w:val="32"/>
          <w:szCs w:val="32"/>
          <w:lang w:val="en-US" w:eastAsia="zh-CN" w:bidi="ar"/>
        </w:rPr>
        <w:t>年度部门决算公开  报表</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一、收入支出决算公开表（见正文附件）。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31" w:name="_Toc30334_WPSOffice_Level2"/>
      <w:bookmarkEnd w:id="31"/>
      <w:bookmarkStart w:id="32" w:name="_Toc26621_WPSOffice_Level2"/>
      <w:bookmarkEnd w:id="32"/>
      <w:bookmarkStart w:id="33" w:name="_Toc23139_WPSOffice_Level2"/>
      <w:bookmarkEnd w:id="33"/>
      <w:bookmarkStart w:id="34" w:name="_Toc25608_WPSOffice_Level2"/>
      <w:bookmarkEnd w:id="34"/>
      <w:bookmarkStart w:id="35" w:name="_Toc28622_WPSOffice_Level2"/>
      <w:bookmarkEnd w:id="35"/>
      <w:bookmarkStart w:id="36" w:name="_Toc14349_WPSOffice_Level2"/>
      <w:r>
        <w:rPr>
          <w:rFonts w:hint="eastAsia" w:ascii="黑体" w:hAnsi="宋体" w:eastAsia="黑体" w:cs="黑体"/>
          <w:kern w:val="2"/>
          <w:sz w:val="32"/>
          <w:szCs w:val="32"/>
          <w:lang w:val="en-US" w:eastAsia="zh-CN" w:bidi="ar"/>
        </w:rPr>
        <w:t>二、</w:t>
      </w:r>
      <w:bookmarkEnd w:id="36"/>
      <w:r>
        <w:rPr>
          <w:rFonts w:hint="eastAsia" w:ascii="黑体" w:hAnsi="宋体" w:eastAsia="黑体" w:cs="黑体"/>
          <w:kern w:val="2"/>
          <w:sz w:val="32"/>
          <w:szCs w:val="32"/>
          <w:lang w:val="en-US" w:eastAsia="zh-CN" w:bidi="ar"/>
        </w:rPr>
        <w:t>收入决算公开表（见正文附件）。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37" w:name="_Toc17626_WPSOffice_Level2"/>
      <w:bookmarkEnd w:id="37"/>
      <w:bookmarkStart w:id="38" w:name="_Toc3262_WPSOffice_Level2"/>
      <w:bookmarkEnd w:id="38"/>
      <w:bookmarkStart w:id="39" w:name="_Toc17858_WPSOffice_Level2"/>
      <w:bookmarkEnd w:id="39"/>
      <w:bookmarkStart w:id="40" w:name="_Toc13854_WPSOffice_Level2"/>
      <w:bookmarkEnd w:id="40"/>
      <w:bookmarkStart w:id="41" w:name="_Toc14658_WPSOffice_Level2"/>
      <w:bookmarkEnd w:id="41"/>
      <w:bookmarkStart w:id="42" w:name="_Toc5489_WPSOffice_Level2"/>
      <w:r>
        <w:rPr>
          <w:rFonts w:hint="eastAsia" w:ascii="黑体" w:hAnsi="宋体" w:eastAsia="黑体" w:cs="黑体"/>
          <w:kern w:val="2"/>
          <w:sz w:val="32"/>
          <w:szCs w:val="32"/>
          <w:lang w:val="en-US" w:eastAsia="zh-CN" w:bidi="ar"/>
        </w:rPr>
        <w:t>三、</w:t>
      </w:r>
      <w:bookmarkEnd w:id="42"/>
      <w:r>
        <w:rPr>
          <w:rFonts w:hint="eastAsia" w:ascii="黑体" w:hAnsi="宋体" w:eastAsia="黑体" w:cs="黑体"/>
          <w:kern w:val="2"/>
          <w:sz w:val="32"/>
          <w:szCs w:val="32"/>
          <w:lang w:val="en-US" w:eastAsia="zh-CN" w:bidi="ar"/>
        </w:rPr>
        <w:t>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43" w:name="_Toc21415_WPSOffice_Level2"/>
      <w:bookmarkEnd w:id="43"/>
      <w:bookmarkStart w:id="44" w:name="_Toc23493_WPSOffice_Level2"/>
      <w:bookmarkEnd w:id="44"/>
      <w:bookmarkStart w:id="45" w:name="_Toc23591_WPSOffice_Level2"/>
      <w:bookmarkEnd w:id="45"/>
      <w:bookmarkStart w:id="46" w:name="_Toc4265_WPSOffice_Level2"/>
      <w:bookmarkEnd w:id="46"/>
      <w:bookmarkStart w:id="47" w:name="_Toc13701_WPSOffice_Level2"/>
      <w:bookmarkEnd w:id="47"/>
      <w:bookmarkStart w:id="48" w:name="_Toc7988_WPSOffice_Level2"/>
      <w:r>
        <w:rPr>
          <w:rFonts w:hint="eastAsia" w:ascii="黑体" w:hAnsi="宋体" w:eastAsia="黑体" w:cs="黑体"/>
          <w:kern w:val="2"/>
          <w:sz w:val="32"/>
          <w:szCs w:val="32"/>
          <w:lang w:val="en-US" w:eastAsia="zh-CN" w:bidi="ar"/>
        </w:rPr>
        <w:t>四</w:t>
      </w:r>
      <w:bookmarkEnd w:id="48"/>
      <w:r>
        <w:rPr>
          <w:rFonts w:hint="eastAsia" w:ascii="黑体" w:hAnsi="宋体" w:eastAsia="黑体" w:cs="黑体"/>
          <w:kern w:val="2"/>
          <w:sz w:val="32"/>
          <w:szCs w:val="32"/>
          <w:lang w:val="en-US" w:eastAsia="zh-CN" w:bidi="ar"/>
        </w:rPr>
        <w:t>、财政拨款收入支出决算公开表（见正文附件）。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49" w:name="_Toc7879_WPSOffice_Level2"/>
      <w:bookmarkEnd w:id="49"/>
      <w:bookmarkStart w:id="50" w:name="_Toc22783_WPSOffice_Level2"/>
      <w:bookmarkEnd w:id="50"/>
      <w:bookmarkStart w:id="51" w:name="_Toc25166_WPSOffice_Level2"/>
      <w:bookmarkEnd w:id="51"/>
      <w:bookmarkStart w:id="52" w:name="_Toc2158_WPSOffice_Level2"/>
      <w:bookmarkEnd w:id="52"/>
      <w:bookmarkStart w:id="53" w:name="_Toc23829_WPSOffice_Level2"/>
      <w:bookmarkEnd w:id="53"/>
      <w:bookmarkStart w:id="54" w:name="_Toc13516_WPSOffice_Level2"/>
      <w:r>
        <w:rPr>
          <w:rFonts w:hint="eastAsia" w:ascii="黑体" w:hAnsi="宋体" w:eastAsia="黑体" w:cs="黑体"/>
          <w:kern w:val="2"/>
          <w:sz w:val="32"/>
          <w:szCs w:val="32"/>
          <w:lang w:val="en-US" w:eastAsia="zh-CN" w:bidi="ar"/>
        </w:rPr>
        <w:t>五、</w:t>
      </w:r>
      <w:bookmarkEnd w:id="54"/>
      <w:r>
        <w:rPr>
          <w:rFonts w:hint="eastAsia" w:ascii="黑体" w:hAnsi="宋体" w:eastAsia="黑体" w:cs="黑体"/>
          <w:kern w:val="2"/>
          <w:sz w:val="32"/>
          <w:szCs w:val="32"/>
          <w:lang w:val="en-US" w:eastAsia="zh-CN" w:bidi="ar"/>
        </w:rPr>
        <w:t>一般公共预算财政拨款收入支出决算公开表</w:t>
      </w:r>
    </w:p>
    <w:p>
      <w:pPr>
        <w:keepNext w:val="0"/>
        <w:keepLines w:val="0"/>
        <w:widowControl w:val="0"/>
        <w:suppressLineNumbers w:val="0"/>
        <w:spacing w:before="0" w:beforeAutospacing="0" w:after="0" w:afterAutospacing="0"/>
        <w:ind w:left="0" w:right="0" w:firstLine="1302" w:firstLineChars="407"/>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0" w:right="0" w:firstLine="645"/>
        <w:jc w:val="both"/>
        <w:rPr>
          <w:rFonts w:hint="eastAsia" w:ascii="黑体" w:hAnsi="宋体" w:eastAsia="黑体" w:cs="黑体"/>
          <w:kern w:val="2"/>
          <w:sz w:val="32"/>
          <w:szCs w:val="32"/>
        </w:rPr>
      </w:pPr>
      <w:bookmarkStart w:id="55" w:name="_Toc5343_WPSOffice_Level2"/>
      <w:bookmarkEnd w:id="55"/>
      <w:bookmarkStart w:id="56" w:name="_Toc17283_WPSOffice_Level2"/>
      <w:bookmarkEnd w:id="56"/>
      <w:bookmarkStart w:id="57" w:name="_Toc17833_WPSOffice_Level2"/>
      <w:bookmarkEnd w:id="57"/>
      <w:bookmarkStart w:id="58" w:name="_Toc25362_WPSOffice_Level2"/>
      <w:bookmarkEnd w:id="58"/>
      <w:bookmarkStart w:id="59" w:name="_Toc2632_WPSOffice_Level2"/>
      <w:bookmarkEnd w:id="59"/>
      <w:bookmarkStart w:id="60" w:name="_Toc8373_WPSOffice_Level2"/>
      <w:r>
        <w:rPr>
          <w:rFonts w:hint="eastAsia" w:ascii="黑体" w:hAnsi="宋体" w:eastAsia="黑体" w:cs="黑体"/>
          <w:kern w:val="2"/>
          <w:sz w:val="32"/>
          <w:szCs w:val="32"/>
          <w:lang w:val="en-US" w:eastAsia="zh-CN" w:bidi="ar"/>
        </w:rPr>
        <w:t>六、</w:t>
      </w:r>
      <w:bookmarkEnd w:id="60"/>
      <w:r>
        <w:rPr>
          <w:rFonts w:hint="eastAsia" w:ascii="黑体" w:hAnsi="宋体" w:eastAsia="黑体" w:cs="黑体"/>
          <w:kern w:val="2"/>
          <w:sz w:val="32"/>
          <w:szCs w:val="32"/>
          <w:lang w:val="en-US" w:eastAsia="zh-CN" w:bidi="ar"/>
        </w:rPr>
        <w:t>一般公共预算财政拨款基本支出决算公开表</w:t>
      </w:r>
    </w:p>
    <w:p>
      <w:pPr>
        <w:keepNext w:val="0"/>
        <w:keepLines w:val="0"/>
        <w:widowControl w:val="0"/>
        <w:suppressLineNumbers w:val="0"/>
        <w:spacing w:before="0" w:beforeAutospacing="0" w:after="0" w:afterAutospacing="0"/>
        <w:ind w:left="0" w:right="0" w:firstLine="1280" w:firstLineChars="40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1118" w:leftChars="304" w:right="0" w:hanging="480" w:hangingChars="150"/>
        <w:jc w:val="both"/>
        <w:rPr>
          <w:rFonts w:hint="eastAsia" w:ascii="黑体" w:hAnsi="宋体" w:eastAsia="黑体" w:cs="黑体"/>
          <w:kern w:val="2"/>
          <w:sz w:val="32"/>
          <w:szCs w:val="32"/>
        </w:rPr>
      </w:pPr>
      <w:bookmarkStart w:id="61" w:name="_Toc11799_WPSOffice_Level2"/>
      <w:bookmarkEnd w:id="61"/>
      <w:bookmarkStart w:id="62" w:name="_Toc5594_WPSOffice_Level2"/>
      <w:bookmarkEnd w:id="62"/>
      <w:bookmarkStart w:id="63" w:name="_Toc13345_WPSOffice_Level2"/>
      <w:bookmarkEnd w:id="63"/>
      <w:bookmarkStart w:id="64" w:name="_Toc1533_WPSOffice_Level2"/>
      <w:bookmarkEnd w:id="64"/>
      <w:bookmarkStart w:id="65" w:name="_Toc6020_WPSOffice_Level2"/>
      <w:bookmarkEnd w:id="65"/>
      <w:bookmarkStart w:id="66" w:name="_Toc21310_WPSOffice_Level2"/>
      <w:r>
        <w:rPr>
          <w:rFonts w:hint="eastAsia" w:ascii="黑体" w:hAnsi="宋体" w:eastAsia="黑体" w:cs="黑体"/>
          <w:kern w:val="2"/>
          <w:sz w:val="32"/>
          <w:szCs w:val="32"/>
          <w:lang w:val="en-US" w:eastAsia="zh-CN" w:bidi="ar"/>
        </w:rPr>
        <w:t>七、</w:t>
      </w:r>
      <w:bookmarkEnd w:id="66"/>
      <w:r>
        <w:rPr>
          <w:rFonts w:hint="eastAsia" w:ascii="黑体" w:hAnsi="宋体" w:eastAsia="黑体" w:cs="黑体"/>
          <w:kern w:val="2"/>
          <w:sz w:val="32"/>
          <w:szCs w:val="32"/>
          <w:lang w:val="en-US" w:eastAsia="zh-CN" w:bidi="ar"/>
        </w:rPr>
        <w:t>政府性基金预算财政拨款收入支出决算公开表</w:t>
      </w:r>
    </w:p>
    <w:p>
      <w:pPr>
        <w:keepNext w:val="0"/>
        <w:keepLines w:val="0"/>
        <w:widowControl w:val="0"/>
        <w:suppressLineNumbers w:val="0"/>
        <w:spacing w:before="0" w:beforeAutospacing="0" w:after="0" w:afterAutospacing="0"/>
        <w:ind w:left="1277" w:leftChars="608" w:right="0" w:firstLine="160" w:firstLineChars="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1118" w:leftChars="304" w:right="0" w:hanging="480" w:hangingChars="1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八、国有资本经营预算财政拨款收入支出决算公开表</w:t>
      </w:r>
    </w:p>
    <w:p>
      <w:pPr>
        <w:keepNext w:val="0"/>
        <w:keepLines w:val="0"/>
        <w:widowControl w:val="0"/>
        <w:suppressLineNumbers w:val="0"/>
        <w:spacing w:before="0" w:beforeAutospacing="0" w:after="0" w:afterAutospacing="0"/>
        <w:ind w:left="1277" w:leftChars="608" w:right="0" w:firstLine="160" w:firstLineChars="5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（见正文附件）。</w:t>
      </w:r>
    </w:p>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2"/>
          <w:szCs w:val="32"/>
        </w:rPr>
      </w:pPr>
      <w:bookmarkStart w:id="67" w:name="_Toc9377_WPSOffice_Level2"/>
      <w:bookmarkEnd w:id="67"/>
      <w:bookmarkStart w:id="68" w:name="_Toc29886_WPSOffice_Level2"/>
      <w:bookmarkEnd w:id="68"/>
      <w:bookmarkStart w:id="69" w:name="_Toc1820_WPSOffice_Level2"/>
      <w:bookmarkEnd w:id="69"/>
      <w:bookmarkStart w:id="70" w:name="_Toc19961_WPSOffice_Level2"/>
      <w:r>
        <w:rPr>
          <w:rFonts w:hint="eastAsia" w:ascii="黑体" w:hAnsi="宋体" w:eastAsia="黑体" w:cs="黑体"/>
          <w:kern w:val="2"/>
          <w:sz w:val="32"/>
          <w:szCs w:val="32"/>
          <w:lang w:val="en-US" w:eastAsia="zh-CN" w:bidi="ar"/>
        </w:rPr>
        <w:t xml:space="preserve">    九、</w:t>
      </w:r>
      <w:bookmarkEnd w:id="70"/>
      <w:r>
        <w:rPr>
          <w:rFonts w:hint="eastAsia" w:ascii="黑体" w:hAnsi="宋体" w:eastAsia="黑体" w:cs="黑体"/>
          <w:kern w:val="2"/>
          <w:sz w:val="32"/>
          <w:szCs w:val="32"/>
          <w:lang w:val="en-US" w:eastAsia="zh-CN" w:bidi="ar"/>
        </w:rPr>
        <w:t>一般公共预算财政拨款“三公”经费支出决算</w:t>
      </w:r>
    </w:p>
    <w:p>
      <w:pPr>
        <w:keepNext w:val="0"/>
        <w:keepLines w:val="0"/>
        <w:widowControl w:val="0"/>
        <w:suppressLineNumbers w:val="0"/>
        <w:spacing w:before="0" w:beforeAutospacing="0" w:after="0" w:afterAutospacing="0"/>
        <w:ind w:left="0" w:right="0" w:firstLine="0" w:firstLineChars="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公开表（见正文附件）。</w:t>
      </w:r>
    </w:p>
    <w:p>
      <w:pPr>
        <w:keepNext w:val="0"/>
        <w:keepLines w:val="0"/>
        <w:widowControl w:val="0"/>
        <w:suppressLineNumbers w:val="0"/>
        <w:spacing w:before="0" w:beforeAutospacing="0" w:after="0" w:afterAutospacing="0"/>
        <w:ind w:left="0" w:right="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0" w:firstLineChars="0"/>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b w:val="0"/>
          <w:kern w:val="2"/>
          <w:sz w:val="32"/>
          <w:szCs w:val="32"/>
        </w:rPr>
      </w:pPr>
      <w:bookmarkStart w:id="71" w:name="_Toc4402_WPSOffice_Level1"/>
      <w:bookmarkEnd w:id="71"/>
      <w:bookmarkStart w:id="72" w:name="_Toc31264_WPSOffice_Level1"/>
      <w:bookmarkEnd w:id="72"/>
      <w:bookmarkStart w:id="73" w:name="_Toc29683_WPSOffice_Level1"/>
      <w:bookmarkEnd w:id="73"/>
      <w:bookmarkStart w:id="74" w:name="_Toc28629_WPSOffice_Level1"/>
      <w:bookmarkEnd w:id="74"/>
      <w:bookmarkStart w:id="75" w:name="_Toc16686_WPSOffice_Level1"/>
      <w:bookmarkEnd w:id="75"/>
      <w:bookmarkStart w:id="76" w:name="_Toc27590_WPSOffice_Level1"/>
      <w:r>
        <w:rPr>
          <w:rFonts w:hint="eastAsia" w:ascii="黑体" w:hAnsi="宋体" w:eastAsia="黑体" w:cs="黑体"/>
          <w:b w:val="0"/>
          <w:kern w:val="2"/>
          <w:sz w:val="32"/>
          <w:szCs w:val="32"/>
          <w:lang w:val="en-US" w:eastAsia="zh-CN" w:bidi="ar"/>
        </w:rPr>
        <w:t>第三部分</w:t>
      </w:r>
      <w:bookmarkEnd w:id="76"/>
      <w:r>
        <w:rPr>
          <w:rFonts w:hint="eastAsia" w:ascii="黑体" w:hAnsi="ˎ̥" w:eastAsia="黑体" w:cs="黑体"/>
          <w:b w:val="0"/>
          <w:kern w:val="2"/>
          <w:sz w:val="32"/>
          <w:szCs w:val="32"/>
          <w:lang w:val="en-US" w:eastAsia="zh-CN" w:bidi="ar"/>
        </w:rPr>
        <w:t xml:space="preserve">  </w:t>
      </w:r>
      <w:r>
        <w:rPr>
          <w:rFonts w:hint="eastAsia" w:ascii="黑体" w:hAnsi="ˎ̥" w:eastAsia="黑体"/>
          <w:b w:val="0"/>
          <w:bCs w:val="0"/>
          <w:sz w:val="32"/>
          <w:szCs w:val="32"/>
          <w:lang w:val="en-US" w:eastAsia="zh-CN"/>
        </w:rPr>
        <w:t>三亚市天涯区环卫所</w:t>
      </w:r>
      <w:r>
        <w:rPr>
          <w:rFonts w:hint="eastAsia" w:ascii="黑体" w:hAnsi="ˎ̥" w:eastAsia="黑体" w:cs="黑体"/>
          <w:b w:val="0"/>
          <w:kern w:val="2"/>
          <w:sz w:val="32"/>
          <w:szCs w:val="32"/>
          <w:lang w:val="en-US" w:eastAsia="zh-CN" w:bidi="ar"/>
        </w:rPr>
        <w:t>2022</w:t>
      </w:r>
      <w:r>
        <w:rPr>
          <w:rFonts w:hint="eastAsia" w:ascii="黑体" w:hAnsi="宋体" w:eastAsia="黑体" w:cs="黑体"/>
          <w:b w:val="0"/>
          <w:kern w:val="2"/>
          <w:sz w:val="32"/>
          <w:szCs w:val="32"/>
          <w:lang w:val="en-US" w:eastAsia="zh-CN" w:bidi="ar"/>
        </w:rPr>
        <w:t>年度部门决算情况  说明</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r>
        <w:rPr>
          <w:rFonts w:hint="eastAsia" w:ascii="黑体" w:hAnsi="ˎ̥" w:eastAsia="黑体" w:cs="黑体"/>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color w:val="auto"/>
          <w:kern w:val="2"/>
          <w:sz w:val="32"/>
          <w:szCs w:val="32"/>
        </w:rPr>
      </w:pPr>
      <w:r>
        <w:rPr>
          <w:rFonts w:hint="eastAsia" w:ascii="黑体" w:hAnsi="宋体" w:eastAsia="黑体" w:cs="黑体"/>
          <w:b w:val="0"/>
          <w:kern w:val="2"/>
          <w:sz w:val="32"/>
          <w:szCs w:val="32"/>
          <w:lang w:val="en-US" w:eastAsia="zh-CN" w:bidi="ar"/>
        </w:rPr>
        <w:t>一、收入支出决算总体情况说明</w:t>
      </w:r>
      <w:r>
        <w:rPr>
          <w:rFonts w:hint="eastAsia" w:ascii="黑体" w:hAnsi="宋体" w:eastAsia="黑体" w:cs="黑体"/>
          <w:b w:val="0"/>
          <w:kern w:val="2"/>
          <w:sz w:val="32"/>
          <w:szCs w:val="32"/>
          <w:lang w:val="en-US" w:eastAsia="zh-CN" w:bidi="ar"/>
        </w:rPr>
        <w:br w:type="textWrapping"/>
      </w:r>
      <w:r>
        <w:rPr>
          <w:rFonts w:hint="eastAsia" w:ascii="楷体_GB2312" w:hAnsi="ˎ̥" w:eastAsia="楷体_GB2312" w:cs="楷体_GB2312"/>
          <w:kern w:val="2"/>
          <w:sz w:val="32"/>
          <w:szCs w:val="32"/>
          <w:lang w:val="en-US" w:eastAsia="zh-CN" w:bidi="ar"/>
        </w:rPr>
        <w:t xml:space="preserve">    </w:t>
      </w:r>
      <w:r>
        <w:rPr>
          <w:rFonts w:hint="eastAsia" w:ascii="仿宋_GB2312" w:hAnsi="ˎ̥" w:eastAsia="仿宋_GB2312" w:cs="仿宋_GB2312"/>
          <w:kern w:val="2"/>
          <w:sz w:val="32"/>
          <w:szCs w:val="32"/>
          <w:lang w:val="en-US" w:eastAsia="zh-CN" w:bidi="ar"/>
        </w:rPr>
        <w:t>2022年度收入总计16188.70万元，支出总计16188.70万元，与2021年度相比，收入、支出总计各减少9759.49万元，减少37.61%。主要原因2021年存在调整账目数，2022年不存在。使用非财政拨款结余0万元，较2021年度决算数无变化。年初结转结余51.93万元，主要是</w:t>
      </w:r>
      <w:r>
        <w:rPr>
          <w:rFonts w:hint="eastAsia" w:ascii="仿宋_GB2312" w:hAnsi="ˎ̥" w:eastAsia="仿宋_GB2312"/>
          <w:sz w:val="32"/>
          <w:szCs w:val="32"/>
          <w:lang w:eastAsia="zh-CN"/>
        </w:rPr>
        <w:t>年初预算及</w:t>
      </w:r>
      <w:r>
        <w:rPr>
          <w:rFonts w:hint="eastAsia" w:ascii="仿宋_GB2312" w:hAnsi="ˎ̥" w:eastAsia="仿宋_GB2312"/>
          <w:color w:val="auto"/>
          <w:sz w:val="32"/>
          <w:szCs w:val="32"/>
          <w:lang w:eastAsia="zh-CN"/>
        </w:rPr>
        <w:t>历年结转</w:t>
      </w:r>
      <w:r>
        <w:rPr>
          <w:rFonts w:hint="eastAsia" w:ascii="仿宋_GB2312" w:hAnsi="ˎ̥" w:eastAsia="仿宋_GB2312"/>
          <w:sz w:val="32"/>
          <w:szCs w:val="32"/>
          <w:lang w:eastAsia="zh-CN"/>
        </w:rPr>
        <w:t>结余</w:t>
      </w:r>
      <w:r>
        <w:rPr>
          <w:rFonts w:hint="eastAsia" w:ascii="仿宋_GB2312" w:hAnsi="ˎ̥" w:eastAsia="仿宋_GB2312" w:cs="仿宋_GB2312"/>
          <w:kern w:val="2"/>
          <w:sz w:val="32"/>
          <w:szCs w:val="32"/>
          <w:lang w:val="en-US" w:eastAsia="zh-CN" w:bidi="ar"/>
        </w:rPr>
        <w:t>，较2021年度决算数无变化。结余分配0万元，较2021年度决算数无变化。年末结转结余51.93万元，主要是</w:t>
      </w:r>
      <w:r>
        <w:rPr>
          <w:rFonts w:hint="eastAsia" w:ascii="仿宋_GB2312" w:hAnsi="ˎ̥" w:eastAsia="仿宋_GB2312"/>
          <w:color w:val="auto"/>
          <w:sz w:val="32"/>
          <w:szCs w:val="32"/>
          <w:lang w:eastAsia="zh-CN"/>
        </w:rPr>
        <w:t>历年结转结余及财政应返还额度</w:t>
      </w:r>
      <w:r>
        <w:rPr>
          <w:rFonts w:hint="eastAsia" w:ascii="仿宋_GB2312" w:hAnsi="ˎ̥" w:eastAsia="仿宋_GB2312" w:cs="仿宋_GB2312"/>
          <w:color w:val="auto"/>
          <w:kern w:val="2"/>
          <w:sz w:val="32"/>
          <w:szCs w:val="32"/>
          <w:lang w:val="en-US" w:eastAsia="zh-CN" w:bidi="ar"/>
        </w:rPr>
        <w:t>，较2021年度决算数无变化。</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黑体" w:hAnsi="宋体" w:eastAsia="黑体" w:cs="黑体"/>
          <w:b w:val="0"/>
          <w:kern w:val="2"/>
          <w:sz w:val="32"/>
          <w:szCs w:val="32"/>
          <w:lang w:val="en-US" w:eastAsia="zh-CN" w:bidi="ar"/>
        </w:rPr>
        <w:t>二、收入决算情况说明</w:t>
      </w:r>
      <w:r>
        <w:rPr>
          <w:rFonts w:hint="eastAsia" w:ascii="黑体" w:hAnsi="宋体" w:eastAsia="黑体" w:cs="黑体"/>
          <w:b w:val="0"/>
          <w:kern w:val="2"/>
          <w:sz w:val="32"/>
          <w:szCs w:val="32"/>
          <w:lang w:val="en-US" w:eastAsia="zh-CN" w:bidi="ar"/>
        </w:rPr>
        <w:br w:type="textWrapping"/>
      </w:r>
      <w:r>
        <w:rPr>
          <w:rFonts w:hint="eastAsia" w:ascii="仿宋_GB2312" w:hAnsi="ˎ̥" w:eastAsia="仿宋_GB2312" w:cs="仿宋_GB2312"/>
          <w:kern w:val="2"/>
          <w:sz w:val="32"/>
          <w:szCs w:val="32"/>
          <w:lang w:val="en-US" w:eastAsia="zh-CN" w:bidi="ar"/>
        </w:rPr>
        <w:t xml:space="preserve">    本年收入合计16136.77万元，其中：财政拨款收入</w:t>
      </w:r>
      <w:r>
        <w:rPr>
          <w:rFonts w:hint="eastAsia" w:ascii="仿宋_GB2312" w:hAnsi="ˎ̥" w:eastAsia="仿宋_GB2312" w:cs="仿宋_GB2312"/>
          <w:color w:val="auto"/>
          <w:kern w:val="2"/>
          <w:sz w:val="32"/>
          <w:szCs w:val="32"/>
          <w:lang w:val="en-US" w:eastAsia="zh-CN" w:bidi="ar"/>
        </w:rPr>
        <w:t>16136.77万元；上级补助收入0万元；事业收入0万元；经营收入0万元；附属单位上缴收入0万元；其</w:t>
      </w:r>
      <w:r>
        <w:rPr>
          <w:rFonts w:hint="eastAsia" w:ascii="仿宋_GB2312" w:hAnsi="ˎ̥" w:eastAsia="仿宋_GB2312" w:cs="仿宋_GB2312"/>
          <w:color w:val="auto"/>
          <w:kern w:val="2"/>
          <w:sz w:val="32"/>
          <w:szCs w:val="32"/>
          <w:u w:val="none"/>
          <w:lang w:val="en-US" w:eastAsia="zh-CN" w:bidi="ar"/>
        </w:rPr>
        <w:t>他收入0万</w:t>
      </w:r>
      <w:r>
        <w:rPr>
          <w:rFonts w:hint="eastAsia" w:ascii="仿宋_GB2312" w:hAnsi="ˎ̥" w:eastAsia="仿宋_GB2312" w:cs="仿宋_GB2312"/>
          <w:color w:val="auto"/>
          <w:kern w:val="2"/>
          <w:sz w:val="32"/>
          <w:szCs w:val="32"/>
          <w:lang w:val="en-US" w:eastAsia="zh-CN" w:bidi="ar"/>
        </w:rPr>
        <w:t>元</w:t>
      </w:r>
      <w:r>
        <w:rPr>
          <w:rFonts w:hint="eastAsia" w:ascii="仿宋_GB2312" w:hAnsi="ˎ̥"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三、支出决算情况说明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本年支出合计16136.77万元，其中：基本支出0万元；项目支出</w:t>
      </w:r>
      <w:r>
        <w:rPr>
          <w:rFonts w:hint="eastAsia" w:ascii="仿宋_GB2312" w:hAnsi="ˎ̥" w:eastAsia="仿宋_GB2312" w:cs="仿宋_GB2312"/>
          <w:color w:val="auto"/>
          <w:kern w:val="2"/>
          <w:sz w:val="32"/>
          <w:szCs w:val="32"/>
          <w:lang w:val="en-US" w:eastAsia="zh-CN" w:bidi="ar"/>
        </w:rPr>
        <w:t>16136.77万元；上缴上级支出0万元</w:t>
      </w:r>
      <w:r>
        <w:rPr>
          <w:rFonts w:hint="eastAsia" w:ascii="仿宋_GB2312" w:hAnsi="ˎ̥" w:eastAsia="仿宋_GB2312" w:cs="仿宋_GB2312"/>
          <w:kern w:val="2"/>
          <w:sz w:val="32"/>
          <w:szCs w:val="32"/>
          <w:lang w:val="en-US" w:eastAsia="zh-CN" w:bidi="ar"/>
        </w:rPr>
        <w:t>；经营支出   0万元；对附属单位补助支出0万元。</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color w:val="auto"/>
          <w:kern w:val="2"/>
          <w:sz w:val="32"/>
          <w:szCs w:val="32"/>
          <w:highlight w:val="none"/>
        </w:rPr>
      </w:pPr>
      <w:r>
        <w:rPr>
          <w:rFonts w:hint="eastAsia" w:ascii="黑体" w:hAnsi="宋体" w:eastAsia="黑体" w:cs="黑体"/>
          <w:b w:val="0"/>
          <w:kern w:val="2"/>
          <w:sz w:val="32"/>
          <w:szCs w:val="32"/>
          <w:lang w:val="en-US" w:eastAsia="zh-CN" w:bidi="ar"/>
        </w:rPr>
        <w:t>四、财政拨款收入支出决算</w:t>
      </w:r>
      <w:r>
        <w:rPr>
          <w:rFonts w:hint="eastAsia" w:ascii="黑体" w:hAnsi="宋体" w:eastAsia="黑体" w:cs="黑体"/>
          <w:b w:val="0"/>
          <w:color w:val="auto"/>
          <w:kern w:val="2"/>
          <w:sz w:val="32"/>
          <w:szCs w:val="32"/>
          <w:highlight w:val="none"/>
          <w:lang w:val="en-US" w:eastAsia="zh-CN" w:bidi="ar"/>
        </w:rPr>
        <w:t>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highlight w:val="none"/>
        </w:rPr>
      </w:pPr>
      <w:r>
        <w:rPr>
          <w:rFonts w:hint="eastAsia" w:ascii="仿宋_GB2312" w:hAnsi="ˎ̥" w:eastAsia="仿宋_GB2312" w:cs="仿宋_GB2312"/>
          <w:color w:val="auto"/>
          <w:kern w:val="2"/>
          <w:sz w:val="32"/>
          <w:szCs w:val="32"/>
          <w:highlight w:val="none"/>
          <w:lang w:val="en-US" w:eastAsia="zh-CN" w:bidi="ar"/>
        </w:rPr>
        <w:t>2022年度财政拨款收入总计16188.70万元，支出总计16188.70万元。与2021年度相比，财政拨款收入、支出总计各增加4130.18万元，增长34.25%。主要</w:t>
      </w:r>
      <w:r>
        <w:rPr>
          <w:rFonts w:hint="eastAsia" w:ascii="仿宋_GB2312" w:hAnsi="ˎ̥" w:eastAsia="仿宋_GB2312" w:cs="仿宋_GB2312"/>
          <w:kern w:val="2"/>
          <w:sz w:val="32"/>
          <w:szCs w:val="32"/>
          <w:highlight w:val="none"/>
          <w:lang w:val="en-US" w:eastAsia="zh-CN" w:bidi="ar"/>
        </w:rPr>
        <w:t>原因财政拨款增加。</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财政拨款年初结转结余51.93万元，主要是</w:t>
      </w:r>
      <w:r>
        <w:rPr>
          <w:rFonts w:hint="eastAsia" w:ascii="仿宋_GB2312" w:hAnsi="ˎ̥" w:eastAsia="仿宋_GB2312"/>
          <w:sz w:val="32"/>
          <w:szCs w:val="32"/>
          <w:lang w:eastAsia="zh-CN"/>
        </w:rPr>
        <w:t>历年结转结余</w:t>
      </w:r>
      <w:r>
        <w:rPr>
          <w:rFonts w:hint="eastAsia" w:ascii="仿宋_GB2312" w:hAnsi="ˎ̥" w:eastAsia="仿宋_GB2312" w:cs="仿宋_GB2312"/>
          <w:kern w:val="2"/>
          <w:sz w:val="32"/>
          <w:szCs w:val="32"/>
          <w:lang w:val="en-US" w:eastAsia="zh-CN" w:bidi="ar"/>
        </w:rPr>
        <w:t>，较2021年度决算数无变化。</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财政拨款年末结转结余51.93万元，主要是</w:t>
      </w:r>
      <w:r>
        <w:rPr>
          <w:rFonts w:hint="eastAsia" w:ascii="仿宋_GB2312" w:hAnsi="ˎ̥" w:eastAsia="仿宋_GB2312"/>
          <w:sz w:val="32"/>
          <w:szCs w:val="32"/>
          <w:lang w:eastAsia="zh-CN"/>
        </w:rPr>
        <w:t>一般公共预算财政拨款</w:t>
      </w:r>
      <w:r>
        <w:rPr>
          <w:rFonts w:hint="eastAsia" w:ascii="仿宋_GB2312" w:hAnsi="ˎ̥" w:eastAsia="仿宋_GB2312"/>
          <w:color w:val="auto"/>
          <w:sz w:val="32"/>
          <w:szCs w:val="32"/>
          <w:lang w:val="en-US" w:eastAsia="zh-CN"/>
        </w:rPr>
        <w:t>和</w:t>
      </w:r>
      <w:r>
        <w:rPr>
          <w:rFonts w:hint="eastAsia" w:ascii="仿宋_GB2312" w:hAnsi="ˎ̥" w:eastAsia="仿宋_GB2312"/>
          <w:color w:val="auto"/>
          <w:sz w:val="32"/>
          <w:szCs w:val="32"/>
          <w:lang w:eastAsia="zh-CN"/>
        </w:rPr>
        <w:t>政府性基金预算财政拨款</w:t>
      </w:r>
      <w:r>
        <w:rPr>
          <w:rFonts w:hint="eastAsia" w:ascii="仿宋_GB2312" w:hAnsi="ˎ̥" w:eastAsia="仿宋_GB2312" w:cs="仿宋_GB2312"/>
          <w:kern w:val="2"/>
          <w:sz w:val="32"/>
          <w:szCs w:val="32"/>
          <w:lang w:val="en-US" w:eastAsia="zh-CN" w:bidi="ar"/>
        </w:rPr>
        <w:t>，较2021年度年末决算数无变化。</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五、一般公共预算财政拨款支出决算情况说明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color w:val="auto"/>
          <w:kern w:val="2"/>
          <w:sz w:val="32"/>
          <w:szCs w:val="32"/>
        </w:rPr>
      </w:pPr>
      <w:bookmarkStart w:id="77" w:name="_Toc17398_WPSOffice_Level2"/>
      <w:bookmarkEnd w:id="77"/>
      <w:bookmarkStart w:id="78" w:name="_Toc13694_WPSOffice_Level2"/>
      <w:bookmarkEnd w:id="78"/>
      <w:bookmarkStart w:id="79" w:name="_Toc19665_WPSOffice_Level2"/>
      <w:bookmarkEnd w:id="79"/>
      <w:bookmarkStart w:id="80" w:name="_Toc9989_WPSOffice_Level2"/>
      <w:bookmarkEnd w:id="80"/>
      <w:bookmarkStart w:id="81" w:name="_Toc23005_WPSOffice_Level2"/>
      <w:bookmarkEnd w:id="81"/>
      <w:bookmarkStart w:id="82" w:name="_Toc21737_WPSOffice_Level2"/>
      <w:r>
        <w:rPr>
          <w:rFonts w:hint="eastAsia" w:ascii="楷体" w:hAnsi="楷体" w:eastAsia="楷体" w:cs="楷体"/>
          <w:color w:val="auto"/>
          <w:kern w:val="2"/>
          <w:sz w:val="32"/>
          <w:szCs w:val="32"/>
          <w:lang w:val="en-US" w:eastAsia="zh-CN" w:bidi="ar"/>
        </w:rPr>
        <w:t>（一）</w:t>
      </w:r>
      <w:bookmarkEnd w:id="82"/>
      <w:r>
        <w:rPr>
          <w:rFonts w:hint="eastAsia" w:ascii="楷体" w:hAnsi="楷体" w:eastAsia="楷体" w:cs="楷体"/>
          <w:color w:val="auto"/>
          <w:kern w:val="2"/>
          <w:sz w:val="32"/>
          <w:szCs w:val="32"/>
          <w:lang w:val="en-US" w:eastAsia="zh-CN" w:bidi="ar"/>
        </w:rPr>
        <w:t>一般公共预算财政拨款支出决算总体情况。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color w:val="auto"/>
          <w:kern w:val="2"/>
          <w:sz w:val="32"/>
          <w:szCs w:val="32"/>
        </w:rPr>
      </w:pPr>
      <w:r>
        <w:rPr>
          <w:rFonts w:hint="eastAsia" w:ascii="仿宋_GB2312" w:hAnsi="ˎ̥" w:eastAsia="仿宋_GB2312" w:cs="仿宋_GB2312"/>
          <w:color w:val="auto"/>
          <w:kern w:val="2"/>
          <w:sz w:val="32"/>
          <w:szCs w:val="32"/>
          <w:lang w:val="en-US" w:eastAsia="zh-CN" w:bidi="ar"/>
        </w:rPr>
        <w:t>2022年度一般公共预算财政拨款支出16136.77万元，占本年支出合计的99.68%。与2021年度相比，一般公共预算财政拨款支出增加4130.17万元，增长34.40%，主要原因是</w:t>
      </w:r>
      <w:r>
        <w:rPr>
          <w:rFonts w:hint="eastAsia" w:ascii="仿宋_GB2312" w:hAnsi="ˎ̥" w:eastAsia="仿宋_GB2312"/>
          <w:color w:val="auto"/>
          <w:sz w:val="32"/>
          <w:szCs w:val="32"/>
          <w:lang w:eastAsia="zh-CN"/>
        </w:rPr>
        <w:t>一般公共预算财政拨款收入</w:t>
      </w:r>
      <w:r>
        <w:rPr>
          <w:rFonts w:hint="eastAsia" w:ascii="仿宋_GB2312" w:hAnsi="ˎ̥" w:eastAsia="仿宋_GB2312"/>
          <w:color w:val="auto"/>
          <w:sz w:val="32"/>
          <w:szCs w:val="32"/>
          <w:lang w:val="en-US" w:eastAsia="zh-CN"/>
        </w:rPr>
        <w:t>增加</w:t>
      </w:r>
      <w:r>
        <w:rPr>
          <w:rFonts w:hint="eastAsia" w:ascii="仿宋_GB2312" w:hAnsi="ˎ̥" w:eastAsia="仿宋_GB2312" w:cs="仿宋_GB2312"/>
          <w:color w:val="auto"/>
          <w:kern w:val="2"/>
          <w:sz w:val="32"/>
          <w:szCs w:val="32"/>
          <w:lang w:val="en-US" w:eastAsia="zh-CN" w:bidi="ar"/>
        </w:rPr>
        <w:t>。</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bookmarkStart w:id="83" w:name="_Toc23864_WPSOffice_Level2"/>
      <w:bookmarkEnd w:id="83"/>
      <w:bookmarkStart w:id="84" w:name="_Toc2711_WPSOffice_Level2"/>
      <w:bookmarkEnd w:id="84"/>
      <w:bookmarkStart w:id="85" w:name="_Toc18793_WPSOffice_Level2"/>
      <w:bookmarkEnd w:id="85"/>
      <w:bookmarkStart w:id="86" w:name="_Toc19075_WPSOffice_Level2"/>
      <w:bookmarkEnd w:id="86"/>
      <w:bookmarkStart w:id="87" w:name="_Toc19535_WPSOffice_Level2"/>
      <w:bookmarkEnd w:id="87"/>
      <w:bookmarkStart w:id="88" w:name="_Toc27767_WPSOffice_Level2"/>
      <w:r>
        <w:rPr>
          <w:rFonts w:hint="eastAsia" w:ascii="楷体" w:hAnsi="楷体" w:eastAsia="楷体" w:cs="楷体"/>
          <w:kern w:val="2"/>
          <w:sz w:val="32"/>
          <w:szCs w:val="32"/>
          <w:lang w:val="en-US" w:eastAsia="zh-CN" w:bidi="ar"/>
        </w:rPr>
        <w:t>（二）一般公共预算</w:t>
      </w:r>
      <w:bookmarkEnd w:id="88"/>
      <w:r>
        <w:rPr>
          <w:rFonts w:hint="eastAsia" w:ascii="楷体" w:hAnsi="楷体" w:eastAsia="楷体" w:cs="楷体"/>
          <w:kern w:val="2"/>
          <w:sz w:val="32"/>
          <w:szCs w:val="32"/>
          <w:lang w:val="en-US" w:eastAsia="zh-CN" w:bidi="ar"/>
        </w:rPr>
        <w:t>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支出16136.77万元，用于“城乡社区支出”类支出16047.58万元，占99.45%；用于“社会保障和就业支出”类支出32.35万元，占0.20%；用于“节能环保支出”类支出3.90万元，占0.02%；用于“农林水支出”类支出52.94万元，占0.33%。</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highlight w:val="none"/>
        </w:rPr>
      </w:pPr>
      <w:bookmarkStart w:id="89" w:name="_Toc29364_WPSOffice_Level2"/>
      <w:bookmarkEnd w:id="89"/>
      <w:bookmarkStart w:id="90" w:name="_Toc22318_WPSOffice_Level2"/>
      <w:bookmarkEnd w:id="90"/>
      <w:bookmarkStart w:id="91" w:name="_Toc9502_WPSOffice_Level2"/>
      <w:bookmarkEnd w:id="91"/>
      <w:bookmarkStart w:id="92" w:name="_Toc25136_WPSOffice_Level2"/>
      <w:bookmarkEnd w:id="92"/>
      <w:bookmarkStart w:id="93" w:name="_Toc15415_WPSOffice_Level2"/>
      <w:bookmarkEnd w:id="93"/>
      <w:bookmarkStart w:id="94" w:name="_Toc21701_WPSOffice_Level2"/>
      <w:r>
        <w:rPr>
          <w:rFonts w:hint="eastAsia" w:ascii="楷体" w:hAnsi="楷体" w:eastAsia="楷体" w:cs="楷体"/>
          <w:kern w:val="2"/>
          <w:sz w:val="32"/>
          <w:szCs w:val="32"/>
          <w:highlight w:val="none"/>
          <w:lang w:val="en-US" w:eastAsia="zh-CN" w:bidi="ar"/>
        </w:rPr>
        <w:t>（三）一般公共预算</w:t>
      </w:r>
      <w:bookmarkEnd w:id="94"/>
      <w:r>
        <w:rPr>
          <w:rFonts w:hint="eastAsia" w:ascii="楷体" w:hAnsi="楷体" w:eastAsia="楷体" w:cs="楷体"/>
          <w:kern w:val="2"/>
          <w:sz w:val="32"/>
          <w:szCs w:val="32"/>
          <w:highlight w:val="none"/>
          <w:lang w:val="en-US" w:eastAsia="zh-CN" w:bidi="ar"/>
        </w:rPr>
        <w:t>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highlight w:val="none"/>
          <w:u w:val="none"/>
        </w:rPr>
      </w:pPr>
      <w:r>
        <w:rPr>
          <w:rFonts w:hint="eastAsia" w:ascii="仿宋_GB2312" w:hAnsi="ˎ̥" w:eastAsia="仿宋_GB2312" w:cs="仿宋_GB2312"/>
          <w:kern w:val="2"/>
          <w:sz w:val="32"/>
          <w:szCs w:val="32"/>
          <w:highlight w:val="none"/>
          <w:u w:val="none"/>
          <w:lang w:val="en-US" w:eastAsia="zh-CN" w:bidi="ar"/>
        </w:rPr>
        <w:t>2022年度一般公共预算财政拨款支出年初预算为16070.58万元，支出决算为16188.70万元，完成年初预算的100.74%。其中:城乡社区支出年初</w:t>
      </w:r>
      <w:r>
        <w:rPr>
          <w:rFonts w:hint="eastAsia" w:ascii="仿宋_GB2312" w:hAnsi="ˎ̥" w:eastAsia="仿宋_GB2312"/>
          <w:sz w:val="32"/>
          <w:szCs w:val="32"/>
          <w:highlight w:val="none"/>
          <w:u w:val="none"/>
        </w:rPr>
        <w:t>预算为</w:t>
      </w:r>
      <w:r>
        <w:rPr>
          <w:rFonts w:hint="eastAsia" w:ascii="仿宋_GB2312" w:hAnsi="ˎ̥" w:eastAsia="仿宋_GB2312" w:cs="仿宋_GB2312"/>
          <w:kern w:val="2"/>
          <w:sz w:val="32"/>
          <w:szCs w:val="32"/>
          <w:highlight w:val="none"/>
          <w:u w:val="none"/>
          <w:lang w:val="en-US" w:eastAsia="zh-CN" w:bidi="ar"/>
        </w:rPr>
        <w:t>16070.58</w:t>
      </w:r>
      <w:r>
        <w:rPr>
          <w:rFonts w:hint="eastAsia" w:ascii="仿宋_GB2312" w:hAnsi="ˎ̥" w:eastAsia="仿宋_GB2312"/>
          <w:sz w:val="32"/>
          <w:szCs w:val="32"/>
          <w:highlight w:val="none"/>
          <w:u w:val="none"/>
        </w:rPr>
        <w:t>万元，支出决算为</w:t>
      </w:r>
      <w:r>
        <w:rPr>
          <w:rFonts w:hint="eastAsia" w:ascii="仿宋_GB2312" w:hAnsi="ˎ̥" w:eastAsia="仿宋_GB2312"/>
          <w:sz w:val="32"/>
          <w:szCs w:val="32"/>
          <w:highlight w:val="none"/>
          <w:u w:val="none"/>
          <w:lang w:val="en-US" w:eastAsia="zh-CN"/>
        </w:rPr>
        <w:t>16047.58</w:t>
      </w:r>
      <w:r>
        <w:rPr>
          <w:rFonts w:hint="eastAsia" w:ascii="仿宋_GB2312" w:hAnsi="ˎ̥" w:eastAsia="仿宋_GB2312"/>
          <w:sz w:val="32"/>
          <w:szCs w:val="32"/>
          <w:highlight w:val="none"/>
          <w:u w:val="none"/>
        </w:rPr>
        <w:t>万元，完成年初预算的</w:t>
      </w:r>
      <w:r>
        <w:rPr>
          <w:rFonts w:hint="eastAsia" w:ascii="仿宋_GB2312" w:hAnsi="ˎ̥" w:eastAsia="仿宋_GB2312"/>
          <w:sz w:val="32"/>
          <w:szCs w:val="32"/>
          <w:highlight w:val="none"/>
          <w:u w:val="none"/>
          <w:lang w:val="en-US" w:eastAsia="zh-CN"/>
        </w:rPr>
        <w:t>99.86</w:t>
      </w:r>
      <w:r>
        <w:rPr>
          <w:rFonts w:hint="eastAsia" w:ascii="仿宋_GB2312" w:hAnsi="ˎ̥" w:eastAsia="仿宋_GB2312"/>
          <w:sz w:val="32"/>
          <w:szCs w:val="32"/>
          <w:highlight w:val="none"/>
          <w:u w:val="none"/>
        </w:rPr>
        <w:t>%</w:t>
      </w:r>
      <w:r>
        <w:rPr>
          <w:rFonts w:hint="eastAsia" w:ascii="仿宋_GB2312" w:hAnsi="ˎ̥" w:eastAsia="仿宋_GB2312"/>
          <w:sz w:val="32"/>
          <w:szCs w:val="32"/>
          <w:highlight w:val="none"/>
          <w:u w:val="none"/>
          <w:lang w:eastAsia="zh-CN"/>
        </w:rPr>
        <w:t>；社会保障和就业支出年初预算为</w:t>
      </w:r>
      <w:r>
        <w:rPr>
          <w:rFonts w:hint="eastAsia" w:ascii="仿宋_GB2312" w:hAnsi="ˎ̥" w:eastAsia="仿宋_GB2312"/>
          <w:sz w:val="32"/>
          <w:szCs w:val="32"/>
          <w:highlight w:val="none"/>
          <w:u w:val="none"/>
          <w:lang w:val="en-US" w:eastAsia="zh-CN"/>
        </w:rPr>
        <w:t>0万元，支出决算为32.35万元；节能环保支出年初预算为0万元，支出决算为3.90万元；农林水支出年初预算数为0万元，支出决算为52.94万元。城乡社区支出</w:t>
      </w:r>
      <w:r>
        <w:rPr>
          <w:rFonts w:hint="eastAsia" w:ascii="仿宋_GB2312" w:hAnsi="ˎ̥" w:eastAsia="仿宋_GB2312"/>
          <w:sz w:val="32"/>
          <w:szCs w:val="32"/>
          <w:highlight w:val="none"/>
          <w:u w:val="none"/>
        </w:rPr>
        <w:t>决算数</w:t>
      </w:r>
      <w:r>
        <w:rPr>
          <w:rFonts w:hint="eastAsia" w:ascii="仿宋_GB2312" w:hAnsi="ˎ̥" w:eastAsia="仿宋_GB2312"/>
          <w:sz w:val="32"/>
          <w:szCs w:val="32"/>
          <w:highlight w:val="none"/>
          <w:u w:val="none"/>
          <w:lang w:eastAsia="zh-CN"/>
        </w:rPr>
        <w:t>小</w:t>
      </w:r>
      <w:r>
        <w:rPr>
          <w:rFonts w:hint="eastAsia" w:ascii="仿宋_GB2312" w:hAnsi="ˎ̥" w:eastAsia="仿宋_GB2312"/>
          <w:sz w:val="32"/>
          <w:szCs w:val="32"/>
          <w:highlight w:val="none"/>
          <w:u w:val="none"/>
          <w:lang w:val="en-US" w:eastAsia="zh-CN"/>
        </w:rPr>
        <w:t>于</w:t>
      </w:r>
      <w:r>
        <w:rPr>
          <w:rFonts w:hint="eastAsia" w:ascii="仿宋_GB2312" w:hAnsi="ˎ̥" w:eastAsia="仿宋_GB2312"/>
          <w:sz w:val="32"/>
          <w:szCs w:val="32"/>
          <w:highlight w:val="none"/>
          <w:u w:val="none"/>
        </w:rPr>
        <w:t>预算数的主要原因是</w:t>
      </w:r>
      <w:r>
        <w:rPr>
          <w:rFonts w:hint="eastAsia" w:ascii="仿宋_GB2312" w:hAnsi="ˎ̥" w:eastAsia="仿宋_GB2312" w:cs="仿宋_GB2312"/>
          <w:kern w:val="2"/>
          <w:sz w:val="32"/>
          <w:szCs w:val="32"/>
          <w:highlight w:val="none"/>
          <w:u w:val="none"/>
          <w:lang w:val="en-US" w:eastAsia="zh-CN" w:bidi="ar"/>
        </w:rPr>
        <w:t>财政拨款调整预算数减少，社会保障和就业支出、节能环保支出、农林水支出支出决算数大于预算数的主要原因是财政拨款调整数预算数增加。</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b w:val="0"/>
          <w:kern w:val="2"/>
          <w:sz w:val="32"/>
          <w:szCs w:val="32"/>
          <w:lang w:val="en-US" w:eastAsia="zh-CN" w:bidi="ar"/>
        </w:rPr>
        <w:t>六、一般公共预算财政拨款基本支出决算情况说明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三亚市天涯区环卫所2022年度无财政拨款基本支出。</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七、政府性基金预算财政拨款支出决算情况说明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（一）政府性基金预算财政拨款支出决算总体情况。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2022年度政府性基金预算财政拨款支出0万元，与2021年度相比持平。</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（二）政府性基金预算财政拨款支出决算结构情况。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2022年度政府性基金预算财政拨款支出0万元，无政府性基金预算财政拨款支出决算结构情况。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（三）政府性基金预算财政拨款支出决算具体情况。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2022年度政府性基金预算财政拨款支出年初预算为0万元，无政府性基金预算财政拨款支出决算具体情况。</w:t>
      </w:r>
    </w:p>
    <w:p>
      <w:pPr>
        <w:keepNext w:val="0"/>
        <w:keepLines w:val="0"/>
        <w:widowControl w:val="0"/>
        <w:suppressLineNumbers w:val="0"/>
        <w:spacing w:before="0" w:beforeAutospacing="0" w:after="0" w:afterAutospacing="0"/>
        <w:ind w:left="0" w:right="0" w:firstLine="624" w:firstLineChars="195"/>
        <w:jc w:val="both"/>
        <w:rPr>
          <w:rFonts w:hint="eastAsia" w:ascii="黑体" w:hAnsi="宋体" w:eastAsia="黑体" w:cs="黑体"/>
          <w:kern w:val="2"/>
          <w:sz w:val="32"/>
          <w:szCs w:val="32"/>
        </w:rPr>
      </w:pPr>
      <w:r>
        <w:rPr>
          <w:rFonts w:hint="eastAsia" w:ascii="黑体" w:hAnsi="宋体" w:eastAsia="黑体" w:cs="黑体"/>
          <w:kern w:val="2"/>
          <w:sz w:val="32"/>
          <w:szCs w:val="32"/>
          <w:lang w:val="en-US" w:eastAsia="zh-CN" w:bidi="ar"/>
        </w:rPr>
        <w:t>八、国有资本经营预算财政拨款支出决算情况说明</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（一）国有资本经营预算财政拨款支出决算总体情况。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2022年度国有资本经营预算财政拨款支出0万元，与2021年度相比持平。</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（二）国有资本经营预算财政拨款支出决算结构情况。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2022年度国有资本经营预算财政拨款支出0万元，无国有资本经营预算财政拨款支出决算结构情况。</w:t>
      </w:r>
    </w:p>
    <w:p>
      <w:pPr>
        <w:keepNext w:val="0"/>
        <w:keepLines w:val="0"/>
        <w:widowControl w:val="0"/>
        <w:suppressLineNumbers w:val="0"/>
        <w:spacing w:before="0" w:beforeAutospacing="0" w:after="0" w:afterAutospacing="0"/>
        <w:ind w:left="0" w:right="0" w:firstLine="640" w:firstLineChars="200"/>
        <w:jc w:val="both"/>
        <w:rPr>
          <w:rFonts w:hint="eastAsia" w:ascii="楷体" w:hAnsi="楷体" w:eastAsia="楷体" w:cs="楷体"/>
          <w:kern w:val="2"/>
          <w:sz w:val="32"/>
          <w:szCs w:val="32"/>
        </w:rPr>
      </w:pPr>
      <w:r>
        <w:rPr>
          <w:rFonts w:hint="eastAsia" w:ascii="楷体" w:hAnsi="楷体" w:eastAsia="楷体" w:cs="楷体"/>
          <w:kern w:val="2"/>
          <w:sz w:val="32"/>
          <w:szCs w:val="32"/>
          <w:lang w:val="en-US" w:eastAsia="zh-CN" w:bidi="ar"/>
        </w:rPr>
        <w:t>（三）国有资本经营预算财政拨款支出决算具体情况。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2022年度国有资本经营预算财政拨款支出年初预算为0万元，支出决算为0万元，无国有资本经营预算财政拨款支出决算具体情况。</w:t>
      </w:r>
    </w:p>
    <w:p>
      <w:pPr>
        <w:keepNext w:val="0"/>
        <w:keepLines w:val="0"/>
        <w:widowControl w:val="0"/>
        <w:suppressLineNumbers w:val="0"/>
        <w:spacing w:before="0" w:beforeAutospacing="0" w:after="0" w:afterAutospacing="0"/>
        <w:ind w:left="0" w:right="0" w:firstLine="624" w:firstLineChars="195"/>
        <w:jc w:val="both"/>
        <w:rPr>
          <w:rFonts w:hint="eastAsia" w:ascii="仿宋_GB2312" w:hAnsi="ˎ̥" w:eastAsia="楷体_GB2312" w:cs="楷体_GB2312"/>
          <w:kern w:val="2"/>
          <w:sz w:val="32"/>
          <w:szCs w:val="32"/>
        </w:rPr>
      </w:pPr>
      <w:r>
        <w:rPr>
          <w:rFonts w:hint="eastAsia" w:ascii="黑体" w:hAnsi="宋体" w:eastAsia="黑体" w:cs="黑体"/>
          <w:b w:val="0"/>
          <w:kern w:val="2"/>
          <w:sz w:val="32"/>
          <w:szCs w:val="32"/>
          <w:lang w:val="en-US" w:eastAsia="zh-CN" w:bidi="ar"/>
        </w:rPr>
        <w:t>九、一般公共预算财政拨款“三公”经费支出决算情况说明</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kern w:val="2"/>
          <w:sz w:val="32"/>
          <w:szCs w:val="32"/>
        </w:rPr>
      </w:pPr>
      <w:r>
        <w:rPr>
          <w:rFonts w:hint="eastAsia" w:ascii="楷体" w:hAnsi="楷体" w:eastAsia="楷体" w:cs="楷体"/>
          <w:b/>
          <w:kern w:val="2"/>
          <w:sz w:val="32"/>
          <w:szCs w:val="32"/>
          <w:lang w:val="en-US" w:eastAsia="zh-CN" w:bidi="ar"/>
        </w:rPr>
        <w:t>（一）一般公共预算财政拨款“三公”经费支出决算总体情况说明。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2022年度一般公共预算财政拨款“三公”经费支出预算为0万元，支出决算为0万元，与2021年度相比持平。</w:t>
      </w:r>
    </w:p>
    <w:p>
      <w:pPr>
        <w:keepNext w:val="0"/>
        <w:keepLines w:val="0"/>
        <w:widowControl w:val="0"/>
        <w:suppressLineNumbers w:val="0"/>
        <w:spacing w:before="0" w:beforeAutospacing="0" w:after="0" w:afterAutospacing="0"/>
        <w:ind w:left="0" w:right="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 xml:space="preserve">    （二）一般公共预算财政拨款“三公”经费支出决算具体情况说明。</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2022年度一般公共预算财政拨款“三公”经费支出决算中，因公出国（境）费支出决算0万元；公务用车购置及运行维护费支出决算0万元；公务接待费支出决算0万元。具体情况如下：</w:t>
      </w:r>
    </w:p>
    <w:p>
      <w:pPr>
        <w:ind w:firstLine="643" w:firstLineChars="200"/>
        <w:rPr>
          <w:rFonts w:hint="eastAsia" w:ascii="仿宋_GB2312" w:hAnsi="ˎ̥" w:eastAsia="仿宋_GB2312"/>
          <w:sz w:val="32"/>
          <w:szCs w:val="32"/>
          <w:lang w:val="en-US" w:eastAsia="zh-CN"/>
        </w:rPr>
      </w:pPr>
      <w:r>
        <w:rPr>
          <w:rFonts w:hint="eastAsia" w:ascii="仿宋_GB2312" w:hAnsi="ˎ̥" w:eastAsia="仿宋_GB2312" w:cs="仿宋_GB2312"/>
          <w:b/>
          <w:kern w:val="2"/>
          <w:sz w:val="32"/>
          <w:szCs w:val="32"/>
          <w:lang w:val="en-US" w:eastAsia="zh-CN" w:bidi="ar"/>
        </w:rPr>
        <w:t>1.</w:t>
      </w:r>
      <w:r>
        <w:rPr>
          <w:rFonts w:hint="eastAsia" w:ascii="仿宋_GB2312" w:hAnsi="ˎ̥" w:eastAsia="仿宋_GB2312" w:cs="仿宋_GB2312"/>
          <w:kern w:val="2"/>
          <w:sz w:val="32"/>
          <w:szCs w:val="32"/>
          <w:lang w:val="en-US" w:eastAsia="zh-CN" w:bidi="ar"/>
        </w:rPr>
        <w:t>因公出国（境）费支出0万元。全年安排因公出国（境）团组0个，因公出国（境）0人次。</w:t>
      </w:r>
      <w:r>
        <w:rPr>
          <w:rFonts w:hint="eastAsia" w:ascii="仿宋_GB2312" w:hAnsi="ˎ̥" w:eastAsia="仿宋_GB2312"/>
          <w:sz w:val="32"/>
          <w:szCs w:val="32"/>
        </w:rPr>
        <w:t>因公出国（境）费支出决算</w:t>
      </w:r>
      <w:r>
        <w:rPr>
          <w:rFonts w:hint="eastAsia" w:ascii="仿宋_GB2312" w:hAnsi="ˎ̥" w:eastAsia="仿宋_GB2312"/>
          <w:sz w:val="32"/>
          <w:szCs w:val="32"/>
          <w:lang w:val="en-US" w:eastAsia="zh-CN"/>
        </w:rPr>
        <w:t>与预算数持平。</w:t>
      </w:r>
    </w:p>
    <w:p>
      <w:pPr>
        <w:keepNext w:val="0"/>
        <w:keepLines w:val="0"/>
        <w:widowControl w:val="0"/>
        <w:suppressLineNumbers w:val="0"/>
        <w:spacing w:before="0" w:beforeAutospacing="0" w:after="0" w:afterAutospacing="0"/>
        <w:ind w:left="0" w:right="0" w:firstLine="643"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b/>
          <w:kern w:val="2"/>
          <w:sz w:val="32"/>
          <w:szCs w:val="32"/>
          <w:lang w:val="en-US" w:eastAsia="zh-CN" w:bidi="ar"/>
        </w:rPr>
        <w:t>2.</w:t>
      </w:r>
      <w:r>
        <w:rPr>
          <w:rFonts w:hint="eastAsia" w:ascii="仿宋_GB2312" w:hAnsi="ˎ̥" w:eastAsia="仿宋_GB2312" w:cs="仿宋_GB2312"/>
          <w:kern w:val="2"/>
          <w:sz w:val="32"/>
          <w:szCs w:val="32"/>
          <w:lang w:val="en-US" w:eastAsia="zh-CN" w:bidi="ar"/>
        </w:rPr>
        <w:t>公务用车购置及运行维护费支出0万元。其中：</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公务用车购置支出0万元，全年购置公务用车0辆，年末公务用车保有量0辆。</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b w:val="0"/>
          <w:kern w:val="2"/>
          <w:sz w:val="32"/>
          <w:szCs w:val="32"/>
          <w:lang w:val="en-US" w:eastAsia="zh-CN" w:bidi="ar"/>
        </w:rPr>
        <w:t>公务用车运行维护费支出0万</w:t>
      </w:r>
      <w:r>
        <w:rPr>
          <w:rFonts w:hint="eastAsia" w:ascii="仿宋_GB2312" w:hAnsi="ˎ̥" w:eastAsia="仿宋_GB2312" w:cs="仿宋_GB2312"/>
          <w:kern w:val="2"/>
          <w:sz w:val="32"/>
          <w:szCs w:val="32"/>
          <w:lang w:val="en-US" w:eastAsia="zh-CN" w:bidi="ar"/>
        </w:rPr>
        <w:t>元。</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b w:val="0"/>
          <w:kern w:val="2"/>
          <w:sz w:val="32"/>
          <w:szCs w:val="32"/>
        </w:rPr>
      </w:pPr>
      <w:r>
        <w:rPr>
          <w:rFonts w:hint="eastAsia" w:ascii="仿宋_GB2312" w:hAnsi="ˎ̥" w:eastAsia="仿宋_GB2312" w:cs="仿宋_GB2312"/>
          <w:b w:val="0"/>
          <w:kern w:val="2"/>
          <w:sz w:val="32"/>
          <w:szCs w:val="32"/>
          <w:lang w:val="en-US" w:eastAsia="zh-CN" w:bidi="ar"/>
        </w:rPr>
        <w:t>公务用车购置及运行费支出决算数</w:t>
      </w:r>
      <w:r>
        <w:rPr>
          <w:rFonts w:hint="eastAsia" w:ascii="仿宋_GB2312" w:hAnsi="ˎ̥" w:eastAsia="仿宋_GB2312" w:cs="仿宋_GB2312"/>
          <w:b w:val="0"/>
          <w:color w:val="auto"/>
          <w:kern w:val="2"/>
          <w:sz w:val="32"/>
          <w:szCs w:val="32"/>
          <w:highlight w:val="none"/>
          <w:lang w:val="en-US" w:eastAsia="zh-CN" w:bidi="ar"/>
        </w:rPr>
        <w:t>与</w:t>
      </w:r>
      <w:r>
        <w:rPr>
          <w:rFonts w:hint="eastAsia" w:ascii="仿宋_GB2312" w:hAnsi="ˎ̥" w:eastAsia="仿宋_GB2312" w:cs="仿宋_GB2312"/>
          <w:kern w:val="2"/>
          <w:sz w:val="32"/>
          <w:szCs w:val="32"/>
          <w:lang w:val="en-US" w:eastAsia="zh-CN" w:bidi="ar"/>
        </w:rPr>
        <w:t>预算数</w:t>
      </w:r>
      <w:r>
        <w:rPr>
          <w:rFonts w:hint="eastAsia" w:ascii="仿宋_GB2312" w:hAnsi="ˎ̥" w:eastAsia="仿宋_GB2312"/>
          <w:sz w:val="32"/>
          <w:szCs w:val="32"/>
          <w:lang w:val="en-US" w:eastAsia="zh-CN"/>
        </w:rPr>
        <w:t>持平</w:t>
      </w:r>
      <w:r>
        <w:rPr>
          <w:rFonts w:hint="eastAsia" w:ascii="仿宋_GB2312" w:hAnsi="ˎ̥" w:eastAsia="仿宋_GB2312" w:cs="仿宋_GB2312"/>
          <w:kern w:val="2"/>
          <w:sz w:val="32"/>
          <w:szCs w:val="32"/>
          <w:lang w:val="en-US" w:eastAsia="zh-CN" w:bidi="ar"/>
        </w:rPr>
        <w:t>。</w:t>
      </w:r>
    </w:p>
    <w:p>
      <w:pPr>
        <w:keepNext w:val="0"/>
        <w:keepLines w:val="0"/>
        <w:widowControl w:val="0"/>
        <w:suppressLineNumbers w:val="0"/>
        <w:spacing w:before="0" w:beforeAutospacing="0" w:after="0" w:afterAutospacing="0"/>
        <w:ind w:left="0" w:leftChars="0" w:right="0" w:firstLine="643" w:firstLineChars="200"/>
        <w:jc w:val="both"/>
        <w:rPr>
          <w:rFonts w:hint="eastAsia" w:ascii="仿宋_GB2312" w:hAnsi="ˎ̥" w:eastAsia="仿宋_GB2312" w:cs="仿宋_GB2312"/>
          <w:kern w:val="2"/>
          <w:sz w:val="32"/>
          <w:szCs w:val="32"/>
          <w:lang w:val="en-US" w:eastAsia="zh-CN" w:bidi="ar"/>
        </w:rPr>
      </w:pPr>
      <w:r>
        <w:rPr>
          <w:rFonts w:hint="eastAsia" w:ascii="仿宋_GB2312" w:hAnsi="ˎ̥" w:eastAsia="仿宋_GB2312" w:cs="仿宋_GB2312"/>
          <w:b/>
          <w:kern w:val="2"/>
          <w:sz w:val="32"/>
          <w:szCs w:val="32"/>
          <w:lang w:val="en-US" w:eastAsia="zh-CN" w:bidi="ar"/>
        </w:rPr>
        <w:t xml:space="preserve"> 3.</w:t>
      </w:r>
      <w:r>
        <w:rPr>
          <w:rFonts w:hint="eastAsia" w:ascii="仿宋_GB2312" w:hAnsi="ˎ̥" w:eastAsia="仿宋_GB2312" w:cs="仿宋_GB2312"/>
          <w:kern w:val="2"/>
          <w:sz w:val="32"/>
          <w:szCs w:val="32"/>
          <w:lang w:val="en-US" w:eastAsia="zh-CN" w:bidi="ar"/>
        </w:rPr>
        <w:t>公务接待费支出0万元，其中：</w:t>
      </w:r>
    </w:p>
    <w:p>
      <w:pPr>
        <w:keepNext w:val="0"/>
        <w:keepLines w:val="0"/>
        <w:widowControl w:val="0"/>
        <w:suppressLineNumbers w:val="0"/>
        <w:spacing w:before="0" w:beforeAutospacing="0" w:after="0" w:afterAutospacing="0"/>
        <w:ind w:left="0" w:leftChars="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国内接待费支出0万元，国内公务接待0批次，接待0人次。</w:t>
      </w:r>
    </w:p>
    <w:p>
      <w:pPr>
        <w:keepNext w:val="0"/>
        <w:keepLines w:val="0"/>
        <w:widowControl w:val="0"/>
        <w:suppressLineNumbers w:val="0"/>
        <w:spacing w:before="0" w:beforeAutospacing="0" w:after="0" w:afterAutospacing="0"/>
        <w:ind w:left="0" w:leftChars="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国（境）外接待费支出0万元，国（境）外公务接待0批次，接待0人次。</w:t>
      </w:r>
    </w:p>
    <w:p>
      <w:pPr>
        <w:keepNext w:val="0"/>
        <w:keepLines w:val="0"/>
        <w:widowControl w:val="0"/>
        <w:suppressLineNumbers w:val="0"/>
        <w:spacing w:before="0" w:beforeAutospacing="0" w:after="0" w:afterAutospacing="0"/>
        <w:ind w:left="0" w:leftChars="0" w:right="0" w:firstLine="640" w:firstLineChars="200"/>
        <w:jc w:val="both"/>
        <w:rPr>
          <w:rFonts w:hint="default" w:ascii="仿宋_GB2312" w:hAnsi="ˎ̥" w:eastAsia="仿宋_GB2312" w:cs="仿宋_GB2312"/>
          <w:kern w:val="2"/>
          <w:sz w:val="32"/>
          <w:szCs w:val="32"/>
          <w:lang w:val="en-US" w:eastAsia="zh-CN" w:bidi="ar"/>
        </w:rPr>
      </w:pPr>
      <w:r>
        <w:rPr>
          <w:rFonts w:hint="eastAsia" w:ascii="仿宋_GB2312" w:hAnsi="ˎ̥" w:eastAsia="仿宋_GB2312" w:cs="仿宋_GB2312"/>
          <w:kern w:val="2"/>
          <w:sz w:val="32"/>
          <w:szCs w:val="32"/>
          <w:lang w:val="en-US" w:eastAsia="zh-CN" w:bidi="ar"/>
        </w:rPr>
        <w:t>公务接待费支出决算数</w:t>
      </w:r>
      <w:r>
        <w:rPr>
          <w:rFonts w:hint="eastAsia" w:ascii="仿宋_GB2312" w:hAnsi="ˎ̥" w:eastAsia="仿宋_GB2312" w:cs="仿宋_GB2312"/>
          <w:kern w:val="2"/>
          <w:sz w:val="32"/>
          <w:szCs w:val="32"/>
          <w:highlight w:val="none"/>
          <w:lang w:val="en-US" w:eastAsia="zh-CN" w:bidi="ar"/>
        </w:rPr>
        <w:t>与</w:t>
      </w:r>
      <w:r>
        <w:rPr>
          <w:rFonts w:hint="eastAsia" w:ascii="仿宋_GB2312" w:hAnsi="ˎ̥" w:eastAsia="仿宋_GB2312" w:cs="仿宋_GB2312"/>
          <w:kern w:val="2"/>
          <w:sz w:val="32"/>
          <w:szCs w:val="32"/>
          <w:lang w:val="en-US" w:eastAsia="zh-CN" w:bidi="ar"/>
        </w:rPr>
        <w:t>预算数持平。</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十、预算绩效情况说明</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（一）绩效管理工作开展情况。</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eastAsia="仿宋_GB2312" w:cs="仿宋_GB2312"/>
          <w:kern w:val="2"/>
          <w:sz w:val="32"/>
          <w:szCs w:val="32"/>
          <w:highlight w:val="none"/>
        </w:rPr>
      </w:pPr>
      <w:r>
        <w:rPr>
          <w:rFonts w:hint="eastAsia" w:ascii="仿宋_GB2312" w:hAnsi="Times New Roman" w:eastAsia="仿宋_GB2312" w:cs="仿宋_GB2312"/>
          <w:kern w:val="2"/>
          <w:sz w:val="32"/>
          <w:szCs w:val="32"/>
          <w:lang w:val="en-US" w:eastAsia="zh-CN" w:bidi="ar"/>
        </w:rPr>
        <w:t>根据财政预算绩效管理要求，可按照如下格式说明：根据财政预算管理要求，我部门组织对2022年度一般公共预算项目支出全面开展绩效自评。</w:t>
      </w:r>
      <w:r>
        <w:rPr>
          <w:rFonts w:hint="eastAsia" w:ascii="仿宋_GB2312" w:hAnsi="Times New Roman" w:eastAsia="仿宋_GB2312" w:cs="仿宋_GB2312"/>
          <w:kern w:val="2"/>
          <w:sz w:val="32"/>
          <w:szCs w:val="32"/>
          <w:highlight w:val="none"/>
          <w:lang w:val="en-US" w:eastAsia="zh-CN" w:bidi="ar"/>
        </w:rPr>
        <w:t>共对“办公设备更新及维护”、“垃圾分类”、“生活垃圾分类”、“就业和三支一扶补助资金”、“海面、河面、沙滩保洁”、“绿化、行道树养护”、“农业发展扶持”、“农村生活垃圾清扫保洁收运经费”、“道路环卫清洁管理”、“垃圾转运站管理”、“退休人员“事企差”养老补贴”、“环卫工人慰问”、“扶贫事务”、“公厕保洁管理”、“雇员经费”、“事业运行”、“水利发展资金”、“垃圾分类”、“海坡内河水系连通工程等开挖垃圾筛分”、“创文巩卫”等20个项目开展了部门绩效自评，涉及资金21026.41万元，自评覆盖率达到100%。</w:t>
      </w:r>
    </w:p>
    <w:p>
      <w:pPr>
        <w:keepNext w:val="0"/>
        <w:keepLines w:val="0"/>
        <w:widowControl w:val="0"/>
        <w:suppressLineNumbers w:val="0"/>
        <w:spacing w:before="0" w:beforeAutospacing="0" w:after="0" w:afterAutospacing="0"/>
        <w:ind w:left="0" w:right="0" w:firstLineChars="200"/>
        <w:jc w:val="both"/>
        <w:rPr>
          <w:rFonts w:hint="eastAsia" w:ascii="仿宋_GB2312" w:eastAsia="仿宋_GB2312" w:cs="仿宋_GB2312"/>
          <w:kern w:val="2"/>
          <w:sz w:val="32"/>
          <w:szCs w:val="32"/>
          <w:highlight w:val="none"/>
        </w:rPr>
      </w:pPr>
      <w:r>
        <w:rPr>
          <w:rFonts w:hint="eastAsia" w:ascii="仿宋_GB2312" w:hAnsi="Times New Roman" w:eastAsia="仿宋_GB2312" w:cs="仿宋_GB2312"/>
          <w:kern w:val="2"/>
          <w:sz w:val="32"/>
          <w:szCs w:val="32"/>
          <w:highlight w:val="none"/>
          <w:lang w:val="en-US" w:eastAsia="zh-CN" w:bidi="ar"/>
        </w:rPr>
        <w:t>从评价情况来看，</w:t>
      </w:r>
      <w:r>
        <w:rPr>
          <w:rFonts w:hint="eastAsia" w:ascii="仿宋_GB2312" w:eastAsia="仿宋_GB2312"/>
          <w:sz w:val="32"/>
          <w:szCs w:val="32"/>
          <w:highlight w:val="none"/>
          <w:lang w:val="en-US" w:eastAsia="zh-CN"/>
        </w:rPr>
        <w:t>部门项目执行情况良好，项目资金支出及时，支出率高</w:t>
      </w:r>
      <w:r>
        <w:rPr>
          <w:rFonts w:hint="eastAsia" w:ascii="仿宋_GB2312" w:hAnsi="Times New Roman" w:eastAsia="仿宋_GB2312" w:cs="仿宋_GB2312"/>
          <w:kern w:val="2"/>
          <w:sz w:val="32"/>
          <w:szCs w:val="32"/>
          <w:highlight w:val="none"/>
          <w:lang w:val="en-US" w:eastAsia="zh-CN" w:bidi="ar"/>
        </w:rPr>
        <w:t>。</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（二）部门决算中项目绩效自评结果。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eastAsia="仿宋_GB2312" w:cs="仿宋_GB2312"/>
          <w:color w:val="auto"/>
          <w:kern w:val="2"/>
          <w:sz w:val="32"/>
          <w:szCs w:val="32"/>
          <w:highlight w:val="none"/>
        </w:rPr>
      </w:pPr>
      <w:r>
        <w:rPr>
          <w:rFonts w:hint="eastAsia" w:ascii="仿宋_GB2312" w:hAnsi="Times New Roman" w:eastAsia="仿宋_GB2312" w:cs="仿宋_GB2312"/>
          <w:color w:val="auto"/>
          <w:kern w:val="2"/>
          <w:sz w:val="32"/>
          <w:szCs w:val="32"/>
          <w:highlight w:val="none"/>
          <w:lang w:val="en-US" w:eastAsia="zh-CN" w:bidi="ar"/>
        </w:rPr>
        <w:t>我部门今年在区本级部门决算中未进行重点反映项目绩效自评。</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（三）财政评价项目绩效评价结果。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仿宋_GB2312"/>
          <w:color w:val="auto"/>
          <w:kern w:val="2"/>
          <w:sz w:val="32"/>
          <w:szCs w:val="32"/>
          <w:highlight w:val="none"/>
          <w:lang w:val="en-US" w:eastAsia="zh-CN" w:bidi="ar"/>
        </w:rPr>
      </w:pPr>
      <w:r>
        <w:rPr>
          <w:rFonts w:hint="eastAsia" w:ascii="仿宋_GB2312" w:hAnsi="Times New Roman" w:eastAsia="仿宋_GB2312" w:cs="仿宋_GB2312"/>
          <w:color w:val="auto"/>
          <w:kern w:val="2"/>
          <w:sz w:val="32"/>
          <w:szCs w:val="32"/>
          <w:highlight w:val="none"/>
          <w:lang w:val="en-US" w:eastAsia="zh-CN" w:bidi="ar"/>
        </w:rPr>
        <w:t>2022年未进行财政评价项目绩效评价。</w:t>
      </w:r>
    </w:p>
    <w:p>
      <w:pPr>
        <w:keepNext w:val="0"/>
        <w:keepLines w:val="0"/>
        <w:widowControl w:val="0"/>
        <w:suppressLineNumbers w:val="0"/>
        <w:spacing w:before="0" w:beforeAutospacing="0" w:after="0" w:afterAutospacing="0" w:line="578" w:lineRule="exact"/>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（四）部门评价项目绩效评价结果。</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仿宋_GB2312"/>
          <w:kern w:val="2"/>
          <w:sz w:val="32"/>
          <w:szCs w:val="32"/>
          <w:lang w:val="en-US" w:eastAsia="zh-CN" w:bidi="ar"/>
        </w:rPr>
      </w:pPr>
      <w:r>
        <w:rPr>
          <w:rFonts w:hint="eastAsia" w:ascii="仿宋_GB2312" w:hAnsi="Times New Roman" w:eastAsia="仿宋_GB2312" w:cs="仿宋_GB2312"/>
          <w:kern w:val="2"/>
          <w:sz w:val="32"/>
          <w:szCs w:val="32"/>
          <w:lang w:val="en-US" w:eastAsia="zh-CN" w:bidi="ar"/>
        </w:rPr>
        <w:t>部门评价项目绩效评价结果未进行公开。</w:t>
      </w:r>
    </w:p>
    <w:p>
      <w:pPr>
        <w:keepNext w:val="0"/>
        <w:keepLines w:val="0"/>
        <w:widowControl w:val="0"/>
        <w:suppressLineNumbers w:val="0"/>
        <w:spacing w:before="0" w:beforeAutospacing="0" w:after="0" w:afterAutospacing="0"/>
        <w:ind w:left="0" w:right="0" w:firstLine="640" w:firstLineChars="200"/>
        <w:jc w:val="both"/>
        <w:rPr>
          <w:rFonts w:hint="eastAsia" w:ascii="黑体" w:hAnsi="宋体" w:eastAsia="黑体" w:cs="黑体"/>
          <w:b w:val="0"/>
          <w:kern w:val="2"/>
          <w:sz w:val="32"/>
          <w:szCs w:val="32"/>
        </w:rPr>
      </w:pPr>
      <w:r>
        <w:rPr>
          <w:rFonts w:hint="eastAsia" w:ascii="黑体" w:hAnsi="宋体" w:eastAsia="黑体" w:cs="黑体"/>
          <w:b w:val="0"/>
          <w:kern w:val="2"/>
          <w:sz w:val="32"/>
          <w:szCs w:val="32"/>
          <w:lang w:val="en-US" w:eastAsia="zh-CN" w:bidi="ar"/>
        </w:rPr>
        <w:t>十一、其他重要事项情况说明</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bookmarkStart w:id="95" w:name="_Toc5978_WPSOffice_Level2"/>
      <w:bookmarkEnd w:id="95"/>
      <w:bookmarkStart w:id="96" w:name="_Toc15565_WPSOffice_Level2"/>
      <w:bookmarkEnd w:id="96"/>
      <w:bookmarkStart w:id="97" w:name="_Toc23598_WPSOffice_Level2"/>
      <w:bookmarkEnd w:id="97"/>
      <w:bookmarkStart w:id="98" w:name="_Toc15262_WPSOffice_Level2"/>
      <w:bookmarkEnd w:id="98"/>
      <w:bookmarkStart w:id="99" w:name="_Toc32639_WPSOffice_Level2"/>
      <w:bookmarkEnd w:id="99"/>
      <w:bookmarkStart w:id="100" w:name="_Toc18325_WPSOffice_Level2"/>
      <w:r>
        <w:rPr>
          <w:rFonts w:hint="eastAsia" w:ascii="楷体" w:hAnsi="楷体" w:eastAsia="楷体" w:cs="楷体"/>
          <w:b/>
          <w:kern w:val="2"/>
          <w:sz w:val="32"/>
          <w:szCs w:val="32"/>
          <w:lang w:val="en-US" w:eastAsia="zh-CN" w:bidi="ar"/>
        </w:rPr>
        <w:t>（一）</w:t>
      </w:r>
      <w:bookmarkEnd w:id="100"/>
      <w:r>
        <w:rPr>
          <w:rFonts w:hint="eastAsia" w:ascii="楷体" w:hAnsi="楷体" w:eastAsia="楷体" w:cs="楷体"/>
          <w:b/>
          <w:kern w:val="2"/>
          <w:sz w:val="32"/>
          <w:szCs w:val="32"/>
          <w:lang w:val="en-US" w:eastAsia="zh-CN" w:bidi="ar"/>
        </w:rPr>
        <w:t>机关运行经费支出情况。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sz w:val="32"/>
          <w:szCs w:val="32"/>
        </w:rPr>
      </w:pPr>
      <w:bookmarkStart w:id="101" w:name="_Toc23966_WPSOffice_Level2"/>
      <w:bookmarkEnd w:id="101"/>
      <w:bookmarkStart w:id="102" w:name="_Toc13084_WPSOffice_Level2"/>
      <w:bookmarkEnd w:id="102"/>
      <w:bookmarkStart w:id="103" w:name="_Toc32689_WPSOffice_Level2"/>
      <w:bookmarkEnd w:id="103"/>
      <w:bookmarkStart w:id="104" w:name="_Toc25333_WPSOffice_Level2"/>
      <w:bookmarkEnd w:id="104"/>
      <w:bookmarkStart w:id="105" w:name="_Toc3131_WPSOffice_Level2"/>
      <w:bookmarkEnd w:id="105"/>
      <w:bookmarkStart w:id="106" w:name="_Toc30383_WPSOffice_Level2"/>
      <w:r>
        <w:rPr>
          <w:rFonts w:hint="eastAsia" w:ascii="仿宋_GB2312" w:hAnsi="ˎ̥" w:eastAsia="仿宋_GB2312"/>
          <w:sz w:val="32"/>
          <w:szCs w:val="32"/>
          <w:lang w:eastAsia="zh-CN"/>
        </w:rPr>
        <w:t>因我所为事业</w:t>
      </w:r>
      <w:r>
        <w:rPr>
          <w:rFonts w:hint="eastAsia" w:ascii="仿宋_GB2312" w:hAnsi="ˎ̥" w:eastAsia="仿宋_GB2312"/>
          <w:sz w:val="32"/>
          <w:szCs w:val="32"/>
          <w:lang w:val="en-US" w:eastAsia="zh-CN"/>
        </w:rPr>
        <w:t>单位</w:t>
      </w:r>
      <w:r>
        <w:rPr>
          <w:rFonts w:hint="eastAsia" w:ascii="仿宋_GB2312" w:hAnsi="ˎ̥" w:eastAsia="仿宋_GB2312"/>
          <w:sz w:val="32"/>
          <w:szCs w:val="32"/>
          <w:lang w:eastAsia="zh-CN"/>
        </w:rPr>
        <w:t>，因此2</w:t>
      </w:r>
      <w:r>
        <w:rPr>
          <w:rFonts w:hint="eastAsia" w:ascii="仿宋_GB2312" w:hAnsi="ˎ̥" w:eastAsia="仿宋_GB2312"/>
          <w:sz w:val="32"/>
          <w:szCs w:val="32"/>
          <w:lang w:val="en-US" w:eastAsia="zh-CN"/>
        </w:rPr>
        <w:t>022</w:t>
      </w:r>
      <w:r>
        <w:rPr>
          <w:rFonts w:hint="eastAsia" w:ascii="仿宋_GB2312" w:hAnsi="ˎ̥" w:eastAsia="仿宋_GB2312"/>
          <w:sz w:val="32"/>
          <w:szCs w:val="32"/>
          <w:lang w:eastAsia="zh-CN"/>
        </w:rPr>
        <w:t>年度无</w:t>
      </w:r>
      <w:r>
        <w:rPr>
          <w:rFonts w:hint="eastAsia" w:ascii="仿宋_GB2312" w:hAnsi="ˎ̥" w:eastAsia="仿宋_GB2312"/>
          <w:sz w:val="32"/>
          <w:szCs w:val="32"/>
        </w:rPr>
        <w:t>机关运行经费</w:t>
      </w:r>
      <w:r>
        <w:rPr>
          <w:rFonts w:hint="eastAsia" w:ascii="仿宋_GB2312" w:hAnsi="ˎ̥" w:eastAsia="仿宋_GB2312"/>
          <w:sz w:val="32"/>
          <w:szCs w:val="32"/>
          <w:lang w:eastAsia="zh-CN"/>
        </w:rPr>
        <w:t>支出项目</w:t>
      </w:r>
      <w:r>
        <w:rPr>
          <w:rFonts w:hint="eastAsia" w:ascii="仿宋_GB2312" w:hAnsi="ˎ̥" w:eastAsia="仿宋_GB2312"/>
          <w:sz w:val="32"/>
          <w:szCs w:val="32"/>
        </w:rPr>
        <w:t>。</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r>
        <w:rPr>
          <w:rFonts w:hint="eastAsia" w:ascii="楷体" w:hAnsi="楷体" w:eastAsia="楷体" w:cs="楷体"/>
          <w:b/>
          <w:kern w:val="2"/>
          <w:sz w:val="32"/>
          <w:szCs w:val="32"/>
          <w:lang w:val="en-US" w:eastAsia="zh-CN" w:bidi="ar"/>
        </w:rPr>
        <w:t>（二）</w:t>
      </w:r>
      <w:bookmarkEnd w:id="106"/>
      <w:r>
        <w:rPr>
          <w:rFonts w:hint="eastAsia" w:ascii="楷体" w:hAnsi="楷体" w:eastAsia="楷体" w:cs="楷体"/>
          <w:b/>
          <w:kern w:val="2"/>
          <w:sz w:val="32"/>
          <w:szCs w:val="32"/>
          <w:lang w:val="en-US" w:eastAsia="zh-CN" w:bidi="ar"/>
        </w:rPr>
        <w:t>政府采购支出情况。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highlight w:val="none"/>
        </w:rPr>
      </w:pPr>
      <w:r>
        <w:rPr>
          <w:rFonts w:hint="eastAsia" w:ascii="仿宋_GB2312" w:hAnsi="ˎ̥" w:eastAsia="仿宋_GB2312" w:cs="仿宋_GB2312"/>
          <w:kern w:val="2"/>
          <w:sz w:val="32"/>
          <w:szCs w:val="32"/>
          <w:lang w:val="en-US" w:eastAsia="zh-CN" w:bidi="ar"/>
        </w:rPr>
        <w:t>2022年度三亚市天涯区环卫所部门政府采购支出总额212.07万元，其中：</w:t>
      </w:r>
      <w:r>
        <w:rPr>
          <w:rFonts w:hint="eastAsia" w:ascii="仿宋_GB2312" w:hAnsi="ˎ̥" w:eastAsia="仿宋_GB2312" w:cs="仿宋_GB2312"/>
          <w:color w:val="auto"/>
          <w:kern w:val="2"/>
          <w:sz w:val="32"/>
          <w:szCs w:val="32"/>
          <w:highlight w:val="none"/>
          <w:lang w:val="en-US" w:eastAsia="zh-CN" w:bidi="ar"/>
        </w:rPr>
        <w:t>政府采购货物支出212.07万元、政府采购工程支出0万元、政府采购服务支出0万元。授</w:t>
      </w:r>
      <w:r>
        <w:rPr>
          <w:rFonts w:hint="eastAsia" w:ascii="仿宋_GB2312" w:hAnsi="ˎ̥" w:eastAsia="仿宋_GB2312" w:cs="仿宋_GB2312"/>
          <w:kern w:val="2"/>
          <w:sz w:val="32"/>
          <w:szCs w:val="32"/>
          <w:highlight w:val="none"/>
          <w:lang w:val="en-US" w:eastAsia="zh-CN" w:bidi="ar"/>
        </w:rPr>
        <w:t>予中小企业合同金额212.07万元，占政府采购支出总额的100%。</w:t>
      </w:r>
    </w:p>
    <w:p>
      <w:pPr>
        <w:keepNext w:val="0"/>
        <w:keepLines w:val="0"/>
        <w:widowControl w:val="0"/>
        <w:suppressLineNumbers w:val="0"/>
        <w:spacing w:before="0" w:beforeAutospacing="0" w:after="0" w:afterAutospacing="0"/>
        <w:ind w:left="0" w:right="0" w:firstLine="643" w:firstLineChars="200"/>
        <w:jc w:val="both"/>
        <w:rPr>
          <w:rFonts w:hint="eastAsia" w:ascii="楷体" w:hAnsi="楷体" w:eastAsia="楷体" w:cs="楷体"/>
          <w:b/>
          <w:kern w:val="2"/>
          <w:sz w:val="32"/>
          <w:szCs w:val="32"/>
        </w:rPr>
      </w:pPr>
      <w:bookmarkStart w:id="107" w:name="_Toc15129_WPSOffice_Level2"/>
      <w:bookmarkEnd w:id="107"/>
      <w:bookmarkStart w:id="108" w:name="_Toc6016_WPSOffice_Level2"/>
      <w:bookmarkEnd w:id="108"/>
      <w:bookmarkStart w:id="109" w:name="_Toc29584_WPSOffice_Level2"/>
      <w:bookmarkEnd w:id="109"/>
      <w:bookmarkStart w:id="110" w:name="_Toc527_WPSOffice_Level2"/>
      <w:bookmarkEnd w:id="110"/>
      <w:bookmarkStart w:id="111" w:name="_Toc10902_WPSOffice_Level2"/>
      <w:bookmarkEnd w:id="111"/>
      <w:bookmarkStart w:id="112" w:name="_Toc19989_WPSOffice_Level2"/>
      <w:r>
        <w:rPr>
          <w:rFonts w:hint="eastAsia" w:ascii="楷体" w:hAnsi="楷体" w:eastAsia="楷体" w:cs="楷体"/>
          <w:b/>
          <w:kern w:val="2"/>
          <w:sz w:val="32"/>
          <w:szCs w:val="32"/>
          <w:lang w:val="en-US" w:eastAsia="zh-CN" w:bidi="ar"/>
        </w:rPr>
        <w:t>（三）</w:t>
      </w:r>
      <w:bookmarkEnd w:id="112"/>
      <w:r>
        <w:rPr>
          <w:rFonts w:hint="eastAsia" w:ascii="楷体" w:hAnsi="楷体" w:eastAsia="楷体" w:cs="楷体"/>
          <w:b/>
          <w:kern w:val="2"/>
          <w:sz w:val="32"/>
          <w:szCs w:val="32"/>
          <w:lang w:val="en-US" w:eastAsia="zh-CN" w:bidi="ar"/>
        </w:rPr>
        <w:t>国有资产占用情况。</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截至2022年12月31日，本部门占用房屋面积0平方米，其中：办公用房0平方米，业务用房0平方米，其他（不含构筑物）0平方米。</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本部门共有车辆</w:t>
      </w:r>
      <w:r>
        <w:rPr>
          <w:rFonts w:hint="eastAsia" w:ascii="仿宋_GB2312" w:hAnsi="ˎ̥" w:eastAsia="仿宋_GB2312" w:cs="仿宋_GB2312"/>
          <w:kern w:val="2"/>
          <w:sz w:val="32"/>
          <w:szCs w:val="32"/>
          <w:highlight w:val="none"/>
          <w:lang w:val="en-US" w:eastAsia="zh-CN" w:bidi="ar"/>
        </w:rPr>
        <w:t>350</w:t>
      </w:r>
      <w:r>
        <w:rPr>
          <w:rFonts w:hint="eastAsia" w:ascii="仿宋_GB2312" w:hAnsi="ˎ̥" w:eastAsia="仿宋_GB2312" w:cs="仿宋_GB2312"/>
          <w:kern w:val="2"/>
          <w:sz w:val="32"/>
          <w:szCs w:val="32"/>
          <w:lang w:val="en-US" w:eastAsia="zh-CN" w:bidi="ar"/>
        </w:rPr>
        <w:t>辆，其中：从车辆种类说明：轿车0辆、越野车0辆、小型载客汽车0辆、大中型载客汽车辆、其他车型350辆，其他车型主要是电动保洁车、电动巡查车、后挂桶垃圾车、垃圾转运车、道路清扫车、清运垃圾车等等；从车辆使用情况说明：副部（省）级及以上领导用车XX辆、主要领导干部用车0辆、机要通信用车0辆、应急保障用车0辆、执法执勤用车0辆、特种专业技术用车0辆、离退休干部用车0辆、其他用车350辆。</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单位价值50万元（含）以上通用设备0台（套），单价100万元（含）以上专用设备3台（套）。</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color w:val="auto"/>
          <w:kern w:val="2"/>
          <w:sz w:val="32"/>
          <w:szCs w:val="32"/>
          <w:highlight w:val="none"/>
        </w:rPr>
      </w:pPr>
      <w:r>
        <w:rPr>
          <w:rFonts w:hint="eastAsia" w:ascii="仿宋_GB2312" w:hAnsi="ˎ̥" w:eastAsia="仿宋_GB2312" w:cs="仿宋_GB2312"/>
          <w:color w:val="auto"/>
          <w:kern w:val="2"/>
          <w:sz w:val="32"/>
          <w:szCs w:val="32"/>
          <w:highlight w:val="none"/>
          <w:lang w:val="en-US" w:eastAsia="zh-CN" w:bidi="ar"/>
        </w:rPr>
        <w:t>年末在建工程194.80万元。</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line="578" w:lineRule="exact"/>
        <w:ind w:left="0" w:right="0" w:firstLine="640" w:firstLineChars="200"/>
        <w:jc w:val="both"/>
        <w:rPr>
          <w:rFonts w:hint="eastAsia" w:ascii="仿宋_GB2312" w:hAnsi="ˎ̥" w:eastAsia="仿宋_GB2312" w:cs="仿宋_GB2312"/>
          <w:color w:val="auto"/>
          <w:kern w:val="2"/>
          <w:sz w:val="32"/>
          <w:szCs w:val="32"/>
        </w:rPr>
      </w:pPr>
      <w:r>
        <w:rPr>
          <w:rFonts w:hint="eastAsia" w:ascii="仿宋_GB2312" w:hAnsi="ˎ̥" w:eastAsia="仿宋_GB2312" w:cs="仿宋_GB2312"/>
          <w:kern w:val="2"/>
          <w:sz w:val="32"/>
          <w:szCs w:val="32"/>
          <w:lang w:val="en-US" w:eastAsia="zh-CN" w:bidi="ar"/>
        </w:rPr>
        <w:t xml:space="preserve"> </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bookmarkStart w:id="113" w:name="_Toc4398_WPSOffice_Level1"/>
      <w:bookmarkEnd w:id="113"/>
      <w:bookmarkStart w:id="114" w:name="_Toc8808_WPSOffice_Level1"/>
      <w:bookmarkEnd w:id="114"/>
      <w:bookmarkStart w:id="115" w:name="_Toc15425_WPSOffice_Level1"/>
      <w:bookmarkEnd w:id="115"/>
      <w:bookmarkStart w:id="116" w:name="_Toc11039_WPSOffice_Level1"/>
      <w:bookmarkEnd w:id="116"/>
      <w:bookmarkStart w:id="117" w:name="_Toc17580_WPSOffice_Level1"/>
      <w:bookmarkEnd w:id="117"/>
      <w:bookmarkStart w:id="118" w:name="_Toc8874_WPSOffice_Level1"/>
      <w:r>
        <w:rPr>
          <w:rFonts w:hint="eastAsia" w:ascii="黑体" w:hAnsi="宋体" w:eastAsia="黑体" w:cs="黑体"/>
          <w:kern w:val="2"/>
          <w:sz w:val="32"/>
          <w:szCs w:val="32"/>
          <w:lang w:val="en-US" w:eastAsia="zh-CN" w:bidi="ar"/>
        </w:rPr>
        <w:t>第四部分</w:t>
      </w:r>
      <w:bookmarkEnd w:id="118"/>
      <w:r>
        <w:rPr>
          <w:rFonts w:hint="eastAsia" w:ascii="黑体" w:hAnsi="ˎ̥" w:eastAsia="黑体" w:cs="黑体"/>
          <w:kern w:val="2"/>
          <w:sz w:val="32"/>
          <w:szCs w:val="32"/>
          <w:lang w:val="en-US" w:eastAsia="zh-CN" w:bidi="ar"/>
        </w:rPr>
        <w:t xml:space="preserve">  </w:t>
      </w:r>
      <w:r>
        <w:rPr>
          <w:rFonts w:hint="eastAsia" w:ascii="黑体" w:hAnsi="宋体" w:eastAsia="黑体" w:cs="黑体"/>
          <w:kern w:val="2"/>
          <w:sz w:val="32"/>
          <w:szCs w:val="32"/>
          <w:lang w:val="en-US" w:eastAsia="zh-CN" w:bidi="ar"/>
        </w:rPr>
        <w:t>名词解释</w:t>
      </w:r>
    </w:p>
    <w:p>
      <w:pPr>
        <w:keepNext w:val="0"/>
        <w:keepLines w:val="0"/>
        <w:widowControl w:val="0"/>
        <w:suppressLineNumbers w:val="0"/>
        <w:spacing w:before="0" w:beforeAutospacing="0" w:after="0" w:afterAutospacing="0"/>
        <w:ind w:left="0" w:right="0"/>
        <w:jc w:val="center"/>
        <w:rPr>
          <w:rFonts w:hint="eastAsia" w:ascii="黑体" w:hAnsi="ˎ̥" w:eastAsia="黑体" w:cs="黑体"/>
          <w:kern w:val="2"/>
          <w:sz w:val="32"/>
          <w:szCs w:val="32"/>
        </w:rPr>
      </w:pPr>
      <w:r>
        <w:rPr>
          <w:rFonts w:hint="eastAsia" w:ascii="黑体" w:hAnsi="ˎ̥" w:eastAsia="黑体" w:cs="黑体"/>
          <w:kern w:val="2"/>
          <w:sz w:val="32"/>
          <w:szCs w:val="32"/>
          <w:lang w:val="en-US" w:eastAsia="zh-CN" w:bidi="ar"/>
        </w:rPr>
        <w:t xml:space="preserve"> </w:t>
      </w:r>
    </w:p>
    <w:p>
      <w:pPr>
        <w:keepNext w:val="0"/>
        <w:keepLines w:val="0"/>
        <w:widowControl w:val="0"/>
        <w:numPr>
          <w:ilvl w:val="0"/>
          <w:numId w:val="3"/>
        </w:numPr>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财政拨款收入：指同级政府财政部门当年拨付的各类财政拨款。</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二、上级补助收入：指事业单位从主管部门和上级单位取得的非财政补助收入。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三、事业收入：指事业单位开展专业业务活动及辅助活动取得的收入。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四、经营收入：指事业单位在专业业务活动及其辅助活动之外开展非独立核算经营活动取得的收入。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五、附属单位上缴收入：指事业单位取得附属独立核算单位根据有关规定上缴的收入。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六、其他收入：指除上述“财政拨款收入”“事业收入”“上级补助收入”“经营收入”“附属单位上缴收入”等以外的收入。</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七、使用非财政拨款结余：指事业单位在当年的“财政拨款收入”“事业收入”“经营收入”“其他收入”等不足以安排当年支出的情况下，使用以前年度积累的非限定用途的非同级财政拨款结余资金弥补本年度收支缺口。</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八、年初结转和结余：指以前年度尚未完成、结转到本年按有关规定继续使用的资金。</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九、结余分配：指事业单位缴纳企业所得税以及从非财政拨款结余或经营结余中提取各类结余的情况。</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十一、基本支出：指为保障机构正常运转、完成日常工作任务而发生的人员支出和公用支出。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十二、项目支出：指在基本支出之外为完成特定行政任务和事业发展目标所发生的支出。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十三、经营支出：指事业单位在专业业务活动及其辅助活动之外开展非独立核算经营活动发生的支出。</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十四、“三公”经费：纳入本级财政预决算管理的“三公”经费，是指用一般公共预算财政拨款、政府性基金</w:t>
      </w:r>
      <w:r>
        <w:rPr>
          <w:rFonts w:hint="eastAsia" w:ascii="仿宋_GB2312" w:hAnsi="ˎ̥" w:eastAsia="仿宋_GB2312" w:cs="仿宋_GB2312"/>
          <w:b w:val="0"/>
          <w:kern w:val="2"/>
          <w:sz w:val="32"/>
          <w:szCs w:val="32"/>
          <w:lang w:val="en-US" w:eastAsia="zh-CN" w:bidi="ar"/>
        </w:rPr>
        <w:t>预算财政拨款及国有资本经营预算财政拨款</w:t>
      </w:r>
      <w:r>
        <w:rPr>
          <w:rFonts w:hint="eastAsia" w:ascii="仿宋_GB2312" w:hAnsi="ˎ̥" w:eastAsia="仿宋_GB2312" w:cs="仿宋_GB2312"/>
          <w:kern w:val="2"/>
          <w:sz w:val="32"/>
          <w:szCs w:val="32"/>
          <w:lang w:val="en-US" w:eastAsia="zh-CN" w:bidi="ar"/>
        </w:rPr>
        <w:t>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val="0"/>
        <w:suppressLineNumbers w:val="0"/>
        <w:spacing w:before="0" w:beforeAutospacing="0" w:after="0" w:afterAutospacing="0"/>
        <w:ind w:left="0" w:right="0" w:firstLine="645"/>
        <w:jc w:val="both"/>
        <w:rPr>
          <w:rFonts w:hint="eastAsia" w:ascii="仿宋_GB2312" w:hAnsi="ˎ̥" w:eastAsia="仿宋_GB2312" w:cs="仿宋_GB2312"/>
          <w:kern w:val="2"/>
          <w:sz w:val="32"/>
          <w:szCs w:val="32"/>
        </w:rPr>
      </w:pPr>
      <w:r>
        <w:rPr>
          <w:rFonts w:hint="eastAsia" w:ascii="仿宋_GB2312" w:hAnsi="ˎ̥" w:eastAsia="仿宋_GB2312" w:cs="仿宋_GB2312"/>
          <w:kern w:val="2"/>
          <w:sz w:val="32"/>
          <w:szCs w:val="32"/>
          <w:lang w:val="en-US" w:eastAsia="zh-CN" w:bidi="ar"/>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bookmarkStart w:id="119" w:name="_GoBack"/>
      <w:bookmarkEnd w:id="119"/>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ˎ̥">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913692045">
    <w:nsid w:val="72109F8D"/>
    <w:multiLevelType w:val="singleLevel"/>
    <w:tmpl w:val="72109F8D"/>
    <w:lvl w:ilvl="0" w:tentative="1">
      <w:start w:val="7"/>
      <w:numFmt w:val="chineseCounting"/>
      <w:suff w:val="nothing"/>
      <w:lvlText w:val="%1、"/>
      <w:lvlJc w:val="left"/>
      <w:rPr>
        <w:rFonts w:hint="eastAsia"/>
      </w:rPr>
    </w:lvl>
  </w:abstractNum>
  <w:abstractNum w:abstractNumId="575359739">
    <w:nsid w:val="224B4AFB"/>
    <w:multiLevelType w:val="singleLevel"/>
    <w:tmpl w:val="224B4AFB"/>
    <w:lvl w:ilvl="0" w:tentative="1">
      <w:start w:val="1"/>
      <w:numFmt w:val="chineseCounting"/>
      <w:suff w:val="nothing"/>
      <w:lvlText w:val="%1、"/>
      <w:lvlJc w:val="left"/>
      <w:rPr>
        <w:rFonts w:hint="eastAsia"/>
      </w:rPr>
    </w:lvl>
  </w:abstractNum>
  <w:abstractNum w:abstractNumId="4027271425">
    <w:nsid w:val="F00B4901"/>
    <w:multiLevelType w:val="multilevel"/>
    <w:tmpl w:val="F00B4901"/>
    <w:lvl w:ilvl="0" w:tentative="1">
      <w:start w:val="1"/>
      <w:numFmt w:val="chineseCounting"/>
      <w:suff w:val="nothing"/>
      <w:lvlText w:val="%1、"/>
      <w:lvlJc w:val="left"/>
      <w:pPr>
        <w:ind w:left="0" w:firstLine="0"/>
      </w:pPr>
      <w:rPr>
        <w:rFonts w:hint="eastAsia" w:ascii="宋体" w:hAnsi="宋体" w:eastAsia="宋体" w:cs="宋体"/>
      </w:rPr>
    </w:lvl>
    <w:lvl w:ilvl="1" w:tentative="1">
      <w:start w:val="1"/>
      <w:numFmt w:val="decimal"/>
      <w:lvlText w:val="%2."/>
      <w:lvlJc w:val="left"/>
      <w:pPr>
        <w:tabs>
          <w:tab w:val="left" w:pos="1440"/>
        </w:tabs>
        <w:ind w:left="1440" w:firstLine="65176"/>
      </w:pPr>
    </w:lvl>
    <w:lvl w:ilvl="2" w:tentative="1">
      <w:start w:val="1"/>
      <w:numFmt w:val="decimal"/>
      <w:lvlText w:val="%3."/>
      <w:lvlJc w:val="left"/>
      <w:pPr>
        <w:tabs>
          <w:tab w:val="left" w:pos="2160"/>
        </w:tabs>
        <w:ind w:left="2160" w:firstLine="65176"/>
      </w:pPr>
    </w:lvl>
    <w:lvl w:ilvl="3" w:tentative="1">
      <w:start w:val="1"/>
      <w:numFmt w:val="decimal"/>
      <w:lvlText w:val="%4."/>
      <w:lvlJc w:val="left"/>
      <w:pPr>
        <w:tabs>
          <w:tab w:val="left" w:pos="2880"/>
        </w:tabs>
        <w:ind w:left="2880" w:firstLine="65176"/>
      </w:pPr>
    </w:lvl>
    <w:lvl w:ilvl="4" w:tentative="1">
      <w:start w:val="1"/>
      <w:numFmt w:val="decimal"/>
      <w:lvlText w:val="%5."/>
      <w:lvlJc w:val="left"/>
      <w:pPr>
        <w:tabs>
          <w:tab w:val="left" w:pos="3600"/>
        </w:tabs>
        <w:ind w:left="3600" w:firstLine="65176"/>
      </w:pPr>
    </w:lvl>
    <w:lvl w:ilvl="5" w:tentative="1">
      <w:start w:val="1"/>
      <w:numFmt w:val="decimal"/>
      <w:lvlText w:val="%6."/>
      <w:lvlJc w:val="left"/>
      <w:pPr>
        <w:tabs>
          <w:tab w:val="left" w:pos="4320"/>
        </w:tabs>
        <w:ind w:left="4320" w:firstLine="65176"/>
      </w:pPr>
    </w:lvl>
    <w:lvl w:ilvl="6" w:tentative="1">
      <w:start w:val="1"/>
      <w:numFmt w:val="decimal"/>
      <w:lvlText w:val="%7."/>
      <w:lvlJc w:val="left"/>
      <w:pPr>
        <w:tabs>
          <w:tab w:val="left" w:pos="5040"/>
        </w:tabs>
        <w:ind w:left="5040" w:firstLine="65176"/>
      </w:pPr>
    </w:lvl>
    <w:lvl w:ilvl="7" w:tentative="1">
      <w:start w:val="1"/>
      <w:numFmt w:val="decimal"/>
      <w:lvlText w:val="%8."/>
      <w:lvlJc w:val="left"/>
      <w:pPr>
        <w:tabs>
          <w:tab w:val="left" w:pos="5760"/>
        </w:tabs>
        <w:ind w:left="5760" w:firstLine="65176"/>
      </w:pPr>
    </w:lvl>
    <w:lvl w:ilvl="8" w:tentative="1">
      <w:start w:val="1"/>
      <w:numFmt w:val="decimal"/>
      <w:lvlText w:val="%9."/>
      <w:lvlJc w:val="left"/>
      <w:pPr>
        <w:tabs>
          <w:tab w:val="left" w:pos="6480"/>
        </w:tabs>
        <w:ind w:left="6480" w:firstLine="65176"/>
      </w:pPr>
    </w:lvl>
  </w:abstractNum>
  <w:num w:numId="1">
    <w:abstractNumId w:val="1913692045"/>
  </w:num>
  <w:num w:numId="2">
    <w:abstractNumId w:val="575359739"/>
  </w:num>
  <w:num w:numId="3">
    <w:abstractNumId w:val="40272714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0511F"/>
    <w:rsid w:val="06247ACC"/>
    <w:rsid w:val="06DE537C"/>
    <w:rsid w:val="0CBE2AEB"/>
    <w:rsid w:val="103F1C9E"/>
    <w:rsid w:val="107B25D5"/>
    <w:rsid w:val="158D603F"/>
    <w:rsid w:val="19F04445"/>
    <w:rsid w:val="260E704C"/>
    <w:rsid w:val="2F4E436E"/>
    <w:rsid w:val="30CE31BE"/>
    <w:rsid w:val="349C4BC0"/>
    <w:rsid w:val="3B5C6FCC"/>
    <w:rsid w:val="3DDC0534"/>
    <w:rsid w:val="421F49D1"/>
    <w:rsid w:val="44C406AE"/>
    <w:rsid w:val="472C5C34"/>
    <w:rsid w:val="47B27F56"/>
    <w:rsid w:val="4DCA43B1"/>
    <w:rsid w:val="54BC2F6F"/>
    <w:rsid w:val="589864CC"/>
    <w:rsid w:val="5AA50521"/>
    <w:rsid w:val="60EB7B94"/>
    <w:rsid w:val="64EC2EE8"/>
    <w:rsid w:val="6A161151"/>
    <w:rsid w:val="6A5261F9"/>
    <w:rsid w:val="6A7D48E1"/>
    <w:rsid w:val="6E3D362C"/>
    <w:rsid w:val="73D64B1C"/>
    <w:rsid w:val="7E26306D"/>
    <w:rsid w:val="7E51237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character" w:styleId="3">
    <w:name w:val="Hyperlink"/>
    <w:basedOn w:val="2"/>
    <w:qFormat/>
    <w:uiPriority w:val="0"/>
    <w:rPr>
      <w:color w:val="0000FF"/>
      <w:u w:val="single"/>
    </w:rPr>
  </w:style>
  <w:style w:type="character" w:customStyle="1" w:styleId="5">
    <w:name w:val="15"/>
    <w:basedOn w:val="2"/>
    <w:qFormat/>
    <w:uiPriority w:val="0"/>
    <w:rPr>
      <w:rFonts w:hint="default" w:ascii="Times New Roman" w:hAnsi="Times New Roman" w:cs="Times New Roman"/>
    </w:rPr>
  </w:style>
  <w:style w:type="paragraph" w:customStyle="1" w:styleId="6">
    <w:name w:val="WPSOffice手动目录 2"/>
    <w:basedOn w:val="1"/>
    <w:qFormat/>
    <w:uiPriority w:val="0"/>
    <w:pPr>
      <w:widowControl/>
      <w:ind w:leftChars="200"/>
      <w:jc w:val="left"/>
    </w:pPr>
    <w:rPr>
      <w:rFonts w:hint="default" w:ascii="Times New Roman" w:hAnsi="Times New Roman" w:cs="Times New Roman"/>
      <w:kern w:val="0"/>
      <w:sz w:val="20"/>
      <w:szCs w:val="20"/>
      <w:lang w:val="en-US" w:eastAsia="zh-CN" w:bidi="ar"/>
    </w:rPr>
  </w:style>
  <w:style w:type="paragraph" w:customStyle="1" w:styleId="7">
    <w:name w:val="WPSOffice手动目录 1"/>
    <w:basedOn w:val="1"/>
    <w:qFormat/>
    <w:uiPriority w:val="0"/>
    <w:pPr>
      <w:widowControl/>
      <w:ind w:leftChars="0"/>
      <w:jc w:val="left"/>
    </w:pPr>
    <w:rPr>
      <w:rFonts w:hint="default" w:ascii="Times New Roman" w:hAnsi="Times New Roman" w:cs="Times New Roman"/>
      <w:kern w:val="0"/>
      <w:sz w:val="20"/>
      <w:szCs w:val="20"/>
      <w:lang w:val="en-US" w:eastAsia="zh-CN" w:bidi="ar"/>
    </w:rPr>
  </w:style>
  <w:style w:type="character" w:customStyle="1" w:styleId="8">
    <w:name w:val="10"/>
    <w:basedOn w:val="2"/>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2022-11-08T02:53:00Z</dcterms:created>
  <dc:creator>Administrator</dc:creator>
  <cp:lastModifiedBy>Administrator</cp:lastModifiedBy>
  <cp:lastPrinted>2023-09-22T08:55:00Z</cp:lastPrinted>
  <dcterms:modified xsi:type="dcterms:W3CDTF">2023-09-25T08:49:38Z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