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cstheme="minorEastAsia"/>
          <w:sz w:val="84"/>
          <w:szCs w:val="84"/>
          <w:u w:val="single"/>
        </w:rPr>
      </w:pPr>
    </w:p>
    <w:p>
      <w:pPr>
        <w:rPr>
          <w:rFonts w:asciiTheme="minorEastAsia" w:hAnsiTheme="minorEastAsia" w:eastAsiaTheme="minorEastAsia" w:cstheme="minorEastAsia"/>
          <w:sz w:val="84"/>
          <w:szCs w:val="84"/>
          <w:u w:val="single"/>
        </w:rPr>
      </w:pPr>
    </w:p>
    <w:p>
      <w:pPr>
        <w:rPr>
          <w:rFonts w:asciiTheme="minorEastAsia" w:hAnsiTheme="minorEastAsia" w:eastAsiaTheme="minorEastAsia" w:cstheme="minorEastAsia"/>
          <w:sz w:val="84"/>
          <w:szCs w:val="84"/>
          <w:u w:val="single"/>
        </w:rPr>
      </w:pPr>
    </w:p>
    <w:p>
      <w:pPr>
        <w:rPr>
          <w:rFonts w:asciiTheme="minorEastAsia" w:hAnsiTheme="minorEastAsia" w:eastAsiaTheme="minorEastAsia" w:cstheme="minorEastAsia"/>
          <w:sz w:val="84"/>
          <w:szCs w:val="84"/>
          <w:u w:val="single"/>
        </w:rPr>
      </w:pPr>
    </w:p>
    <w:p>
      <w:pPr>
        <w:jc w:val="center"/>
        <w:rPr>
          <w:rFonts w:hint="eastAsia" w:asciiTheme="minorEastAsia" w:hAnsiTheme="minorEastAsia" w:eastAsiaTheme="minorEastAsia" w:cstheme="minorEastAsia"/>
          <w:b/>
          <w:bCs/>
          <w:sz w:val="52"/>
          <w:szCs w:val="52"/>
        </w:rPr>
      </w:pPr>
      <w:r>
        <w:rPr>
          <w:rFonts w:hint="eastAsia" w:asciiTheme="minorEastAsia" w:hAnsiTheme="minorEastAsia" w:eastAsiaTheme="minorEastAsia" w:cstheme="minorEastAsia"/>
          <w:b/>
          <w:bCs/>
          <w:sz w:val="52"/>
          <w:szCs w:val="52"/>
        </w:rPr>
        <w:t>2023年三亚市人民医院单位预算</w:t>
      </w:r>
    </w:p>
    <w:p>
      <w:pPr>
        <w:jc w:val="center"/>
        <w:rPr>
          <w:rFonts w:asciiTheme="minorEastAsia" w:hAnsiTheme="minorEastAsia" w:eastAsiaTheme="minorEastAsia" w:cstheme="minorEastAsia"/>
          <w:b/>
          <w:bCs/>
          <w:sz w:val="52"/>
          <w:szCs w:val="52"/>
        </w:rPr>
      </w:pPr>
    </w:p>
    <w:p>
      <w:pPr>
        <w:ind w:firstLine="1680"/>
        <w:jc w:val="center"/>
        <w:rPr>
          <w:rFonts w:asciiTheme="minorEastAsia" w:hAnsiTheme="minorEastAsia" w:eastAsiaTheme="minorEastAsia" w:cstheme="minorEastAsia"/>
          <w:sz w:val="84"/>
          <w:szCs w:val="84"/>
        </w:rPr>
      </w:pPr>
    </w:p>
    <w:p>
      <w:pPr>
        <w:ind w:firstLine="1680"/>
        <w:jc w:val="center"/>
        <w:rPr>
          <w:rFonts w:asciiTheme="minorEastAsia" w:hAnsiTheme="minorEastAsia" w:eastAsiaTheme="minorEastAsia" w:cstheme="minorEastAsia"/>
          <w:sz w:val="84"/>
          <w:szCs w:val="84"/>
        </w:rPr>
      </w:pPr>
    </w:p>
    <w:p>
      <w:pPr>
        <w:ind w:firstLine="1680"/>
        <w:jc w:val="center"/>
        <w:rPr>
          <w:rFonts w:asciiTheme="minorEastAsia" w:hAnsiTheme="minorEastAsia" w:eastAsiaTheme="minorEastAsia" w:cstheme="minorEastAsia"/>
          <w:sz w:val="84"/>
          <w:szCs w:val="84"/>
        </w:rPr>
      </w:pPr>
    </w:p>
    <w:p>
      <w:pPr>
        <w:ind w:firstLine="1680"/>
        <w:jc w:val="center"/>
        <w:rPr>
          <w:rFonts w:asciiTheme="minorEastAsia" w:hAnsiTheme="minorEastAsia" w:eastAsiaTheme="minorEastAsia" w:cstheme="minorEastAsia"/>
          <w:sz w:val="84"/>
          <w:szCs w:val="84"/>
        </w:rPr>
      </w:pPr>
    </w:p>
    <w:p>
      <w:pPr>
        <w:ind w:firstLine="1680"/>
        <w:jc w:val="center"/>
        <w:rPr>
          <w:rFonts w:asciiTheme="minorEastAsia" w:hAnsiTheme="minorEastAsia" w:eastAsiaTheme="minorEastAsia" w:cstheme="minorEastAsia"/>
          <w:sz w:val="84"/>
          <w:szCs w:val="84"/>
        </w:rPr>
      </w:pPr>
    </w:p>
    <w:p>
      <w:pPr>
        <w:rPr>
          <w:rFonts w:asciiTheme="minorEastAsia" w:hAnsiTheme="minorEastAsia" w:eastAsiaTheme="minorEastAsia" w:cstheme="minorEastAsia"/>
          <w:sz w:val="84"/>
          <w:szCs w:val="84"/>
        </w:rPr>
      </w:pPr>
    </w:p>
    <w:p>
      <w:pPr>
        <w:jc w:val="center"/>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sz w:val="48"/>
          <w:szCs w:val="48"/>
        </w:rPr>
      </w:pPr>
      <w:r>
        <w:rPr>
          <w:rFonts w:hint="eastAsia" w:asciiTheme="minorEastAsia" w:hAnsiTheme="minorEastAsia" w:eastAsiaTheme="minorEastAsia" w:cstheme="minorEastAsia"/>
          <w:sz w:val="48"/>
          <w:szCs w:val="48"/>
        </w:rPr>
        <w:t>目录</w:t>
      </w:r>
    </w:p>
    <w:p>
      <w:pPr>
        <w:jc w:val="center"/>
        <w:rPr>
          <w:rFonts w:asciiTheme="minorEastAsia" w:hAnsiTheme="minorEastAsia" w:eastAsiaTheme="minorEastAsia" w:cstheme="minorEastAsia"/>
          <w:sz w:val="48"/>
          <w:szCs w:val="48"/>
        </w:rPr>
      </w:pPr>
    </w:p>
    <w:p>
      <w:pPr>
        <w:pStyle w:val="7"/>
        <w:numPr>
          <w:ilvl w:val="0"/>
          <w:numId w:val="1"/>
        </w:numPr>
        <w:ind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三亚市人民医院单位概况</w:t>
      </w:r>
    </w:p>
    <w:p>
      <w:pPr>
        <w:pStyle w:val="7"/>
        <w:numPr>
          <w:ilvl w:val="0"/>
          <w:numId w:val="2"/>
        </w:numPr>
        <w:ind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主要职能</w:t>
      </w:r>
    </w:p>
    <w:p>
      <w:pPr>
        <w:pStyle w:val="7"/>
        <w:numPr>
          <w:ilvl w:val="0"/>
          <w:numId w:val="2"/>
        </w:numPr>
        <w:ind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预算单位构成情况</w:t>
      </w:r>
    </w:p>
    <w:p>
      <w:pPr>
        <w:pStyle w:val="7"/>
        <w:numPr>
          <w:ilvl w:val="0"/>
          <w:numId w:val="1"/>
        </w:numPr>
        <w:ind w:firstLineChars="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三亚市人民医院单位预算表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一、财政拨款收支总表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二、一般公共预算支出表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三、一般公共预算基本支出表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四、一般公共预算“三公”经费支出表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五、政府性基金预算支出表。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六、政府性基金预算“三公”经费支出表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七、单位收支总表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八、单位收入总表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九、单位支出总表</w:t>
      </w:r>
    </w:p>
    <w:p>
      <w:pPr>
        <w:pStyle w:val="7"/>
        <w:ind w:firstLine="0"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十、项目支出绩效信息表</w:t>
      </w:r>
    </w:p>
    <w:p>
      <w:pPr>
        <w:pStyle w:val="7"/>
        <w:numPr>
          <w:ilvl w:val="0"/>
          <w:numId w:val="1"/>
        </w:numPr>
        <w:ind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三亚市人民医院2023年单位预算情况说明</w:t>
      </w:r>
    </w:p>
    <w:p>
      <w:pPr>
        <w:pStyle w:val="7"/>
        <w:numPr>
          <w:ilvl w:val="0"/>
          <w:numId w:val="1"/>
        </w:numPr>
        <w:ind w:firstLineChars="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名词解释</w:t>
      </w:r>
    </w:p>
    <w:p>
      <w:pPr>
        <w:pStyle w:val="7"/>
        <w:ind w:left="1320" w:firstLine="0" w:firstLineChars="0"/>
        <w:jc w:val="left"/>
        <w:rPr>
          <w:rFonts w:asciiTheme="minorEastAsia" w:hAnsiTheme="minorEastAsia" w:eastAsiaTheme="minorEastAsia" w:cstheme="minorEastAsia"/>
          <w:sz w:val="28"/>
          <w:szCs w:val="28"/>
        </w:rPr>
      </w:pPr>
    </w:p>
    <w:p>
      <w:pPr>
        <w:jc w:val="left"/>
        <w:rPr>
          <w:rFonts w:asciiTheme="minorEastAsia" w:hAnsiTheme="minorEastAsia" w:eastAsiaTheme="minorEastAsia" w:cstheme="minorEastAsia"/>
          <w:sz w:val="28"/>
          <w:szCs w:val="28"/>
        </w:rPr>
      </w:pPr>
    </w:p>
    <w:p>
      <w:pPr>
        <w:jc w:val="left"/>
        <w:rPr>
          <w:rFonts w:asciiTheme="minorEastAsia" w:hAnsiTheme="minorEastAsia" w:eastAsiaTheme="minorEastAsia" w:cstheme="minorEastAsia"/>
          <w:sz w:val="28"/>
          <w:szCs w:val="28"/>
        </w:rPr>
      </w:pPr>
    </w:p>
    <w:p>
      <w:pPr>
        <w:jc w:val="left"/>
        <w:rPr>
          <w:rFonts w:asciiTheme="minorEastAsia" w:hAnsiTheme="minorEastAsia" w:eastAsiaTheme="minorEastAsia" w:cstheme="minorEastAsia"/>
          <w:sz w:val="28"/>
          <w:szCs w:val="28"/>
        </w:rPr>
      </w:pPr>
    </w:p>
    <w:p>
      <w:pPr>
        <w:jc w:val="left"/>
        <w:rPr>
          <w:rFonts w:asciiTheme="minorEastAsia" w:hAnsiTheme="minorEastAsia" w:eastAsiaTheme="minorEastAsia" w:cstheme="minorEastAsia"/>
          <w:sz w:val="28"/>
          <w:szCs w:val="28"/>
        </w:rPr>
      </w:pPr>
    </w:p>
    <w:p>
      <w:pPr>
        <w:pStyle w:val="7"/>
        <w:numPr>
          <w:ilvl w:val="0"/>
          <w:numId w:val="3"/>
        </w:numPr>
        <w:ind w:firstLineChars="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三亚市人民医院单位概况</w:t>
      </w:r>
    </w:p>
    <w:p>
      <w:pPr>
        <w:jc w:val="left"/>
        <w:rPr>
          <w:rFonts w:asciiTheme="minorEastAsia" w:hAnsiTheme="minorEastAsia" w:eastAsiaTheme="minorEastAsia" w:cstheme="minorEastAsia"/>
          <w:sz w:val="28"/>
          <w:szCs w:val="28"/>
        </w:rPr>
      </w:pPr>
    </w:p>
    <w:p>
      <w:pPr>
        <w:pStyle w:val="7"/>
        <w:numPr>
          <w:ilvl w:val="0"/>
          <w:numId w:val="4"/>
        </w:numPr>
        <w:ind w:firstLineChars="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主要职能</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（一）贯彻落实新时期我国卫生与健康工作方针，坚持公益性，保障人民群众健康，推动医院各方面工作健康发展。</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（二）为人民群众提供医疗保健、疾病预防、健康教育、健康科普等医疗和一定的公共卫生服务。</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（三）承担院校医学教育、毕业后医学教育（含住院医师规范化培训、专科医师规范化培训）和继续医学教育，不断提升医学人才能力素质和工作水平。</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（四）开展临床医学和基础医学研究，推动医学科技成果转化。</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（五）按照举办主体和有关部门批准的范围开展对外技术交流和国际合作。</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（六）按照举办主体和有关部门批准的范围开展涉外医疗服务，承担重大活动医疗保障任务，承担突发公共事件的医疗卫生救助。</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（七）根据规划和需求，经三亚市人民政府和有关部门批准，可与社会力量合作举办新的非营利性医疗机构或在人才、管理、服务、技术、品牌等方面建立协议合作关系。</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（八）经三亚市人民政府和有关部门批准，与相关医疗机构组成医联体或医共体，推动形成基层首诊、双向转诊、急慢分治、上下联动的分级诊疗模式。</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（九）开展对口帮扶、送医下乡等健康扶贫和志愿者服务工作。</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（十）承担上级党委和政府交办的其他事项。</w:t>
      </w:r>
    </w:p>
    <w:p>
      <w:pPr>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二、预算单位构成情况</w:t>
      </w:r>
    </w:p>
    <w:p>
      <w:pPr>
        <w:ind w:firstLine="420" w:firstLineChars="1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为自收自支的公益二类预算单位，按政府会计准则制度编制单位预算、政府财务报告及行政事业单位国有资产报告等，我单位内部构成情况有三大类：内部管理机构、业务管理部门及临床及医技科室，其中：（1）内部管理机构包括党委办公室、组织人事部、宣传统战部、纪检监察部（行风办）、工会、院长办公室、审计部、事业拓展部、运营管理部、信息中心、教学科研部、医保部、后勤保障部、财务部；（2）业务管理部包括干部保健部、医务部、护理部、院感公卫部、质量控制部（评审办）、门诊部；（3）临床及医技科室包括大内科系统相关科室、大外科系统相关科室、其他业务科室及医技科室。</w:t>
      </w:r>
    </w:p>
    <w:p>
      <w:pPr>
        <w:jc w:val="left"/>
        <w:rPr>
          <w:rFonts w:asciiTheme="minorEastAsia" w:hAnsiTheme="minorEastAsia" w:eastAsiaTheme="minorEastAsia" w:cstheme="minorEastAsia"/>
          <w:b/>
          <w:bCs/>
          <w:sz w:val="28"/>
          <w:szCs w:val="28"/>
        </w:rPr>
      </w:pPr>
    </w:p>
    <w:p>
      <w:pPr>
        <w:pStyle w:val="7"/>
        <w:numPr>
          <w:ilvl w:val="255"/>
          <w:numId w:val="0"/>
        </w:numPr>
        <w:jc w:val="left"/>
        <w:rPr>
          <w:rFonts w:asciiTheme="minorEastAsia" w:hAnsiTheme="minorEastAsia" w:eastAsiaTheme="minorEastAsia" w:cstheme="minorEastAsia"/>
          <w:b/>
          <w:bCs/>
          <w:sz w:val="28"/>
          <w:szCs w:val="28"/>
        </w:rPr>
      </w:pPr>
    </w:p>
    <w:p>
      <w:pPr>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第二部分  三亚市人民医院2023年单位预算表</w:t>
      </w:r>
    </w:p>
    <w:p>
      <w:pPr>
        <w:ind w:left="800"/>
        <w:jc w:val="left"/>
        <w:rPr>
          <w:rFonts w:asciiTheme="minorEastAsia" w:hAnsiTheme="minorEastAsia" w:eastAsiaTheme="minorEastAsia" w:cstheme="minorEastAsia"/>
          <w:sz w:val="28"/>
          <w:szCs w:val="28"/>
        </w:rPr>
      </w:pPr>
    </w:p>
    <w:p>
      <w:pPr>
        <w:ind w:left="80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（此部分内容即为单位预算公开表）</w:t>
      </w:r>
    </w:p>
    <w:p>
      <w:pPr>
        <w:rPr>
          <w:rFonts w:asciiTheme="minorEastAsia" w:hAnsiTheme="minorEastAsia" w:eastAsiaTheme="minorEastAsia" w:cstheme="minorEastAsia"/>
          <w:sz w:val="28"/>
          <w:szCs w:val="28"/>
        </w:rPr>
      </w:pPr>
    </w:p>
    <w:p>
      <w:pPr>
        <w:ind w:firstLine="422" w:firstLineChars="15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第三部分  三亚市人民医院2023年单位预算情况说明</w:t>
      </w:r>
    </w:p>
    <w:p>
      <w:pPr>
        <w:jc w:val="center"/>
        <w:rPr>
          <w:rFonts w:asciiTheme="minorEastAsia" w:hAnsiTheme="minorEastAsia" w:eastAsiaTheme="minorEastAsia" w:cstheme="minorEastAsia"/>
          <w:sz w:val="28"/>
          <w:szCs w:val="28"/>
        </w:rPr>
      </w:pPr>
    </w:p>
    <w:p>
      <w:pPr>
        <w:ind w:firstLine="562" w:firstLineChars="20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一、关于三亚市人民医院单位2023年财政拨款收支预算情况的总体说明</w:t>
      </w: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单位2023年财政拨款收支总预算29188.05万元。其中：收入总计29188.05万元，包括一般公共预算本年收入27925万元，政府性基金预算本年收入0万元、上年结转1263.05万元；支出总计29188.05万元，包括社会保障和就业支出2025万元、卫生健康支出27162.69万元、城乡社区支出0万元、其他支出0.36万元、转结下年0万元。</w:t>
      </w:r>
    </w:p>
    <w:p>
      <w:pPr>
        <w:ind w:firstLine="64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二、关于三亚市人民医院单位2023年一般公共预算当年拨款情况说明</w:t>
      </w:r>
    </w:p>
    <w:p>
      <w:pPr>
        <w:ind w:firstLine="64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（一）一般公共预算当年规模变化情况</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三亚市人民医院单位2023年一般公共预算当年拨款27925万元，比上年预算数增加19324.2万元，主要是三亚市人民医院卫生健康支出预算有所增加。</w:t>
      </w:r>
    </w:p>
    <w:p>
      <w:pPr>
        <w:ind w:firstLine="64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（二）一般公共预算当年拨款结构情况</w:t>
      </w:r>
    </w:p>
    <w:p>
      <w:pPr>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社会保障和就业支出（类）2025万元，占6.94%；卫生健康支出（类）27162.69万元，占93.06%。</w:t>
      </w:r>
    </w:p>
    <w:p>
      <w:pPr>
        <w:ind w:firstLine="64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（三）一般公共预算当年拨款具体使用情况</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1.社会保障和就业支出（类）行政事业单位养老支出（款）机关事业单位基本养老保险缴费支出（项）2023年预算数为1350万元，比去年预算数增加632万元，主要是单位本级在编人员的基本养老保险费用调整。</w:t>
      </w:r>
    </w:p>
    <w:p>
      <w:pPr>
        <w:pStyle w:val="4"/>
        <w:widowControl/>
        <w:spacing w:beforeAutospacing="0" w:afterAutospacing="0"/>
        <w:ind w:firstLine="64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2.社会保障和就业支出（类）行政事业单位养老支出（款）机关事业单位职业年金缴费支出（项）2023年预算数为675万元,比去年预算数增加316万元，</w:t>
      </w:r>
      <w:r>
        <w:rPr>
          <w:rFonts w:hint="eastAsia" w:asciiTheme="minorEastAsia" w:hAnsiTheme="minorEastAsia" w:eastAsiaTheme="minorEastAsia" w:cstheme="minorEastAsia"/>
          <w:sz w:val="28"/>
          <w:szCs w:val="28"/>
        </w:rPr>
        <w:t>主要是单位本级在编人员的职业年金费用调整。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3.卫生健康支出（类）公立医院（款）综合医院（项）2023年预算数为26059.64万元，比去年预算数增加18035.84万元，主要是单位医疗保障及公共卫生防控费用。</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4.卫生健康支出（类）公立医院（款）其他公立医院支出（项）2023年预算数为21万元，比去年预算数减少83.16万元，主要是其他公立医院支出减少。</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5.卫生健康支出（类）公共卫生（款）妇幼保健机构（项）2023年预算数为1.5万元，比去年预算数增加1.5万元，主要是新增妇幼保健机构费用。</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6.卫生健康支出（类）公共卫生（款）基本公共卫生服务（项）2023年预算数为1.31万元，比去年预算数减少27.63万元，主要是基本公共卫生服务费用减少。</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7.卫生健康支出（类）公共卫生（款）重大公共卫生服务（项）2023年预算数为61.46万元，比去年预算数减少74.3万元，主要是重大公共卫生服务费用减少。</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8.卫生健康支出（类）公共卫生（款）突发公共卫生事件应急处理（项）2023年预算数为903.85万元，比去年预算数增加903.85万元，主要是新增突发公共卫生事件应急处理费用。</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9.卫生健康支出（类）公共卫生（款）其他公共卫生支出（项）2023年预算数为74.63万元，比去年预算数增加74.63万元，主要是新增其他公共卫生支出费用。</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10.卫生健康支出（类）医疗保障管理事务（款）医疗保障政策管理（项）2023年预算数为13万元，比去年预算数增加13万元，主要是新增医疗保障政策管理费用。</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11.卫生健康支出（类）其他卫生健康支出（款）其他卫生健康支出（项）2023年预算数为26.31万元，比去年预算数减少145.71万元，主要是其他卫生健康支出减少。</w:t>
      </w:r>
    </w:p>
    <w:p>
      <w:pPr>
        <w:ind w:firstLine="64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三、关于三亚市人民医院单位2023年一般公共预算基本支出情况说明</w:t>
      </w:r>
    </w:p>
    <w:p>
      <w:pPr>
        <w:spacing w:line="54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三亚市人民医院单位2023年无一般公共预算基本支出预算。</w:t>
      </w:r>
    </w:p>
    <w:p>
      <w:pPr>
        <w:ind w:firstLine="562" w:firstLineChars="200"/>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四、三亚市人民医院单位2023年“三公”经费预算情况说明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（一）三亚市人民医院2023年一般公共预算“三公”经费预算数为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（二）三亚市人民医院2023年政府性基金预算“三公”经费预算数为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heme="minorEastAsia" w:hAnsiTheme="minorEastAsia" w:eastAsiaTheme="minorEastAsia" w:cstheme="minorEastAsia"/>
          <w:sz w:val="28"/>
          <w:szCs w:val="28"/>
          <w:shd w:val="clear" w:color="auto" w:fill="FFFFFF"/>
        </w:rPr>
      </w:pPr>
      <w:r>
        <w:rPr>
          <w:rFonts w:ascii="Times New Roman" w:hAnsi="Times New Roman" w:eastAsia="仿宋_GB2312" w:cs="Times New Roman"/>
          <w:sz w:val="32"/>
          <w:shd w:val="clear" w:color="auto" w:fill="FFFFFF"/>
        </w:rPr>
        <w:t xml:space="preserve"> </w:t>
      </w:r>
      <w:bookmarkStart w:id="0" w:name="_GoBack"/>
      <w:bookmarkEnd w:id="0"/>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562" w:firstLineChars="200"/>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五、关于三亚市人民医院单位2023年政府性基金预算当年拨款情况说明</w:t>
      </w:r>
    </w:p>
    <w:p>
      <w:pPr>
        <w:ind w:firstLine="64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（一）政府性基金预算当年规模变化情况</w:t>
      </w:r>
    </w:p>
    <w:p>
      <w:pPr>
        <w:ind w:firstLine="64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三亚市人民医院2023年政府性基金预算当年拨款0.36万元，比上年预算数减少7715.35万元，主要是其他地方自行试点项目收益专项债券收入安排的支出上年结转资金。</w:t>
      </w:r>
    </w:p>
    <w:p>
      <w:pPr>
        <w:ind w:firstLine="640"/>
        <w:jc w:val="lef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（二）政府性基金预算当年拨款结构情况</w:t>
      </w:r>
    </w:p>
    <w:p>
      <w:pPr>
        <w:ind w:firstLine="64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其他支出（类）支出0.36万元，占100%。</w:t>
      </w:r>
    </w:p>
    <w:p>
      <w:pPr>
        <w:ind w:firstLine="64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（三）政府性基金预算当年拨款具体使用情况</w:t>
      </w:r>
    </w:p>
    <w:p>
      <w:pPr>
        <w:ind w:firstLine="64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其他支出（类）其他政府性基金及对应专项债务收入安排的支出（款）其他地方自行试点项目收益专项债券收入安排的支出（项）2023年预算数为0.36万元，比上年预算数增加0.36万元，主要是其他地方自行试点项目收益专项债券收入安排的支出上年结转资金。</w:t>
      </w:r>
    </w:p>
    <w:p>
      <w:pPr>
        <w:ind w:firstLine="562" w:firstLineChars="200"/>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六、关于三亚市人民医院单位2023年收支预算情况的总体说明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综合预算原则，三亚市人民医院单位所有收入和支出均纳入单位预算管理。收入包括：一般公共预算收入、一般公共预算收入上年结转、政府性基金预算收入上年结转；支出包括：社会保障和就业支出、卫生健康支出、其他支出。三亚市人民医院单位2023年收支总预算29188.05万元</w:t>
      </w:r>
      <w:r>
        <w:rPr>
          <w:rFonts w:hint="eastAsia" w:asciiTheme="minorEastAsia" w:hAnsiTheme="minorEastAsia" w:eastAsiaTheme="minorEastAsia" w:cstheme="minorEastAsia"/>
          <w:color w:val="0000FF"/>
          <w:sz w:val="28"/>
          <w:szCs w:val="28"/>
        </w:rPr>
        <w:t>。</w:t>
      </w:r>
    </w:p>
    <w:p>
      <w:pPr>
        <w:ind w:firstLine="562" w:firstLineChars="200"/>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七、关于三亚市人民医院单位2023年收入预算情况说明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单位2023年收入预算29188.05万元。其中：一般公共预算收入27925万元，占95.67%；上年结转预算收入1263.05万元，占4.33%。比上年预算数增加11930.66万元，主要是三亚市人民医院一般公共预算收入有所增加。</w:t>
      </w:r>
    </w:p>
    <w:p>
      <w:pPr>
        <w:ind w:firstLine="562" w:firstLineChars="200"/>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八、关于三亚市人民医院单位2023年支出预算情况说明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亚市人民医院单位2023年支出预算29188.05万元，其中：基本支出0万元；项目支出29188.05万元，占100%。比上年预算数增加11930.66万元，主要是三亚市人民医院2023年较2022年财政预算中卫生健康支出方面增加工作安排，致相关预算支出有所增加，如：单位本级在编人员的基本养老保险费用调整及职业年金缴费调整、单位医疗保障及公共卫生防控费用、妇幼保健机构费用、突发公共卫生事件应急处理费用、医疗保障政策管理费用</w:t>
      </w:r>
      <w:r>
        <w:rPr>
          <w:rFonts w:hint="eastAsia" w:ascii="仿宋_GB2312" w:hAnsi="黑体" w:eastAsia="仿宋_GB2312"/>
          <w:sz w:val="32"/>
          <w:szCs w:val="32"/>
        </w:rPr>
        <w:t>。</w:t>
      </w:r>
    </w:p>
    <w:p>
      <w:pPr>
        <w:ind w:firstLine="562" w:firstLineChars="200"/>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九、其他重要事项的情况说明</w:t>
      </w:r>
    </w:p>
    <w:p>
      <w:pPr>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（一）机关运行经费</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本单位属于公益二类事业单位，无机关运行经费支出情况。</w:t>
      </w:r>
    </w:p>
    <w:p>
      <w:pPr>
        <w:numPr>
          <w:ilvl w:val="0"/>
          <w:numId w:val="5"/>
        </w:numPr>
        <w:ind w:firstLine="562"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政府采购情况</w:t>
      </w:r>
    </w:p>
    <w:p>
      <w:pPr>
        <w:ind w:firstLine="960" w:firstLineChars="300"/>
        <w:rPr>
          <w:rFonts w:asciiTheme="minorEastAsia" w:hAnsiTheme="minorEastAsia" w:eastAsiaTheme="minorEastAsia" w:cstheme="minorEastAsia"/>
          <w:sz w:val="28"/>
          <w:szCs w:val="28"/>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三亚市人民医院政府采购预算总额0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heme="minorEastAsia" w:hAnsiTheme="minorEastAsia" w:eastAsiaTheme="minorEastAsia" w:cstheme="minorEastAsia"/>
          <w:sz w:val="28"/>
          <w:szCs w:val="28"/>
        </w:rPr>
        <w:t>。</w:t>
      </w:r>
    </w:p>
    <w:p>
      <w:pPr>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（三）国有资产占有使用情况</w:t>
      </w:r>
    </w:p>
    <w:p>
      <w:pPr>
        <w:ind w:firstLine="560" w:firstLineChars="200"/>
        <w:rPr>
          <w:rFonts w:asciiTheme="minorEastAsia" w:hAnsiTheme="minorEastAsia" w:eastAsiaTheme="minorEastAsia" w:cstheme="minorEastAsia"/>
          <w:color w:val="0000FF"/>
          <w:sz w:val="28"/>
          <w:szCs w:val="28"/>
        </w:rPr>
      </w:pPr>
      <w:r>
        <w:rPr>
          <w:rFonts w:hint="eastAsia" w:asciiTheme="minorEastAsia" w:hAnsiTheme="minorEastAsia" w:eastAsiaTheme="minorEastAsia" w:cstheme="minorEastAsia"/>
          <w:sz w:val="28"/>
          <w:szCs w:val="28"/>
        </w:rPr>
        <w:t>截至2022年12月31日，三亚市人民医院单位预算单位共有车辆7辆，其中，领导干部用车0辆，机要通信应急用车0辆、一般执法执勤用车0辆、特种专业技术用车0辆、其他用车7辆。单位价值100万元以上设备167台。</w:t>
      </w:r>
    </w:p>
    <w:p>
      <w:pPr>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（四）绩效目标设置情况</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2023年三亚市人民医院单位5个项目实行绩效目标管理，本单位主要开展2023年度预算绩效管理自评工作，将根据每个财政预算项目设置项目绩效目标表，并定期做好绩效运行监控和绩效评价工作，涉及一般公共预算27925万元。</w:t>
      </w:r>
    </w:p>
    <w:p>
      <w:pPr>
        <w:jc w:val="center"/>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p>
    <w:p>
      <w:pPr>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第四部分  名词解释</w:t>
      </w:r>
    </w:p>
    <w:p>
      <w:pPr>
        <w:ind w:firstLine="560" w:firstLineChars="200"/>
        <w:jc w:val="left"/>
        <w:rPr>
          <w:rFonts w:asciiTheme="minorEastAsia" w:hAnsiTheme="minorEastAsia" w:eastAsiaTheme="minorEastAsia" w:cstheme="minorEastAsia"/>
          <w:bCs/>
          <w:color w:val="000000"/>
          <w:kern w:val="0"/>
          <w:sz w:val="28"/>
          <w:szCs w:val="28"/>
          <w:lang w:val="zh-CN"/>
        </w:rPr>
      </w:pP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一、财政拨款收入：指本级财政当年拨付的资金。</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二、事业收入：指事业单位开展专业业务活动及辅助活动取得的收入。</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三、经营收入：指事业单位在专业业务活动及其辅助活动之外开展非独立核算经营活动取得的收入。</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四、其他收入：指除上述“财政拨款收入”“事业收入”“经营收入”等以外的收入。</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五、年初结转和结余：指以前年度尚未完成、结转到本年按有关规定继续使用的资金。</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 xml:space="preserve">六、基本支出：指行政事业单位用于为保障其机构正常运转、完成日常工作任务而发生的人员支出和公用支出。   </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七、工资福利支出：反映单位开支的在职职工和编制外长期聘用人员的各类劳动报酬，以及为上述人员缴纳的各项社会保险费等。</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八、对个人和家庭的补助支出：反映政府用于对个人和家庭的补助支出，包括离休费、退休费、退职（役）费、抚恤金、生活补助、救济费、医疗费补助、助学金、独生子女奖励金、其他等。</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十、项目支出：指各部门、各单位为完成其特定的工作任务和事业发展目标所发生的支出。</w:t>
      </w:r>
    </w:p>
    <w:p>
      <w:pPr>
        <w:ind w:firstLine="560" w:firstLineChars="200"/>
        <w:jc w:val="left"/>
        <w:rPr>
          <w:rFonts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color w:val="000000"/>
          <w:kern w:val="0"/>
          <w:sz w:val="28"/>
          <w:szCs w:val="28"/>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Theme="minorEastAsia" w:hAnsiTheme="minorEastAsia" w:eastAsiaTheme="minorEastAsia" w:cstheme="minorEastAsia"/>
          <w:sz w:val="28"/>
          <w:szCs w:val="28"/>
        </w:rPr>
      </w:pPr>
    </w:p>
    <w:sectPr>
      <w:footerReference r:id="rId3" w:type="default"/>
      <w:pgSz w:w="11906" w:h="16838"/>
      <w:pgMar w:top="1134" w:right="1701" w:bottom="113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580D55"/>
    <w:multiLevelType w:val="singleLevel"/>
    <w:tmpl w:val="E9580D5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0CA5FEB"/>
    <w:rsid w:val="00011D29"/>
    <w:rsid w:val="00183233"/>
    <w:rsid w:val="00284D7A"/>
    <w:rsid w:val="002C030F"/>
    <w:rsid w:val="002C6951"/>
    <w:rsid w:val="0040561E"/>
    <w:rsid w:val="00472889"/>
    <w:rsid w:val="004A529C"/>
    <w:rsid w:val="004C5648"/>
    <w:rsid w:val="00576F91"/>
    <w:rsid w:val="00626409"/>
    <w:rsid w:val="00633EC3"/>
    <w:rsid w:val="0067029C"/>
    <w:rsid w:val="00711478"/>
    <w:rsid w:val="00765474"/>
    <w:rsid w:val="008E1413"/>
    <w:rsid w:val="00982F33"/>
    <w:rsid w:val="00A21A5B"/>
    <w:rsid w:val="00B2752D"/>
    <w:rsid w:val="00B7144E"/>
    <w:rsid w:val="00C46B12"/>
    <w:rsid w:val="00CC368B"/>
    <w:rsid w:val="00D109EC"/>
    <w:rsid w:val="00E171F9"/>
    <w:rsid w:val="00E60985"/>
    <w:rsid w:val="00F41D6E"/>
    <w:rsid w:val="00F62D42"/>
    <w:rsid w:val="0C0A7FDE"/>
    <w:rsid w:val="0E9A3286"/>
    <w:rsid w:val="11335B7E"/>
    <w:rsid w:val="1CEA46E6"/>
    <w:rsid w:val="1DB23B2F"/>
    <w:rsid w:val="212E363B"/>
    <w:rsid w:val="2DC55E96"/>
    <w:rsid w:val="321770A6"/>
    <w:rsid w:val="346925E7"/>
    <w:rsid w:val="357618D8"/>
    <w:rsid w:val="38672551"/>
    <w:rsid w:val="397260A8"/>
    <w:rsid w:val="3FEF5F3B"/>
    <w:rsid w:val="419B1E92"/>
    <w:rsid w:val="441F5990"/>
    <w:rsid w:val="490C160D"/>
    <w:rsid w:val="4AE81238"/>
    <w:rsid w:val="50CA5FEB"/>
    <w:rsid w:val="51DB4D85"/>
    <w:rsid w:val="545B6C30"/>
    <w:rsid w:val="564D60E4"/>
    <w:rsid w:val="5BA262F0"/>
    <w:rsid w:val="5BD16F85"/>
    <w:rsid w:val="5BFB0B48"/>
    <w:rsid w:val="633961E2"/>
    <w:rsid w:val="63A40AA7"/>
    <w:rsid w:val="76B27D2D"/>
    <w:rsid w:val="77BA71B0"/>
    <w:rsid w:val="7DDC7A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spacing w:beforeAutospacing="1" w:afterAutospacing="1"/>
      <w:jc w:val="left"/>
    </w:pPr>
    <w:rPr>
      <w:kern w:val="0"/>
      <w:sz w:val="24"/>
    </w:rPr>
  </w:style>
  <w:style w:type="paragraph" w:customStyle="1" w:styleId="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三亚市直属党政机关单位</Company>
  <Pages>11</Pages>
  <Words>731</Words>
  <Characters>4170</Characters>
  <Lines>34</Lines>
  <Paragraphs>9</Paragraphs>
  <TotalTime>66</TotalTime>
  <ScaleCrop>false</ScaleCrop>
  <LinksUpToDate>false</LinksUpToDate>
  <CharactersWithSpaces>4892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2024-07-15T09:44:00Z</dcterms:created>
  <dc:creator>王小冬</dc:creator>
  <cp:lastModifiedBy>Administrator</cp:lastModifiedBy>
  <cp:lastPrinted>2021-04-07T02:50:00Z</cp:lastPrinted>
  <dcterms:modified xsi:type="dcterms:W3CDTF">2024-07-18T07:56:59Z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