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Pr>
        <w:rPr>
          <w:rFonts w:ascii="仿宋_GB2312" w:hAnsi="仿宋_GB2312" w:eastAsia="仿宋_GB2312" w:cs="仿宋_GB2312"/>
          <w:sz w:val="32"/>
          <w:szCs w:val="32"/>
        </w:rPr>
      </w:pPr>
    </w:p>
    <w:p>
      <w:pPr>
        <w:jc w:val="center"/>
        <w:rPr>
          <w:rFonts w:ascii="宋体" w:hAnsi="宋体" w:eastAsia="宋体" w:cs="宋体"/>
          <w:sz w:val="52"/>
          <w:szCs w:val="52"/>
        </w:rPr>
      </w:pPr>
    </w:p>
    <w:p>
      <w:pPr>
        <w:jc w:val="center"/>
        <w:rPr>
          <w:rFonts w:ascii="宋体" w:hAnsi="宋体" w:eastAsia="宋体" w:cs="宋体"/>
          <w:sz w:val="52"/>
          <w:szCs w:val="52"/>
        </w:rPr>
      </w:pPr>
    </w:p>
    <w:p>
      <w:pPr>
        <w:jc w:val="center"/>
        <w:rPr>
          <w:rFonts w:ascii="宋体" w:hAnsi="宋体" w:eastAsia="宋体" w:cs="宋体"/>
          <w:sz w:val="52"/>
          <w:szCs w:val="52"/>
        </w:rPr>
      </w:pPr>
    </w:p>
    <w:p>
      <w:pPr>
        <w:jc w:val="center"/>
        <w:rPr>
          <w:rFonts w:ascii="宋体" w:hAnsi="宋体" w:eastAsia="宋体" w:cs="宋体"/>
          <w:sz w:val="52"/>
          <w:szCs w:val="52"/>
        </w:rPr>
      </w:pPr>
    </w:p>
    <w:p>
      <w:pPr>
        <w:jc w:val="center"/>
        <w:rPr>
          <w:rFonts w:ascii="宋体" w:hAnsi="宋体" w:eastAsia="宋体" w:cs="宋体"/>
          <w:sz w:val="52"/>
          <w:szCs w:val="52"/>
        </w:rPr>
      </w:pPr>
    </w:p>
    <w:p>
      <w:pPr>
        <w:jc w:val="center"/>
        <w:rPr>
          <w:rFonts w:hint="eastAsia" w:ascii="宋体" w:hAnsi="宋体" w:eastAsia="宋体" w:cs="宋体"/>
          <w:sz w:val="52"/>
          <w:szCs w:val="52"/>
        </w:rPr>
      </w:pPr>
      <w:r>
        <w:rPr>
          <w:rFonts w:hint="eastAsia" w:ascii="宋体" w:hAnsi="宋体" w:eastAsia="宋体" w:cs="宋体"/>
          <w:sz w:val="52"/>
          <w:szCs w:val="52"/>
        </w:rPr>
        <w:t>2023年三亚市工商业联合会</w:t>
      </w:r>
    </w:p>
    <w:p>
      <w:pPr>
        <w:jc w:val="center"/>
        <w:rPr>
          <w:rFonts w:ascii="宋体" w:hAnsi="宋体" w:eastAsia="宋体" w:cs="宋体"/>
          <w:sz w:val="52"/>
          <w:szCs w:val="52"/>
        </w:rPr>
      </w:pPr>
      <w:r>
        <w:rPr>
          <w:rFonts w:hint="eastAsia" w:ascii="宋体" w:hAnsi="宋体" w:eastAsia="宋体" w:cs="宋体"/>
          <w:sz w:val="52"/>
          <w:szCs w:val="52"/>
          <w:lang w:val="en-US" w:eastAsia="zh-CN"/>
        </w:rPr>
        <w:t>单位</w:t>
      </w:r>
      <w:r>
        <w:rPr>
          <w:rFonts w:hint="eastAsia" w:ascii="宋体" w:hAnsi="宋体" w:eastAsia="宋体" w:cs="宋体"/>
          <w:sz w:val="52"/>
          <w:szCs w:val="52"/>
        </w:rPr>
        <w:t>预算</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jc w:val="center"/>
        <w:rPr>
          <w:rFonts w:ascii="黑体" w:hAnsi="黑体" w:eastAsia="黑体" w:cs="黑体"/>
          <w:sz w:val="52"/>
          <w:szCs w:val="52"/>
        </w:rPr>
      </w:pPr>
      <w:r>
        <w:rPr>
          <w:rFonts w:hint="eastAsia" w:ascii="黑体" w:hAnsi="黑体" w:eastAsia="黑体" w:cs="黑体"/>
          <w:sz w:val="52"/>
          <w:szCs w:val="52"/>
        </w:rPr>
        <w:t>目录</w:t>
      </w:r>
    </w:p>
    <w:p>
      <w:pPr>
        <w:rPr>
          <w:rFonts w:ascii="黑体" w:hAnsi="黑体" w:eastAsia="黑体" w:cs="黑体"/>
          <w:sz w:val="32"/>
          <w:szCs w:val="32"/>
        </w:rPr>
      </w:pPr>
      <w:r>
        <w:rPr>
          <w:rFonts w:hint="eastAsia" w:ascii="黑体" w:hAnsi="黑体" w:eastAsia="黑体" w:cs="黑体"/>
          <w:sz w:val="32"/>
          <w:szCs w:val="32"/>
        </w:rPr>
        <w:t>第一部分   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联合会概况</w:t>
      </w:r>
    </w:p>
    <w:p>
      <w:pPr>
        <w:rPr>
          <w:rFonts w:ascii="黑体" w:hAnsi="黑体" w:eastAsia="黑体" w:cs="黑体"/>
          <w:sz w:val="32"/>
          <w:szCs w:val="32"/>
        </w:rPr>
      </w:pPr>
      <w:r>
        <w:rPr>
          <w:rFonts w:hint="eastAsia" w:ascii="黑体" w:hAnsi="黑体" w:eastAsia="黑体" w:cs="黑体"/>
          <w:sz w:val="32"/>
          <w:szCs w:val="32"/>
        </w:rPr>
        <w:t>一、主要职能</w:t>
      </w:r>
    </w:p>
    <w:p>
      <w:pPr>
        <w:rPr>
          <w:rFonts w:ascii="黑体" w:hAnsi="黑体" w:eastAsia="黑体" w:cs="黑体"/>
          <w:sz w:val="32"/>
          <w:szCs w:val="32"/>
        </w:rPr>
      </w:pPr>
      <w:r>
        <w:rPr>
          <w:rFonts w:hint="eastAsia" w:ascii="黑体" w:hAnsi="黑体" w:eastAsia="黑体" w:cs="黑体"/>
          <w:sz w:val="32"/>
          <w:szCs w:val="32"/>
        </w:rPr>
        <w:t>二、部门预算单位构成</w:t>
      </w:r>
    </w:p>
    <w:p>
      <w:pPr>
        <w:rPr>
          <w:rFonts w:ascii="黑体" w:hAnsi="黑体" w:eastAsia="黑体" w:cs="黑体"/>
          <w:sz w:val="32"/>
          <w:szCs w:val="32"/>
        </w:rPr>
      </w:pPr>
      <w:r>
        <w:rPr>
          <w:rFonts w:hint="eastAsia" w:ascii="黑体" w:hAnsi="黑体" w:eastAsia="黑体" w:cs="黑体"/>
          <w:sz w:val="32"/>
          <w:szCs w:val="32"/>
        </w:rPr>
        <w:t>第二部分  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w:t>
      </w:r>
      <w:r>
        <w:rPr>
          <w:rFonts w:hint="eastAsia" w:ascii="黑体" w:hAnsi="黑体" w:eastAsia="黑体" w:cs="黑体"/>
          <w:sz w:val="32"/>
          <w:szCs w:val="32"/>
          <w:lang w:val="en-US" w:eastAsia="zh-CN"/>
        </w:rPr>
        <w:t>单位</w:t>
      </w:r>
      <w:r>
        <w:rPr>
          <w:rFonts w:hint="eastAsia" w:ascii="黑体" w:hAnsi="黑体" w:eastAsia="黑体" w:cs="黑体"/>
          <w:sz w:val="32"/>
          <w:szCs w:val="32"/>
        </w:rPr>
        <w:t>预算表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一、财政拨款收支总表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二、一般公共预算支出表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三、一般公共预算基本支出表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四、一般公共预算“三公”经费支出表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五、政府性基金预算支出表。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六、政府性基金预算“三公”经费支出表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七、</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收支总表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八、</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收入总表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九、</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支出总表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十、项目支出绩效信息表</w:t>
      </w:r>
    </w:p>
    <w:p>
      <w:pPr>
        <w:ind w:left="1600" w:hanging="1600" w:hangingChars="500"/>
        <w:rPr>
          <w:rFonts w:ascii="黑体" w:hAnsi="黑体" w:eastAsia="黑体" w:cs="黑体"/>
          <w:sz w:val="32"/>
          <w:szCs w:val="32"/>
        </w:rPr>
      </w:pPr>
      <w:r>
        <w:rPr>
          <w:rFonts w:hint="eastAsia" w:ascii="黑体" w:hAnsi="黑体" w:eastAsia="黑体" w:cs="黑体"/>
          <w:sz w:val="32"/>
          <w:szCs w:val="32"/>
        </w:rPr>
        <w:t>第三部分  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w:t>
      </w:r>
      <w:r>
        <w:rPr>
          <w:rFonts w:hint="eastAsia" w:ascii="黑体" w:hAnsi="黑体" w:eastAsia="黑体" w:cs="黑体"/>
          <w:sz w:val="32"/>
          <w:szCs w:val="32"/>
          <w:lang w:val="en-US" w:eastAsia="zh-CN"/>
        </w:rPr>
        <w:t>单位</w:t>
      </w:r>
      <w:r>
        <w:rPr>
          <w:rFonts w:hint="eastAsia" w:ascii="黑体" w:hAnsi="黑体" w:eastAsia="黑体" w:cs="黑体"/>
          <w:sz w:val="32"/>
          <w:szCs w:val="32"/>
        </w:rPr>
        <w:t>预算情况说明</w:t>
      </w:r>
    </w:p>
    <w:p>
      <w:pPr>
        <w:rPr>
          <w:rFonts w:ascii="黑体" w:hAnsi="黑体" w:eastAsia="黑体" w:cs="黑体"/>
          <w:sz w:val="32"/>
          <w:szCs w:val="32"/>
        </w:rPr>
      </w:pPr>
      <w:r>
        <w:rPr>
          <w:rFonts w:hint="eastAsia" w:ascii="黑体" w:hAnsi="黑体" w:eastAsia="黑体" w:cs="黑体"/>
          <w:sz w:val="32"/>
          <w:szCs w:val="32"/>
        </w:rPr>
        <w:t>第四部分  名词解释</w:t>
      </w:r>
    </w:p>
    <w:p>
      <w:pPr>
        <w:rPr>
          <w:rFonts w:ascii="黑体" w:hAnsi="黑体" w:eastAsia="黑体" w:cs="黑体"/>
          <w:sz w:val="32"/>
          <w:szCs w:val="32"/>
        </w:rPr>
      </w:pPr>
    </w:p>
    <w:p>
      <w:pPr>
        <w:rPr>
          <w:rFonts w:ascii="黑体" w:hAnsi="黑体" w:eastAsia="黑体" w:cs="黑体"/>
          <w:sz w:val="32"/>
          <w:szCs w:val="32"/>
        </w:rPr>
      </w:pPr>
    </w:p>
    <w:p>
      <w:pPr>
        <w:rPr>
          <w:rFonts w:ascii="黑体" w:hAnsi="黑体" w:eastAsia="黑体" w:cs="黑体"/>
          <w:sz w:val="32"/>
          <w:szCs w:val="32"/>
        </w:rPr>
      </w:pPr>
      <w:bookmarkStart w:id="0" w:name="_GoBack"/>
      <w:bookmarkEnd w:id="0"/>
    </w:p>
    <w:p>
      <w:pPr>
        <w:rPr>
          <w:rFonts w:ascii="黑体" w:hAnsi="黑体" w:eastAsia="黑体" w:cs="黑体"/>
          <w:sz w:val="32"/>
          <w:szCs w:val="32"/>
        </w:rPr>
      </w:pPr>
    </w:p>
    <w:p>
      <w:pPr>
        <w:rPr>
          <w:rFonts w:ascii="黑体" w:hAnsi="黑体" w:eastAsia="黑体" w:cs="黑体"/>
          <w:sz w:val="32"/>
          <w:szCs w:val="32"/>
        </w:rPr>
      </w:pPr>
    </w:p>
    <w:p>
      <w:pPr>
        <w:jc w:val="center"/>
        <w:rPr>
          <w:rFonts w:ascii="黑体" w:hAnsi="黑体" w:eastAsia="黑体" w:cs="黑体"/>
          <w:sz w:val="32"/>
          <w:szCs w:val="32"/>
        </w:rPr>
      </w:pPr>
      <w:r>
        <w:rPr>
          <w:rFonts w:hint="eastAsia" w:ascii="黑体" w:hAnsi="黑体" w:eastAsia="黑体" w:cs="黑体"/>
          <w:sz w:val="32"/>
          <w:szCs w:val="32"/>
        </w:rPr>
        <w:t>第一部分  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联合会概况</w:t>
      </w:r>
    </w:p>
    <w:p>
      <w:pPr>
        <w:jc w:val="center"/>
        <w:rPr>
          <w:rFonts w:ascii="黑体" w:hAnsi="黑体" w:eastAsia="黑体" w:cs="黑体"/>
          <w:sz w:val="32"/>
          <w:szCs w:val="32"/>
        </w:rPr>
      </w:pPr>
    </w:p>
    <w:p>
      <w:pPr>
        <w:rPr>
          <w:rFonts w:ascii="黑体" w:hAnsi="黑体" w:eastAsia="黑体" w:cs="黑体"/>
          <w:sz w:val="32"/>
          <w:szCs w:val="32"/>
        </w:rPr>
      </w:pPr>
      <w:r>
        <w:rPr>
          <w:rFonts w:hint="eastAsia" w:ascii="黑体" w:hAnsi="黑体" w:eastAsia="黑体" w:cs="黑体"/>
          <w:sz w:val="32"/>
          <w:szCs w:val="32"/>
        </w:rPr>
        <w:t>一、主要职能</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三亚市工商联是党和政府联系非公有制经济人士的桥梁和纽带，是政府管理非公经济的助手。三亚市工商联工作的主要职能：</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１、贯彻执行党的基本路线。积极引导教育非公经济组织人士爱国、敬业，认真学习，自觉遵守国家的政策法令，履行应尽的社会责任。 </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 、参政议政、民主监督，积极向市政府和有关部门及时反映非公有制经济人士意见、要求，积极维护会员的合法权益。</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 、为非公有制经济组织提供市场、技术、商品等信息，组织有关管理、法律、会计、融资等各种形式的咨询服务活动；参与有关仲裁工作。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4 、经市政府委托和批准，举办和组织非公有制经济人士参加各种对内、对外展销会和交易会，组织会员到境内外考察，为会员办理有关证照。 </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5 、开展与全国工商联、企业家协会等全国性商会、企业协会组织及港澳台同胞、海外侨胞、华人中的商会、社会、工商界人士的联络工作，协调会员的关系，协助企业引进资金、人才和技术。</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6、开展非公经济组织党建设工作。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7、经有关部门批准举办各种专业、职业培训。</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8、办理市委、市政府授权的其他有关事宜。  </w:t>
      </w:r>
    </w:p>
    <w:p>
      <w:pPr>
        <w:rPr>
          <w:rFonts w:ascii="黑体" w:hAnsi="黑体" w:eastAsia="黑体" w:cs="黑体"/>
          <w:sz w:val="32"/>
          <w:szCs w:val="32"/>
        </w:rPr>
      </w:pPr>
      <w:r>
        <w:rPr>
          <w:rFonts w:hint="eastAsia" w:ascii="黑体" w:hAnsi="黑体" w:eastAsia="黑体" w:cs="黑体"/>
          <w:sz w:val="32"/>
          <w:szCs w:val="32"/>
        </w:rPr>
        <w:t>二、部门预算单位构成</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纳入</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2023年部门预算编制范围的二级预算单位无。根据“三定”方案工作职责和《三亚市机构编制委员会关于加强“两新”组织党建工作调整相关机构编制设置的通知》，本部门内设机构有办公室、经济联络科，非公有制经济组织委员会、非公经济组织党群服务中心。</w:t>
      </w:r>
    </w:p>
    <w:p>
      <w:pPr>
        <w:rPr>
          <w:rFonts w:ascii="仿宋_GB2312" w:hAnsi="仿宋_GB2312" w:eastAsia="仿宋_GB2312" w:cs="仿宋_GB2312"/>
          <w:sz w:val="32"/>
          <w:szCs w:val="32"/>
        </w:rPr>
      </w:pPr>
    </w:p>
    <w:p>
      <w:pPr>
        <w:rPr>
          <w:rFonts w:ascii="黑体" w:hAnsi="黑体" w:eastAsia="黑体" w:cs="黑体"/>
          <w:sz w:val="32"/>
          <w:szCs w:val="32"/>
        </w:rPr>
      </w:pPr>
      <w:r>
        <w:rPr>
          <w:rFonts w:hint="eastAsia" w:ascii="黑体" w:hAnsi="黑体" w:eastAsia="黑体" w:cs="黑体"/>
          <w:sz w:val="32"/>
          <w:szCs w:val="32"/>
        </w:rPr>
        <w:t>第二部分  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w:t>
      </w:r>
      <w:r>
        <w:rPr>
          <w:rFonts w:hint="eastAsia" w:ascii="黑体" w:hAnsi="黑体" w:eastAsia="黑体" w:cs="黑体"/>
          <w:sz w:val="32"/>
          <w:szCs w:val="32"/>
          <w:lang w:val="en-US" w:eastAsia="zh-CN"/>
        </w:rPr>
        <w:t>单位</w:t>
      </w:r>
      <w:r>
        <w:rPr>
          <w:rFonts w:hint="eastAsia" w:ascii="黑体" w:hAnsi="黑体" w:eastAsia="黑体" w:cs="黑体"/>
          <w:sz w:val="32"/>
          <w:szCs w:val="32"/>
        </w:rPr>
        <w:t>预算表</w:t>
      </w:r>
    </w:p>
    <w:p>
      <w:pPr>
        <w:rPr>
          <w:rFonts w:ascii="黑体" w:hAnsi="黑体" w:eastAsia="黑体" w:cs="黑体"/>
          <w:sz w:val="32"/>
          <w:szCs w:val="32"/>
        </w:rPr>
      </w:pPr>
    </w:p>
    <w:p>
      <w:pPr>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val="en-US" w:eastAsia="zh-CN"/>
        </w:rPr>
        <w:t>单位</w:t>
      </w:r>
      <w:r>
        <w:rPr>
          <w:rFonts w:hint="eastAsia" w:ascii="仿宋_GB2312" w:hAnsi="黑体" w:eastAsia="仿宋_GB2312"/>
          <w:b/>
          <w:sz w:val="32"/>
          <w:szCs w:val="32"/>
        </w:rPr>
        <w:t>预算公开表）</w:t>
      </w:r>
    </w:p>
    <w:p>
      <w:pPr>
        <w:rPr>
          <w:rFonts w:ascii="仿宋_GB2312" w:hAnsi="仿宋_GB2312" w:eastAsia="仿宋_GB2312" w:cs="仿宋_GB2312"/>
          <w:sz w:val="32"/>
          <w:szCs w:val="32"/>
        </w:rPr>
      </w:pPr>
    </w:p>
    <w:p>
      <w:pPr>
        <w:rPr>
          <w:rFonts w:ascii="黑体" w:hAnsi="黑体" w:eastAsia="黑体" w:cs="黑体"/>
          <w:sz w:val="32"/>
          <w:szCs w:val="32"/>
        </w:rPr>
      </w:pPr>
      <w:r>
        <w:rPr>
          <w:rFonts w:hint="eastAsia" w:ascii="黑体" w:hAnsi="黑体" w:eastAsia="黑体" w:cs="黑体"/>
          <w:sz w:val="32"/>
          <w:szCs w:val="32"/>
        </w:rPr>
        <w:t>第三部分   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w:t>
      </w:r>
      <w:r>
        <w:rPr>
          <w:rFonts w:hint="eastAsia" w:ascii="黑体" w:hAnsi="黑体" w:eastAsia="黑体" w:cs="黑体"/>
          <w:sz w:val="32"/>
          <w:szCs w:val="32"/>
          <w:lang w:val="en-US" w:eastAsia="zh-CN"/>
        </w:rPr>
        <w:t>单位</w:t>
      </w:r>
      <w:r>
        <w:rPr>
          <w:rFonts w:hint="eastAsia" w:ascii="黑体" w:hAnsi="黑体" w:eastAsia="黑体" w:cs="黑体"/>
          <w:sz w:val="32"/>
          <w:szCs w:val="32"/>
        </w:rPr>
        <w:t>预算情况说明</w:t>
      </w:r>
    </w:p>
    <w:p>
      <w:pPr>
        <w:rPr>
          <w:rFonts w:ascii="仿宋_GB2312" w:hAnsi="仿宋_GB2312" w:eastAsia="仿宋_GB2312" w:cs="仿宋_GB2312"/>
          <w:sz w:val="32"/>
          <w:szCs w:val="32"/>
        </w:rPr>
      </w:pPr>
    </w:p>
    <w:p>
      <w:pPr>
        <w:rPr>
          <w:rFonts w:ascii="黑体" w:hAnsi="黑体" w:eastAsia="黑体" w:cs="黑体"/>
          <w:sz w:val="32"/>
          <w:szCs w:val="32"/>
        </w:rPr>
      </w:pPr>
      <w:r>
        <w:rPr>
          <w:rFonts w:hint="eastAsia" w:ascii="黑体" w:hAnsi="黑体" w:eastAsia="黑体" w:cs="黑体"/>
          <w:sz w:val="32"/>
          <w:szCs w:val="32"/>
        </w:rPr>
        <w:t>一、关于三亚市工商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联合会2023年财政拨款收支预算情况的总体说明</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2023年财政拨款收支总预算731万元。其中，收入总计731元，包括一般公共预算本年收入731万元、上年结转0万元，政府性基金预算本年收入0万元、上年结转0万元；支出总计731万元，包括一般公共服务支出507.11万元、社会保障和就业支出121.28万元、卫生健康支出61.55万元、住房保障支出41.05万元，结转下年0万元。</w:t>
      </w:r>
    </w:p>
    <w:p>
      <w:pPr>
        <w:rPr>
          <w:rFonts w:ascii="黑体" w:hAnsi="黑体" w:eastAsia="黑体" w:cs="黑体"/>
          <w:sz w:val="32"/>
          <w:szCs w:val="32"/>
        </w:rPr>
      </w:pPr>
      <w:r>
        <w:rPr>
          <w:rFonts w:hint="eastAsia" w:ascii="黑体" w:hAnsi="黑体" w:eastAsia="黑体" w:cs="黑体"/>
          <w:sz w:val="32"/>
          <w:szCs w:val="32"/>
        </w:rPr>
        <w:t>二、关于三亚市工商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联合会2023年一般公共预算当年拨款情况说明</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（一）一般公共预算当年规模变化情况</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市工商联2023年一般公共预算当年拨款731万元，比上年预算数增加109.75万元，主要原因为，一是接收安置军转干部，人数增加1 人，工资预算数增加；二是历年职业年金记实，较大增加预算数；三是正常晋升工资标准调整，相应社会保障、医疗补助、公积金等基本支出预算增加。</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（二）一般公共预算当年拨款结构情况</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一般公共服务（类）支出507.11万元，占69.4%；社会保障和就业支出121.28万元，占16.6%；卫生健康支出61.55万元，占8.4%；住房保障支出41.05万元，占5.6%。</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（三）一般公共预算当年拨款具体使用情况</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一般公共服务（类）民主党派及工商联事务（款）行政运行（项）2023年预算数为399.11万元，比上年预算数增加21.09万元，主要是按组织任命安置军转干部人员1人，人员基本工资增加、各类津贴补贴、日常公用经费等支出相对增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 一般公共服务（类）民主党派及工商联事务（款）一般行政管理事务（项）2023年预算数为108万元，比上年预算数增加2.5万元，主要是用于本部门及设备购置、网络维护、信息服务建设等专项项目支出略有增加。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 社会保障和就业支出（类）行政事业单位养老支出（款） 机关事业单位基本养老保险缴费支出（项）2023年预算数为46.82万元，比上年预算数增加11.41万元，主要是本年度新增军转干部1人和单位人员基本养老保险缴费基数按新政策调整测算，此预算额度相应增加。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4.社会保障和就业支出（类）行政事业单位养老支出（款） 机关事业单位职业年金缴费支出（项）2023年预算数为69.91万元，比上年预算数增加53.11万元，主要是根据政策本部门全体人员需记实历年职业年金，补交历年职业年金费。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5. 社会保障和就业支出（类）抚恤（款）其他优抚支出（项）2023年预算数为4.56万元，比上年预算数增加0.72万元，主要是遗属生活困难补助预算标准逐年调整增加，用于本部门2人遗属人员生活困难补助。</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6、卫生健康支出（类）行政事业单位医疗（款）行政单位医疗（项）2023年预算数为21.21万元，比上年预算数增加2.4万元，主要是在职人员增加1人，用于单位在职人员医疗保险、生育保险费等的支出相应增加。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7、 卫生健康支出（类）行政事业单位医疗（款）公务员医疗补助（项）2023年预算数为40.34万元，比上年预算数增加10.41万元，主要是在职人员增加1人，人员工资正常晋升、工资标准调整，用于单位在职及退休人员公务员医疗补贴的支出相应增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8. 住房保障支出（类）住房改革支出（款）住房公积金（项）2023年预算数为41.05万元，比上年预算数增加11.61万元，主要一是人员增加1人；二是按政策纳入住房公积金基数增大，用于在职人员住房公积金支出相应增加。</w:t>
      </w:r>
    </w:p>
    <w:p>
      <w:pPr>
        <w:rPr>
          <w:rFonts w:ascii="黑体" w:hAnsi="黑体" w:eastAsia="黑体" w:cs="黑体"/>
          <w:sz w:val="32"/>
          <w:szCs w:val="32"/>
        </w:rPr>
      </w:pPr>
      <w:r>
        <w:rPr>
          <w:rFonts w:hint="eastAsia" w:ascii="黑体" w:hAnsi="黑体" w:eastAsia="黑体" w:cs="黑体"/>
          <w:sz w:val="32"/>
          <w:szCs w:val="32"/>
        </w:rPr>
        <w:t>三、关于三亚市工商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联合会2023年一般公共预算基本支出情况说明</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2023年一般公共预算基本支出为623万元，其中：人员经费583.41万元，主要包括：基本工资、津贴补贴、奖金、绩效工资、机关事业单位基本养老保险缴费、职业年金缴费、职工基本医疗保险缴费、公务员医疗补助缴费、其他社会保障缴费、住房公积金、医疗费、其他工资福利支出、邮电费、其他交通费用、生活补助、奖励金等。</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公用经费39.59万元，主要包括：其他社会保障缴费、办公费、会议费、培训费、工会经费、福利费、公务用车运行维护费、其他商品和服务支出、生活补助、其他对个人和家庭的补助等。</w:t>
      </w:r>
    </w:p>
    <w:p>
      <w:pPr>
        <w:rPr>
          <w:rFonts w:ascii="黑体" w:hAnsi="黑体" w:eastAsia="黑体" w:cs="黑体"/>
          <w:sz w:val="32"/>
          <w:szCs w:val="32"/>
        </w:rPr>
      </w:pPr>
      <w:r>
        <w:rPr>
          <w:rFonts w:hint="eastAsia" w:ascii="黑体" w:hAnsi="黑体" w:eastAsia="黑体" w:cs="黑体"/>
          <w:sz w:val="32"/>
          <w:szCs w:val="32"/>
        </w:rPr>
        <w:t>四、三亚市工商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联合会2023年“三公”经费预算情况说明</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（一）</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市工商联2023年一般公共预算“三公”经费预算数为2.16万元，其中：</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因公出国（境）经费0万元，与上年预算持平。根据有关部门（如外事部门等）安排的2023年出国计划，拟安排出国（境）组0次，无出国计划，出国（境）0人。出国（境）团组主要包括：0团组，目的地为0，人数为0人，天数为0天，主要无出国任务。公务用车购置及运行费1.81万元（其中，公务用车购置费0万元，公务用车运行费1.81万元），与上年预算持平。持平的主要原因包括：严格公务用车的运行的管理，加强用车制度等，运行维护费支出按标准定额预算，公务车保有量1辆，计划购置0辆；公务接待费0.35万元，与上年预算持平，主要原因是：严格遵守“八项规定”，厉行勤俭节约，按要求严格压缩控制预算数，各级各项交流、互访、调研等接待活动相应减少，计划接待4批25人。</w:t>
      </w:r>
    </w:p>
    <w:p>
      <w:pPr>
        <w:rPr>
          <w:rFonts w:ascii="Times New Roman" w:hAnsi="Times New Roman" w:eastAsia="仿宋_GB2312" w:cs="Times New Roman"/>
          <w:sz w:val="32"/>
          <w:shd w:val="clear" w:color="auto" w:fill="FFFFFF"/>
        </w:rPr>
      </w:pPr>
      <w:r>
        <w:rPr>
          <w:rFonts w:hint="eastAsia" w:ascii="仿宋_GB2312" w:hAnsi="仿宋_GB2312" w:eastAsia="仿宋_GB2312" w:cs="仿宋_GB2312"/>
          <w:sz w:val="32"/>
          <w:szCs w:val="32"/>
        </w:rPr>
        <w:t xml:space="preserve">    （二）</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市工商联2023年政府性基金预算“三公”经费预算数为0万元，</w:t>
      </w:r>
      <w:r>
        <w:rPr>
          <w:rFonts w:hint="eastAsia" w:ascii="仿宋_GB2312" w:hAnsi="仿宋_GB2312" w:eastAsia="仿宋_GB2312" w:cs="仿宋_GB2312"/>
          <w:sz w:val="32"/>
          <w:szCs w:val="32"/>
          <w:lang w:eastAsia="zh-CN"/>
        </w:rPr>
        <w:t>其中：</w:t>
      </w: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市委市政府和</w:t>
      </w:r>
      <w:r>
        <w:rPr>
          <w:rFonts w:ascii="Times New Roman" w:hAnsi="Times New Roman" w:eastAsia="仿宋_GB2312" w:cs="Times New Roman"/>
          <w:sz w:val="32"/>
          <w:shd w:val="clear" w:color="auto" w:fill="FFFFFF"/>
        </w:rPr>
        <w:t>外事部门</w:t>
      </w:r>
      <w:r>
        <w:rPr>
          <w:rFonts w:hint="eastAsia" w:ascii="Times New Roman" w:hAnsi="Times New Roman" w:eastAsia="仿宋_GB2312" w:cs="Times New Roman"/>
          <w:sz w:val="32"/>
          <w:shd w:val="clear" w:color="auto" w:fill="FFFFFF"/>
          <w:lang w:eastAsia="zh-CN"/>
        </w:rPr>
        <w:t>等</w:t>
      </w:r>
      <w:r>
        <w:rPr>
          <w:rFonts w:ascii="Times New Roman" w:hAnsi="Times New Roman" w:eastAsia="仿宋_GB2312" w:cs="Times New Roman"/>
          <w:sz w:val="32"/>
          <w:shd w:val="clear" w:color="auto" w:fill="FFFFFF"/>
        </w:rPr>
        <w:t>安排的</w:t>
      </w:r>
      <w:r>
        <w:rPr>
          <w:rFonts w:hint="eastAsia" w:ascii="Times New Roman" w:hAnsi="Times New Roman" w:eastAsia="仿宋_GB2312" w:cs="Times New Roman"/>
          <w:sz w:val="32"/>
          <w:shd w:val="clear" w:color="auto" w:fill="FFFFFF"/>
          <w:lang w:val="en-US" w:eastAsia="zh-CN"/>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团组</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目的地</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任务</w:t>
      </w:r>
      <w:r>
        <w:rPr>
          <w:rFonts w:hint="eastAsia" w:ascii="Times New Roman" w:hAnsi="Times New Roman" w:eastAsia="仿宋_GB2312" w:cs="Times New Roman"/>
          <w:sz w:val="32"/>
          <w:shd w:val="clear" w:color="auto" w:fill="FFFFFF"/>
          <w:lang w:eastAsia="zh-CN"/>
        </w:rPr>
        <w:t>安排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是无此预算</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rPr>
          <w:rFonts w:hint="eastAsia" w:ascii="仿宋_GB2312" w:hAnsi="仿宋_GB2312" w:eastAsia="仿宋_GB2312" w:cs="仿宋_GB2312"/>
          <w:sz w:val="32"/>
          <w:szCs w:val="32"/>
        </w:rPr>
      </w:pPr>
    </w:p>
    <w:p>
      <w:pPr>
        <w:ind w:left="640" w:hanging="640" w:hangingChars="200"/>
        <w:rPr>
          <w:rFonts w:ascii="黑体" w:hAnsi="黑体" w:eastAsia="黑体" w:cs="黑体"/>
          <w:sz w:val="32"/>
          <w:szCs w:val="32"/>
        </w:rPr>
      </w:pPr>
      <w:r>
        <w:rPr>
          <w:rFonts w:hint="eastAsia" w:ascii="黑体" w:hAnsi="黑体" w:eastAsia="黑体" w:cs="黑体"/>
          <w:sz w:val="32"/>
          <w:szCs w:val="32"/>
        </w:rPr>
        <w:t>五、关于三亚市工商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联合会2023年政府性基金预算当年拨款情况说明</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（一）政府性基金预算当年规模变化情况</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市工商联2023年政府性基金预算当年拨款0万元，与上年预算数持平，无政府性基金预算。</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（二）政府性基金预算当年拨款结构情况</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科学技术支出（类）支出0万元，占0%；文化体育与传媒支出（类）支出0万元，占0%；社会保障和就业支出（类）支出0万元，占0%；节能环保（类）支出0万元，占0%。</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（三）政府性基金预算当年拨款具体使用情况</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 科学技术支出（类）核电站乏燃料处理处置基金支出（款）乏燃料运输（项）2023年预算数为0万元，与上年预算数持平0万元，无政府性基金预算。</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 科学技术支出（类）核电站乏燃料处理处置基金支出（款）乏燃料离堆贮存（项）2023年预算数为0万元，与上年预算数持平0万元，无政府性基金预算。</w:t>
      </w:r>
    </w:p>
    <w:p>
      <w:pPr>
        <w:rPr>
          <w:rFonts w:ascii="黑体" w:hAnsi="黑体" w:eastAsia="黑体" w:cs="黑体"/>
          <w:sz w:val="32"/>
          <w:szCs w:val="32"/>
        </w:rPr>
      </w:pPr>
      <w:r>
        <w:rPr>
          <w:rFonts w:hint="eastAsia" w:ascii="黑体" w:hAnsi="黑体" w:eastAsia="黑体" w:cs="黑体"/>
          <w:sz w:val="32"/>
          <w:szCs w:val="32"/>
        </w:rPr>
        <w:t>六、关于三亚市工商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联合会2023年收支预算情况的总体说明</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按照综合预算原则，三亚市工商业联合会所有收入和支出均纳入部门预算管理。收入包括：一般公共预算收入；支出包括：一般公共服务支出、社会保障和就业支出、卫生健康支出、住房保障支出。三亚市工商业联合会2023年收支总预算731万元。    </w:t>
      </w:r>
    </w:p>
    <w:p>
      <w:pPr>
        <w:rPr>
          <w:rFonts w:ascii="黑体" w:hAnsi="黑体" w:eastAsia="黑体" w:cs="黑体"/>
          <w:sz w:val="32"/>
          <w:szCs w:val="32"/>
        </w:rPr>
      </w:pPr>
      <w:r>
        <w:rPr>
          <w:rFonts w:hint="eastAsia" w:ascii="黑体" w:hAnsi="黑体" w:eastAsia="黑体" w:cs="黑体"/>
          <w:sz w:val="32"/>
          <w:szCs w:val="32"/>
        </w:rPr>
        <w:t>七、关于三亚市工商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联合会2023年收入预算情况说明</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 xml:space="preserve">市工商联2023年收入预算731万元，其中：上年结转0万元，占0%；经费拨款收入731万元，占100%；政府性基金收入0万元，占0%；专项收入0万元，占0%。比上年预算数增加109.75万元，主要是按照市委市政府有关规定本年度新增安置军转干部1人，在职人员记实交纳历年职业年金费，“五险一金”交费基数调整等，造成人员基本支出预算总数相应增加。 </w:t>
      </w:r>
    </w:p>
    <w:p>
      <w:pPr>
        <w:rPr>
          <w:rFonts w:ascii="黑体" w:hAnsi="黑体" w:eastAsia="黑体" w:cs="黑体"/>
          <w:sz w:val="32"/>
          <w:szCs w:val="32"/>
        </w:rPr>
      </w:pPr>
      <w:r>
        <w:rPr>
          <w:rFonts w:hint="eastAsia" w:ascii="黑体" w:hAnsi="黑体" w:eastAsia="黑体" w:cs="黑体"/>
          <w:sz w:val="32"/>
          <w:szCs w:val="32"/>
        </w:rPr>
        <w:t>八、关于三亚市工商</w:t>
      </w:r>
      <w:r>
        <w:rPr>
          <w:rFonts w:hint="eastAsia" w:ascii="黑体" w:hAnsi="黑体" w:eastAsia="黑体" w:cs="黑体"/>
          <w:sz w:val="32"/>
          <w:szCs w:val="32"/>
          <w:lang w:eastAsia="zh-CN"/>
        </w:rPr>
        <w:t>业</w:t>
      </w:r>
      <w:r>
        <w:rPr>
          <w:rFonts w:hint="eastAsia" w:ascii="黑体" w:hAnsi="黑体" w:eastAsia="黑体" w:cs="黑体"/>
          <w:sz w:val="32"/>
          <w:szCs w:val="32"/>
        </w:rPr>
        <w:t>联合会2023年支出预算情况说明</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2023年支出预算731万元，其中：基本支出623万元，占85.2%；项目支出108万元，占14.8%。比上年预算数减少1万元，主要是受疫情影响，项目支出进度过缓，按照有关政策规定压缩减少项目预算比例。但随着本部门人员的增加，基本支出预算是相应增加的。</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九、其他重要事项的情况说明</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（一）机关运行经费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2023年</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市工商联本级的机关运行经费预算39.59万元。</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（二）政府采购情况</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2023年</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市工商联本级及下属各预算单位政府采购预算总额1.3万元，其中：政府采购货物预算1.3万元，政府采购工程预算0万元，政府采购服务预算0万元。</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（三）国有资产占有使用情况</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截至2022年12月31日，</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市工商联本级及下属各预算单位共有车辆1辆，其中，领导干部用车0辆，机要通信应急用车1辆、一般执法执勤用车0辆、特种专业技术用车0辆、其他用车0辆。单位价值100万元以上设备0台（套）。</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（四）绩效目标设置情况</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2023年</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市工商联15个项目实行绩效目标管理，涉及一般公共预算731万元、政府性基金0万元。</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黑体" w:hAnsi="黑体" w:eastAsia="黑体" w:cs="黑体"/>
          <w:sz w:val="32"/>
          <w:szCs w:val="32"/>
        </w:rPr>
      </w:pPr>
      <w:r>
        <w:rPr>
          <w:rFonts w:hint="eastAsia" w:ascii="黑体" w:hAnsi="黑体" w:eastAsia="黑体" w:cs="黑体"/>
          <w:sz w:val="32"/>
          <w:szCs w:val="32"/>
        </w:rPr>
        <w:t>第四部分  名词解释</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一、财政拨款收入：指本级财政当年拨付的资金。</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二、事业收入：指事业单位开展专业业务活动及辅助活动取得的收入。</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三、经营收入：指事业单位在专业业务活动及其辅助活动之外开展非独立核算经营活动取得的收入。</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四、其他收入：指除上述“财政拨款收入”“事业收入”“经营收入”等以外的收入。</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五、年初结转和结余：指以前年度尚未完成、结转到本年按有关规定继续使用的资金。</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六、基本支出：指行政事业单位用于为保障其机构正常运转、完成日常工作任务而发生的人员支出和公用支出。   </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七、工资福利支出：反映单位开支的在职职工和编制外长期聘用人员的各类劳动报酬，以及为上述人员缴纳的各项社会保险费等。</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八、对个人和家庭的补助支出：反映政府用于对个人和家庭的补助支出，包括离休费、退休费、退职（役）费、抚恤金、生活补助、救济费、医疗费补助、助学金、独生子女奖励金、个人农业生产补贴、代缴社会保险费、其他等。</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十、项目支出：指各部门、各单位为完成其特定的工作任务和事业发展目标所发生的支出。</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3NTE5MGVjZWRmZTU0YWIwZTUwMmEwOTkxZjczYTYifQ=="/>
  </w:docVars>
  <w:rsids>
    <w:rsidRoot w:val="0A2E45BB"/>
    <w:rsid w:val="00622C88"/>
    <w:rsid w:val="00F52BAF"/>
    <w:rsid w:val="031C2553"/>
    <w:rsid w:val="0371289F"/>
    <w:rsid w:val="064E6204"/>
    <w:rsid w:val="0A2E45BB"/>
    <w:rsid w:val="0F931DEF"/>
    <w:rsid w:val="138A175B"/>
    <w:rsid w:val="18DD5D80"/>
    <w:rsid w:val="1D5E3A3C"/>
    <w:rsid w:val="252C2672"/>
    <w:rsid w:val="351D1FD7"/>
    <w:rsid w:val="37EB70CB"/>
    <w:rsid w:val="3AA7481D"/>
    <w:rsid w:val="3D5E01D7"/>
    <w:rsid w:val="428B2A81"/>
    <w:rsid w:val="45012D7B"/>
    <w:rsid w:val="4A477482"/>
    <w:rsid w:val="4DD74506"/>
    <w:rsid w:val="500435F0"/>
    <w:rsid w:val="51B01DB1"/>
    <w:rsid w:val="52695CE7"/>
    <w:rsid w:val="58E95BA9"/>
    <w:rsid w:val="59AC7302"/>
    <w:rsid w:val="63F20007"/>
    <w:rsid w:val="65406674"/>
    <w:rsid w:val="6CB13B4C"/>
    <w:rsid w:val="6E5E3879"/>
    <w:rsid w:val="75BE5F9B"/>
    <w:rsid w:val="79FDFEA1"/>
    <w:rsid w:val="CFFF122F"/>
    <w:rsid w:val="FE7D13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823</Words>
  <Characters>4696</Characters>
  <Lines>39</Lines>
  <Paragraphs>11</Paragraphs>
  <TotalTime>11</TotalTime>
  <ScaleCrop>false</ScaleCrop>
  <LinksUpToDate>false</LinksUpToDate>
  <CharactersWithSpaces>5508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2023-02-09T08:51:00Z</dcterms:created>
  <dc:creator>hgj</dc:creator>
  <cp:lastModifiedBy>wz</cp:lastModifiedBy>
  <dcterms:modified xsi:type="dcterms:W3CDTF">2024-07-25T00:20:56Z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9915DC0776A64239BC6C9CD16B23E99C_13</vt:lpwstr>
  </property>
</Properties>
</file>