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
    <w:p/>
    <w:p/>
    <w:p/>
    <w:p/>
    <w:p/>
    <w:p/>
    <w:p>
      <w:pPr>
        <w:jc w:val="center"/>
        <w:rPr>
          <w:rFonts w:asciiTheme="majorEastAsia" w:hAnsiTheme="majorEastAsia" w:eastAsiaTheme="majorEastAsia" w:cstheme="majorEastAsia"/>
          <w:sz w:val="52"/>
          <w:szCs w:val="52"/>
        </w:rPr>
      </w:pPr>
    </w:p>
    <w:p>
      <w:pPr>
        <w:jc w:val="center"/>
        <w:rPr>
          <w:rFonts w:ascii="黑体" w:hAnsi="黑体" w:eastAsia="黑体"/>
          <w:sz w:val="44"/>
          <w:szCs w:val="44"/>
        </w:rPr>
      </w:pPr>
      <w:r>
        <w:rPr>
          <w:rFonts w:hint="eastAsia" w:ascii="黑体" w:hAnsi="黑体" w:eastAsia="黑体"/>
          <w:sz w:val="44"/>
          <w:szCs w:val="44"/>
        </w:rPr>
        <w:t>202</w:t>
      </w:r>
      <w:r>
        <w:rPr>
          <w:rFonts w:hint="eastAsia" w:ascii="黑体" w:hAnsi="黑体" w:eastAsia="黑体"/>
          <w:sz w:val="44"/>
          <w:szCs w:val="44"/>
          <w:lang w:val="en-US" w:eastAsia="zh-CN"/>
        </w:rPr>
        <w:t>3</w:t>
      </w:r>
      <w:r>
        <w:rPr>
          <w:rFonts w:hint="eastAsia" w:ascii="黑体" w:hAnsi="黑体" w:eastAsia="黑体"/>
          <w:sz w:val="44"/>
          <w:szCs w:val="44"/>
        </w:rPr>
        <w:t>年三亚市中医院预算</w:t>
      </w:r>
    </w:p>
    <w:p>
      <w:pPr>
        <w:jc w:val="center"/>
        <w:rPr>
          <w:rFonts w:asciiTheme="majorEastAsia" w:hAnsiTheme="majorEastAsia" w:eastAsiaTheme="majorEastAsia" w:cstheme="majorEastAsia"/>
          <w:sz w:val="52"/>
          <w:szCs w:val="52"/>
        </w:rPr>
      </w:pPr>
    </w:p>
    <w:p>
      <w:pPr>
        <w:jc w:val="center"/>
        <w:rPr>
          <w:rFonts w:asciiTheme="majorEastAsia" w:hAnsiTheme="majorEastAsia" w:eastAsiaTheme="majorEastAsia" w:cstheme="majorEastAsia"/>
          <w:sz w:val="52"/>
          <w:szCs w:val="52"/>
        </w:rPr>
      </w:pPr>
    </w:p>
    <w:p>
      <w:pPr>
        <w:jc w:val="center"/>
        <w:rPr>
          <w:rFonts w:asciiTheme="majorEastAsia" w:hAnsiTheme="majorEastAsia" w:eastAsiaTheme="majorEastAsia" w:cstheme="majorEastAsia"/>
          <w:sz w:val="52"/>
          <w:szCs w:val="52"/>
        </w:rPr>
      </w:pPr>
    </w:p>
    <w:p>
      <w:pPr>
        <w:jc w:val="center"/>
        <w:rPr>
          <w:rFonts w:asciiTheme="majorEastAsia" w:hAnsiTheme="majorEastAsia" w:eastAsiaTheme="majorEastAsia" w:cstheme="majorEastAsia"/>
          <w:sz w:val="52"/>
          <w:szCs w:val="52"/>
        </w:rPr>
      </w:pPr>
    </w:p>
    <w:p>
      <w:pPr>
        <w:jc w:val="center"/>
        <w:rPr>
          <w:rFonts w:asciiTheme="majorEastAsia" w:hAnsiTheme="majorEastAsia" w:eastAsiaTheme="majorEastAsia" w:cstheme="majorEastAsia"/>
          <w:sz w:val="52"/>
          <w:szCs w:val="52"/>
        </w:rPr>
      </w:pPr>
    </w:p>
    <w:p>
      <w:pPr>
        <w:jc w:val="center"/>
        <w:rPr>
          <w:rFonts w:asciiTheme="majorEastAsia" w:hAnsiTheme="majorEastAsia" w:eastAsiaTheme="majorEastAsia" w:cstheme="majorEastAsia"/>
          <w:sz w:val="52"/>
          <w:szCs w:val="52"/>
        </w:rPr>
      </w:pPr>
    </w:p>
    <w:p>
      <w:pPr>
        <w:jc w:val="center"/>
        <w:rPr>
          <w:rFonts w:asciiTheme="majorEastAsia" w:hAnsiTheme="majorEastAsia" w:eastAsiaTheme="majorEastAsia" w:cstheme="majorEastAsia"/>
          <w:sz w:val="52"/>
          <w:szCs w:val="52"/>
        </w:rPr>
      </w:pPr>
    </w:p>
    <w:p>
      <w:pPr>
        <w:jc w:val="center"/>
        <w:rPr>
          <w:rFonts w:asciiTheme="majorEastAsia" w:hAnsiTheme="majorEastAsia" w:eastAsiaTheme="majorEastAsia" w:cstheme="majorEastAsia"/>
          <w:sz w:val="52"/>
          <w:szCs w:val="52"/>
        </w:rPr>
      </w:pPr>
    </w:p>
    <w:p>
      <w:pPr>
        <w:jc w:val="center"/>
        <w:rPr>
          <w:rFonts w:asciiTheme="majorEastAsia" w:hAnsiTheme="majorEastAsia" w:eastAsiaTheme="majorEastAsia" w:cstheme="majorEastAsia"/>
          <w:sz w:val="52"/>
          <w:szCs w:val="52"/>
        </w:rPr>
      </w:pPr>
    </w:p>
    <w:p>
      <w:pPr>
        <w:spacing w:line="500" w:lineRule="exact"/>
        <w:jc w:val="center"/>
        <w:rPr>
          <w:rFonts w:hint="eastAsia" w:ascii="黑体" w:hAnsi="黑体" w:eastAsia="黑体"/>
          <w:sz w:val="52"/>
          <w:szCs w:val="52"/>
          <w:highlight w:val="none"/>
        </w:rPr>
      </w:pPr>
      <w:r>
        <w:rPr>
          <w:rFonts w:hint="eastAsia" w:ascii="黑体" w:hAnsi="黑体" w:eastAsia="黑体"/>
          <w:sz w:val="52"/>
          <w:szCs w:val="52"/>
          <w:highlight w:val="none"/>
        </w:rPr>
        <w:t>目</w:t>
      </w:r>
      <w:r>
        <w:rPr>
          <w:rFonts w:hint="eastAsia" w:ascii="黑体" w:hAnsi="黑体" w:eastAsia="黑体"/>
          <w:sz w:val="52"/>
          <w:szCs w:val="52"/>
          <w:highlight w:val="none"/>
          <w:lang w:val="en-US" w:eastAsia="zh-CN"/>
        </w:rPr>
        <w:t xml:space="preserve">  </w:t>
      </w:r>
      <w:r>
        <w:rPr>
          <w:rFonts w:hint="eastAsia" w:ascii="黑体" w:hAnsi="黑体" w:eastAsia="黑体"/>
          <w:sz w:val="52"/>
          <w:szCs w:val="52"/>
          <w:highlight w:val="none"/>
        </w:rPr>
        <w:t>录</w:t>
      </w:r>
    </w:p>
    <w:p>
      <w:pPr>
        <w:spacing w:line="500" w:lineRule="exact"/>
        <w:jc w:val="center"/>
        <w:rPr>
          <w:rFonts w:hint="eastAsia" w:ascii="黑体" w:hAnsi="黑体" w:eastAsia="黑体"/>
          <w:sz w:val="52"/>
          <w:szCs w:val="52"/>
          <w:highlight w:val="yellow"/>
        </w:rPr>
      </w:pP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三亚市中医院概况</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8"/>
        <w:numPr>
          <w:ilvl w:val="0"/>
          <w:numId w:val="1"/>
        </w:numPr>
        <w:ind w:firstLineChars="0"/>
        <w:rPr>
          <w:rFonts w:ascii="黑体" w:hAnsi="黑体" w:eastAsia="黑体"/>
          <w:sz w:val="32"/>
          <w:szCs w:val="32"/>
        </w:rPr>
      </w:pPr>
      <w:r>
        <w:rPr>
          <w:rFonts w:hint="eastAsia" w:ascii="黑体" w:hAnsi="黑体" w:eastAsia="黑体"/>
          <w:sz w:val="32"/>
          <w:szCs w:val="32"/>
        </w:rPr>
        <w:t>三亚市</w:t>
      </w:r>
      <w:r>
        <w:rPr>
          <w:rFonts w:hint="eastAsia" w:ascii="黑体" w:hAnsi="黑体" w:eastAsia="黑体"/>
          <w:sz w:val="32"/>
          <w:szCs w:val="32"/>
          <w:lang w:eastAsia="zh-CN"/>
        </w:rPr>
        <w:t>中医院</w:t>
      </w:r>
      <w:r>
        <w:rPr>
          <w:rFonts w:hint="eastAsia" w:ascii="黑体" w:hAnsi="黑体" w:eastAsia="黑体"/>
          <w:sz w:val="32"/>
          <w:szCs w:val="32"/>
        </w:rPr>
        <w:t>2023年单位预算表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三亚市</w:t>
      </w:r>
      <w:r>
        <w:rPr>
          <w:rFonts w:hint="eastAsia" w:ascii="黑体" w:hAnsi="黑体" w:eastAsia="黑体"/>
          <w:sz w:val="32"/>
          <w:szCs w:val="32"/>
          <w:lang w:eastAsia="zh-CN"/>
        </w:rPr>
        <w:t>中医院</w:t>
      </w:r>
      <w:r>
        <w:rPr>
          <w:rFonts w:hint="eastAsia" w:ascii="黑体" w:hAnsi="黑体" w:eastAsia="黑体"/>
          <w:sz w:val="32"/>
          <w:szCs w:val="32"/>
        </w:rPr>
        <w:t>2023年单位预算情况说明</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spacing w:line="500" w:lineRule="exact"/>
        <w:jc w:val="both"/>
        <w:rPr>
          <w:rFonts w:hint="eastAsia" w:ascii="黑体" w:hAnsi="黑体" w:eastAsia="黑体"/>
          <w:sz w:val="52"/>
          <w:szCs w:val="52"/>
          <w:highlight w:val="yellow"/>
        </w:rPr>
      </w:pPr>
    </w:p>
    <w:p>
      <w:pPr>
        <w:spacing w:line="500" w:lineRule="exact"/>
        <w:jc w:val="center"/>
        <w:rPr>
          <w:rFonts w:hint="eastAsia" w:ascii="黑体" w:hAnsi="黑体" w:eastAsia="黑体"/>
          <w:sz w:val="52"/>
          <w:szCs w:val="52"/>
          <w:highlight w:val="yellow"/>
        </w:rPr>
      </w:pPr>
    </w:p>
    <w:p>
      <w:pPr>
        <w:spacing w:line="500" w:lineRule="exact"/>
        <w:jc w:val="center"/>
        <w:rPr>
          <w:rFonts w:hint="eastAsia" w:ascii="黑体" w:hAnsi="黑体" w:eastAsia="黑体"/>
          <w:sz w:val="52"/>
          <w:szCs w:val="52"/>
          <w:highlight w:val="yellow"/>
        </w:rPr>
      </w:pPr>
    </w:p>
    <w:p>
      <w:pPr>
        <w:spacing w:line="500" w:lineRule="exact"/>
        <w:jc w:val="center"/>
        <w:rPr>
          <w:rFonts w:hint="eastAsia" w:ascii="黑体" w:hAnsi="黑体" w:eastAsia="黑体"/>
          <w:sz w:val="52"/>
          <w:szCs w:val="52"/>
          <w:highlight w:val="yellow"/>
        </w:rPr>
      </w:pPr>
    </w:p>
    <w:p>
      <w:pPr>
        <w:spacing w:line="500" w:lineRule="exact"/>
        <w:jc w:val="both"/>
        <w:rPr>
          <w:rFonts w:hint="default" w:ascii="黑体" w:hAnsi="黑体" w:eastAsia="黑体"/>
          <w:sz w:val="52"/>
          <w:szCs w:val="52"/>
          <w:highlight w:val="yellow"/>
          <w:lang w:val="en-US" w:eastAsia="zh-CN"/>
        </w:rPr>
      </w:pPr>
    </w:p>
    <w:p>
      <w:pPr>
        <w:pStyle w:val="8"/>
        <w:numPr>
          <w:ilvl w:val="0"/>
          <w:numId w:val="4"/>
        </w:numPr>
        <w:ind w:firstLineChars="0"/>
        <w:jc w:val="center"/>
        <w:rPr>
          <w:rFonts w:ascii="仿宋_GB2312" w:hAnsi="仿宋_GB2312" w:eastAsia="仿宋_GB2312" w:cs="仿宋_GB2312"/>
          <w:sz w:val="30"/>
          <w:szCs w:val="30"/>
        </w:rPr>
      </w:pPr>
      <w:r>
        <w:rPr>
          <w:rFonts w:hint="eastAsia" w:ascii="Times New Roman" w:hAnsi="Times New Roman" w:eastAsia="仿宋_GB2312" w:cs="Times New Roman"/>
          <w:sz w:val="32"/>
          <w:szCs w:val="32"/>
        </w:rPr>
        <w:t xml:space="preserve"> </w:t>
      </w:r>
      <w:r>
        <w:rPr>
          <w:rFonts w:hint="eastAsia" w:ascii="黑体" w:hAnsi="黑体" w:eastAsia="黑体"/>
          <w:sz w:val="30"/>
          <w:szCs w:val="30"/>
        </w:rPr>
        <w:t>三亚市中医院概况</w:t>
      </w:r>
    </w:p>
    <w:p>
      <w:pPr>
        <w:pStyle w:val="8"/>
        <w:numPr>
          <w:ilvl w:val="0"/>
          <w:numId w:val="5"/>
        </w:numPr>
        <w:ind w:firstLineChars="0"/>
        <w:jc w:val="left"/>
        <w:rPr>
          <w:rFonts w:ascii="微软雅黑" w:hAnsi="微软雅黑" w:eastAsia="微软雅黑" w:cs="微软雅黑"/>
          <w:color w:val="333333"/>
          <w:kern w:val="0"/>
          <w:sz w:val="30"/>
          <w:szCs w:val="30"/>
          <w:shd w:val="clear" w:color="auto" w:fill="FFFFFF"/>
        </w:rPr>
      </w:pPr>
      <w:r>
        <w:rPr>
          <w:rFonts w:hint="eastAsia" w:ascii="黑体" w:hAnsi="黑体" w:eastAsia="黑体" w:cs="仿宋_GB2312"/>
          <w:sz w:val="30"/>
          <w:szCs w:val="30"/>
        </w:rPr>
        <w:t>主要职能：</w:t>
      </w:r>
    </w:p>
    <w:p>
      <w:pPr>
        <w:pStyle w:val="8"/>
        <w:numPr>
          <w:ilvl w:val="0"/>
          <w:numId w:val="6"/>
        </w:numPr>
        <w:ind w:firstLine="64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亚市中医院始建于1991年，位于吉阳区凤凰路   </w:t>
      </w:r>
    </w:p>
    <w:p>
      <w:pPr>
        <w:pStyle w:val="8"/>
        <w:ind w:left="319" w:leftChars="152" w:firstLine="0" w:firstLineChars="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106号，是一家集医疗、教学、科研、保健、康复、传统医药国际交流与合作为一体的三级甲等中医医院。</w:t>
      </w:r>
    </w:p>
    <w:p>
      <w:pPr>
        <w:pStyle w:val="8"/>
        <w:numPr>
          <w:ilvl w:val="0"/>
          <w:numId w:val="6"/>
        </w:numPr>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主要职责:</w:t>
      </w:r>
    </w:p>
    <w:p>
      <w:pPr>
        <w:pStyle w:val="8"/>
        <w:ind w:left="319" w:leftChars="152" w:firstLine="576" w:firstLineChars="18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贯彻落实新时期我国卫生与健康工作方针，坚持以人民健康为中心，强化以中医药服务为主的办院模式和服务功能，注重在疾病治疗、预防和康复中发挥中医药特色优势，以救死扶伤、防病治病、提高人民健康水平和促进中医药传承创新发展为宗旨。</w:t>
      </w:r>
    </w:p>
    <w:p>
      <w:pPr>
        <w:pStyle w:val="8"/>
        <w:ind w:left="319" w:leftChars="152" w:firstLine="480" w:firstLineChars="150"/>
        <w:rPr>
          <w:rFonts w:hint="eastAsia" w:ascii="微软雅黑" w:hAnsi="微软雅黑" w:eastAsia="微软雅黑" w:cs="微软雅黑"/>
          <w:color w:val="333333"/>
          <w:kern w:val="0"/>
          <w:sz w:val="30"/>
          <w:szCs w:val="30"/>
          <w:shd w:val="clear" w:color="auto" w:fill="FFFFFF"/>
        </w:rPr>
      </w:pPr>
      <w:r>
        <w:rPr>
          <w:rFonts w:hint="eastAsia" w:ascii="Times New Roman" w:hAnsi="Times New Roman" w:eastAsia="仿宋_GB2312" w:cs="Times New Roman"/>
          <w:sz w:val="32"/>
          <w:szCs w:val="32"/>
        </w:rPr>
        <w:t>2.医院发展目标:功能全面、特色鲜明，与世界级滨海旅游度假城市及自由贸易区相匹配的现代化三甲中医医院。</w:t>
      </w:r>
    </w:p>
    <w:p>
      <w:pPr>
        <w:pStyle w:val="8"/>
        <w:ind w:firstLine="736" w:firstLineChars="230"/>
        <w:rPr>
          <w:rFonts w:hint="eastAsia" w:ascii="黑体" w:hAnsi="黑体" w:eastAsia="黑体" w:cs="仿宋_GB2312"/>
          <w:sz w:val="32"/>
          <w:szCs w:val="32"/>
          <w:lang w:eastAsia="zh-CN"/>
        </w:rPr>
      </w:pPr>
      <w:r>
        <w:rPr>
          <w:rFonts w:hint="eastAsia" w:ascii="黑体" w:hAnsi="黑体" w:eastAsia="黑体" w:cs="仿宋_GB2312"/>
          <w:sz w:val="32"/>
          <w:szCs w:val="32"/>
        </w:rPr>
        <w:t>二、</w:t>
      </w:r>
      <w:r>
        <w:rPr>
          <w:rFonts w:hint="eastAsia" w:ascii="黑体" w:hAnsi="黑体" w:eastAsia="黑体" w:cs="仿宋_GB2312"/>
          <w:sz w:val="32"/>
          <w:szCs w:val="32"/>
          <w:lang w:eastAsia="zh-CN"/>
        </w:rPr>
        <w:t>单位机构设置</w:t>
      </w:r>
    </w:p>
    <w:p>
      <w:pPr>
        <w:pStyle w:val="5"/>
        <w:keepNext w:val="0"/>
        <w:keepLines w:val="0"/>
        <w:widowControl/>
        <w:suppressLineNumbers w:val="0"/>
        <w:shd w:val="clear" w:fill="FFFFFF"/>
        <w:spacing w:before="0" w:beforeAutospacing="0" w:after="0" w:afterAutospacing="0" w:line="630"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三亚市中医院在岗职工共计698人，其中在职在编人员240人，非编聘用人员458人，学历结构方面，博士11人，硕士98人，本科347人，大专及以下242人。职称方面，正高职称22人，副高职称88人，中级职称250人，初级及以下256人，其他人员82人。专业类型方面，卫生专业技术人员597人，其中医师220人，护理287人，药学34人，医技56人；其他专技及行政后勤101人。柔性引才共计39人，其他人力使用共计118人。</w:t>
      </w:r>
    </w:p>
    <w:p>
      <w:pPr>
        <w:pStyle w:val="5"/>
        <w:keepNext w:val="0"/>
        <w:keepLines w:val="0"/>
        <w:widowControl/>
        <w:suppressLineNumbers w:val="0"/>
        <w:shd w:val="clear" w:fill="FFFFFF"/>
        <w:spacing w:before="0" w:beforeAutospacing="0" w:after="0" w:afterAutospacing="0" w:line="630" w:lineRule="atLeast"/>
        <w:ind w:left="0" w:right="0" w:firstLine="42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其中，全国名中医1人（萨仁），第五批全国老中医药专家学术经验继承指导老师、国务院特殊津贴专家1人（刘德喜），第六批全国老中医药专家学术经验继承指导老师2人（陆江涛，萨仁）第七批全国老中医药专家学术经验继承指导老师2人（周军怀，陆江涛）全国中医优才1人（张晓阳），全国名中医工作室1个（萨仁）全国老中医药专家师承工作室3个。（萨仁，陆江涛，周军怀）海南省基层名老中医师承指导老师3人（袁勇，刘建浩，周军怀），同时建有国内名医工作站1个，入站专家包含2个国医大师工作室（沈宝藩，卢芳），2个全国知名中医工作室（陈以平，刘德玉）5个省级名中医工作室（陕西于辉瑶，北京吴升平，杨济，黄雯，四川王青松） ，1个岐黄学者工作室（上海方邦江）及3个流派工作室（陕西中医药大学关中李氏骨伤，甘肃中医药大学郑氏针法，黑龙江中医药大学龙江流派）。</w:t>
      </w:r>
    </w:p>
    <w:p>
      <w:pPr>
        <w:ind w:left="567" w:leftChars="270" w:firstLine="544" w:firstLineChars="170"/>
        <w:rPr>
          <w:rFonts w:hint="eastAsia" w:ascii="Times New Roman" w:hAnsi="Times New Roman" w:eastAsia="仿宋_GB2312" w:cs="Times New Roman"/>
          <w:kern w:val="2"/>
          <w:sz w:val="32"/>
          <w:szCs w:val="32"/>
          <w:lang w:val="en-US" w:eastAsia="zh-CN" w:bidi="ar-SA"/>
        </w:rPr>
      </w:pPr>
      <w:r>
        <w:rPr>
          <w:rFonts w:hint="eastAsia" w:ascii="仿宋_GB2312" w:hAnsi="ˎ̥" w:eastAsia="仿宋_GB2312"/>
          <w:sz w:val="32"/>
          <w:szCs w:val="32"/>
        </w:rPr>
        <w:t>全院设党政办、医改办、人事科、财务科、后勤保障科、医务科、护理部、信息科、院感科、医保科、投诉协调办、基建科、药学部、科教科、医学装备科、质控科、重点专科办、中医基层指导科、服务质量管理办、公共卫生科、社区卫生服务站、经管物价办、法务办、健康旅游管理办、保健科等25</w:t>
      </w:r>
      <w:r>
        <w:rPr>
          <w:rFonts w:ascii="仿宋_GB2312" w:hAnsi="ˎ̥" w:eastAsia="仿宋_GB2312"/>
          <w:sz w:val="32"/>
          <w:szCs w:val="32"/>
        </w:rPr>
        <w:t>个职能科室，</w:t>
      </w:r>
      <w:r>
        <w:rPr>
          <w:rFonts w:hint="eastAsia" w:ascii="仿宋_GB2312" w:hAnsi="ˎ̥" w:eastAsia="仿宋_GB2312"/>
          <w:sz w:val="32"/>
          <w:szCs w:val="32"/>
        </w:rPr>
        <w:t>骨伤一科、骨伤二科、骨伤三科、骨伤四科、内一科脑病科、内二科心病科、心脏血管外科、内五科脾胃病科、内七科肾病科、外科、妇产科、儿科、肛肠科、脑外科、内三科肿瘤科、内六科老年病科、康复科、针灸二科、重症医学科、急诊科、门诊中医综合治疗区、睡眠医学科、整形美容科、康复二科、治未病科、麻醉科、高压氧治疗科、感染性疾病科、眼科、耳咽喉科、口腔科、皮肤科、门诊部</w:t>
      </w:r>
      <w:r>
        <w:rPr>
          <w:rFonts w:ascii="仿宋_GB2312" w:hAnsi="ˎ̥" w:eastAsia="仿宋_GB2312"/>
          <w:sz w:val="32"/>
          <w:szCs w:val="32"/>
        </w:rPr>
        <w:t>等</w:t>
      </w:r>
      <w:r>
        <w:rPr>
          <w:rFonts w:hint="eastAsia" w:ascii="仿宋_GB2312" w:hAnsi="ˎ̥" w:eastAsia="仿宋_GB2312"/>
          <w:sz w:val="32"/>
          <w:szCs w:val="32"/>
        </w:rPr>
        <w:t>33</w:t>
      </w:r>
      <w:r>
        <w:rPr>
          <w:rFonts w:ascii="仿宋_GB2312" w:hAnsi="ˎ̥" w:eastAsia="仿宋_GB2312"/>
          <w:sz w:val="32"/>
          <w:szCs w:val="32"/>
        </w:rPr>
        <w:t>个临床科室，以及</w:t>
      </w:r>
      <w:r>
        <w:rPr>
          <w:rFonts w:hint="eastAsia" w:ascii="仿宋_GB2312" w:hAnsi="ˎ̥" w:eastAsia="仿宋_GB2312"/>
          <w:sz w:val="32"/>
          <w:szCs w:val="32"/>
        </w:rPr>
        <w:t>药剂</w:t>
      </w:r>
      <w:r>
        <w:rPr>
          <w:rFonts w:ascii="仿宋_GB2312" w:hAnsi="ˎ̥" w:eastAsia="仿宋_GB2312"/>
          <w:sz w:val="32"/>
          <w:szCs w:val="32"/>
        </w:rPr>
        <w:t>科、</w:t>
      </w:r>
      <w:r>
        <w:rPr>
          <w:rFonts w:hint="eastAsia" w:ascii="仿宋_GB2312" w:hAnsi="ˎ̥" w:eastAsia="仿宋_GB2312"/>
          <w:sz w:val="32"/>
          <w:szCs w:val="32"/>
        </w:rPr>
        <w:t>制剂室</w:t>
      </w:r>
      <w:r>
        <w:rPr>
          <w:rFonts w:ascii="仿宋_GB2312" w:hAnsi="ˎ̥" w:eastAsia="仿宋_GB2312"/>
          <w:sz w:val="32"/>
          <w:szCs w:val="32"/>
        </w:rPr>
        <w:t>、</w:t>
      </w:r>
      <w:r>
        <w:rPr>
          <w:rFonts w:hint="eastAsia" w:ascii="仿宋_GB2312" w:hAnsi="ˎ̥" w:eastAsia="仿宋_GB2312"/>
          <w:sz w:val="32"/>
          <w:szCs w:val="32"/>
        </w:rPr>
        <w:t>医学检验科、医学影像科、手术室、病理科、输血科、营养科、功能科、</w:t>
      </w:r>
      <w:r>
        <w:rPr>
          <w:rFonts w:ascii="仿宋_GB2312" w:hAnsi="ˎ̥" w:eastAsia="仿宋_GB2312"/>
          <w:sz w:val="32"/>
          <w:szCs w:val="32"/>
        </w:rPr>
        <w:t>供应室等</w:t>
      </w:r>
      <w:r>
        <w:rPr>
          <w:rFonts w:hint="eastAsia" w:ascii="仿宋_GB2312" w:hAnsi="ˎ̥" w:eastAsia="仿宋_GB2312"/>
          <w:sz w:val="32"/>
          <w:szCs w:val="32"/>
        </w:rPr>
        <w:t>10</w:t>
      </w:r>
      <w:r>
        <w:rPr>
          <w:rFonts w:ascii="仿宋_GB2312" w:hAnsi="ˎ̥" w:eastAsia="仿宋_GB2312"/>
          <w:sz w:val="32"/>
          <w:szCs w:val="32"/>
        </w:rPr>
        <w:t>个医技科室。</w:t>
      </w:r>
    </w:p>
    <w:p>
      <w:pPr>
        <w:numPr>
          <w:ilvl w:val="0"/>
          <w:numId w:val="0"/>
        </w:numPr>
        <w:spacing w:line="500" w:lineRule="exact"/>
        <w:rPr>
          <w:rFonts w:ascii="微软雅黑" w:hAnsi="微软雅黑" w:eastAsia="微软雅黑" w:cs="微软雅黑"/>
          <w:color w:val="333333"/>
          <w:kern w:val="0"/>
          <w:sz w:val="30"/>
          <w:szCs w:val="30"/>
          <w:shd w:val="clear" w:color="auto" w:fill="FFFFFF"/>
        </w:rPr>
      </w:pPr>
      <w:r>
        <w:rPr>
          <w:rFonts w:hint="eastAsia" w:ascii="Times New Roman" w:hAnsi="Times New Roman" w:eastAsia="仿宋_GB2312" w:cs="Times New Roman"/>
          <w:sz w:val="32"/>
          <w:szCs w:val="32"/>
        </w:rPr>
        <w:t xml:space="preserve">               </w:t>
      </w:r>
    </w:p>
    <w:p>
      <w:pPr>
        <w:pStyle w:val="8"/>
        <w:numPr>
          <w:ilvl w:val="0"/>
          <w:numId w:val="0"/>
        </w:numPr>
        <w:spacing w:line="500" w:lineRule="exact"/>
        <w:ind w:leftChars="0"/>
        <w:jc w:val="center"/>
        <w:rPr>
          <w:rFonts w:ascii="黑体" w:hAnsi="黑体" w:eastAsia="黑体"/>
          <w:sz w:val="32"/>
          <w:szCs w:val="32"/>
        </w:rPr>
      </w:pPr>
      <w:r>
        <w:rPr>
          <w:rFonts w:hint="eastAsia" w:ascii="黑体" w:hAnsi="黑体" w:eastAsia="黑体"/>
          <w:sz w:val="32"/>
          <w:szCs w:val="32"/>
          <w:lang w:eastAsia="zh-CN"/>
        </w:rPr>
        <w:t>第二部分</w:t>
      </w:r>
      <w:r>
        <w:rPr>
          <w:rFonts w:hint="eastAsia" w:ascii="黑体" w:hAnsi="黑体" w:eastAsia="黑体"/>
          <w:sz w:val="32"/>
          <w:szCs w:val="32"/>
          <w:lang w:val="en-US" w:eastAsia="zh-CN"/>
        </w:rPr>
        <w:t xml:space="preserve">  </w:t>
      </w:r>
      <w:r>
        <w:rPr>
          <w:rFonts w:hint="eastAsia" w:ascii="黑体" w:hAnsi="黑体" w:eastAsia="黑体"/>
          <w:sz w:val="32"/>
          <w:szCs w:val="32"/>
        </w:rPr>
        <w:t>三亚市中医院202</w:t>
      </w:r>
      <w:r>
        <w:rPr>
          <w:rFonts w:hint="eastAsia" w:ascii="黑体" w:hAnsi="黑体" w:eastAsia="黑体"/>
          <w:sz w:val="32"/>
          <w:szCs w:val="32"/>
          <w:lang w:val="en-US" w:eastAsia="zh-CN"/>
        </w:rPr>
        <w:t>3</w:t>
      </w:r>
      <w:r>
        <w:rPr>
          <w:rFonts w:hint="eastAsia" w:ascii="黑体" w:hAnsi="黑体" w:eastAsia="黑体"/>
          <w:sz w:val="32"/>
          <w:szCs w:val="32"/>
        </w:rPr>
        <w:t>年单位预算表构成</w:t>
      </w:r>
    </w:p>
    <w:p>
      <w:pPr>
        <w:pStyle w:val="8"/>
        <w:numPr>
          <w:ilvl w:val="0"/>
          <w:numId w:val="7"/>
        </w:numPr>
        <w:spacing w:line="50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财政拨款收支总表</w:t>
      </w:r>
    </w:p>
    <w:p>
      <w:pPr>
        <w:pStyle w:val="8"/>
        <w:numPr>
          <w:ilvl w:val="0"/>
          <w:numId w:val="7"/>
        </w:numPr>
        <w:spacing w:line="50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一般公共预算支出表</w:t>
      </w:r>
    </w:p>
    <w:p>
      <w:pPr>
        <w:pStyle w:val="8"/>
        <w:numPr>
          <w:ilvl w:val="0"/>
          <w:numId w:val="7"/>
        </w:numPr>
        <w:spacing w:line="50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一般公共预算基本支出表</w:t>
      </w:r>
    </w:p>
    <w:p>
      <w:pPr>
        <w:pStyle w:val="8"/>
        <w:numPr>
          <w:ilvl w:val="0"/>
          <w:numId w:val="7"/>
        </w:numPr>
        <w:spacing w:line="50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一般公共预算“三公”经费支出表</w:t>
      </w:r>
    </w:p>
    <w:p>
      <w:pPr>
        <w:pStyle w:val="8"/>
        <w:numPr>
          <w:ilvl w:val="0"/>
          <w:numId w:val="7"/>
        </w:numPr>
        <w:spacing w:line="50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政府性基金预算支出表</w:t>
      </w:r>
    </w:p>
    <w:p>
      <w:pPr>
        <w:pStyle w:val="8"/>
        <w:numPr>
          <w:ilvl w:val="0"/>
          <w:numId w:val="7"/>
        </w:numPr>
        <w:spacing w:line="50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政府性基金预算“三公”经费支出表</w:t>
      </w:r>
    </w:p>
    <w:p>
      <w:pPr>
        <w:pStyle w:val="8"/>
        <w:numPr>
          <w:ilvl w:val="0"/>
          <w:numId w:val="7"/>
        </w:numPr>
        <w:spacing w:line="50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单位收支总表</w:t>
      </w:r>
    </w:p>
    <w:p>
      <w:pPr>
        <w:pStyle w:val="8"/>
        <w:numPr>
          <w:ilvl w:val="0"/>
          <w:numId w:val="7"/>
        </w:numPr>
        <w:spacing w:line="50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单位收入总表</w:t>
      </w:r>
    </w:p>
    <w:p>
      <w:pPr>
        <w:pStyle w:val="8"/>
        <w:numPr>
          <w:ilvl w:val="0"/>
          <w:numId w:val="7"/>
        </w:numPr>
        <w:spacing w:line="50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单位支出总表</w:t>
      </w:r>
    </w:p>
    <w:p>
      <w:pPr>
        <w:pStyle w:val="8"/>
        <w:numPr>
          <w:ilvl w:val="0"/>
          <w:numId w:val="7"/>
        </w:numPr>
        <w:spacing w:line="50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项目支出绩效信息表</w:t>
      </w:r>
    </w:p>
    <w:p>
      <w:pPr>
        <w:pStyle w:val="8"/>
        <w:spacing w:line="500" w:lineRule="exact"/>
        <w:ind w:left="420" w:leftChars="200" w:firstLine="0" w:firstLineChars="0"/>
        <w:rPr>
          <w:rFonts w:ascii="微软雅黑" w:hAnsi="微软雅黑" w:eastAsia="微软雅黑" w:cs="微软雅黑"/>
          <w:color w:val="333333"/>
          <w:kern w:val="0"/>
          <w:sz w:val="30"/>
          <w:szCs w:val="30"/>
          <w:shd w:val="clear" w:color="auto" w:fill="FFFFFF"/>
        </w:rPr>
      </w:pPr>
    </w:p>
    <w:p>
      <w:pPr>
        <w:pStyle w:val="8"/>
        <w:numPr>
          <w:ilvl w:val="0"/>
          <w:numId w:val="8"/>
        </w:numPr>
        <w:spacing w:line="500" w:lineRule="exact"/>
        <w:ind w:leftChars="0"/>
        <w:jc w:val="center"/>
        <w:rPr>
          <w:rFonts w:hint="eastAsia"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三亚市中医院</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黑体" w:hAnsi="黑体" w:eastAsia="黑体"/>
          <w:sz w:val="32"/>
          <w:szCs w:val="32"/>
        </w:rPr>
        <w:t>年单位预算情况说明</w:t>
      </w:r>
    </w:p>
    <w:p>
      <w:pPr>
        <w:pStyle w:val="8"/>
        <w:numPr>
          <w:ilvl w:val="0"/>
          <w:numId w:val="0"/>
        </w:numPr>
        <w:spacing w:line="500" w:lineRule="exact"/>
        <w:ind w:leftChars="200"/>
        <w:jc w:val="both"/>
        <w:rPr>
          <w:rFonts w:hint="eastAsia" w:ascii="黑体" w:hAnsi="黑体" w:eastAsia="黑体"/>
          <w:sz w:val="32"/>
          <w:szCs w:val="32"/>
        </w:rPr>
      </w:pPr>
    </w:p>
    <w:p>
      <w:pPr>
        <w:pStyle w:val="8"/>
        <w:numPr>
          <w:ilvl w:val="0"/>
          <w:numId w:val="9"/>
        </w:numPr>
        <w:spacing w:line="500" w:lineRule="exact"/>
        <w:ind w:firstLine="600"/>
        <w:jc w:val="left"/>
        <w:rPr>
          <w:rFonts w:ascii="仿宋_GB2312" w:hAnsi="仿宋_GB2312" w:eastAsia="仿宋_GB2312" w:cs="仿宋_GB2312"/>
          <w:sz w:val="32"/>
          <w:szCs w:val="32"/>
          <w:highlight w:val="none"/>
        </w:rPr>
      </w:pPr>
      <w:r>
        <w:rPr>
          <w:rFonts w:hint="eastAsia" w:ascii="微软雅黑" w:hAnsi="微软雅黑" w:eastAsia="微软雅黑" w:cs="微软雅黑"/>
          <w:color w:val="333333"/>
          <w:kern w:val="0"/>
          <w:sz w:val="30"/>
          <w:szCs w:val="30"/>
          <w:highlight w:val="none"/>
          <w:shd w:val="clear" w:color="auto" w:fill="FFFFFF"/>
        </w:rPr>
        <w:t>关于三亚市中医院202</w:t>
      </w:r>
      <w:r>
        <w:rPr>
          <w:rFonts w:hint="eastAsia" w:ascii="微软雅黑" w:hAnsi="微软雅黑" w:eastAsia="微软雅黑" w:cs="微软雅黑"/>
          <w:color w:val="333333"/>
          <w:kern w:val="0"/>
          <w:sz w:val="30"/>
          <w:szCs w:val="30"/>
          <w:highlight w:val="none"/>
          <w:shd w:val="clear" w:color="auto" w:fill="FFFFFF"/>
          <w:lang w:val="en-US" w:eastAsia="zh-CN"/>
        </w:rPr>
        <w:t>3</w:t>
      </w:r>
      <w:r>
        <w:rPr>
          <w:rFonts w:hint="eastAsia" w:ascii="微软雅黑" w:hAnsi="微软雅黑" w:eastAsia="微软雅黑" w:cs="微软雅黑"/>
          <w:color w:val="333333"/>
          <w:kern w:val="0"/>
          <w:sz w:val="30"/>
          <w:szCs w:val="30"/>
          <w:highlight w:val="none"/>
          <w:shd w:val="clear" w:color="auto" w:fill="FFFFFF"/>
        </w:rPr>
        <w:t>年财政拨款收支预算情况总体说明</w:t>
      </w:r>
    </w:p>
    <w:p>
      <w:pPr>
        <w:pStyle w:val="8"/>
        <w:spacing w:line="500" w:lineRule="exact"/>
        <w:ind w:firstLine="64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三亚市中医院202</w:t>
      </w:r>
      <w:r>
        <w:rPr>
          <w:rFonts w:hint="eastAsia" w:ascii="Times New Roman" w:hAnsi="Times New Roman" w:eastAsia="仿宋_GB2312" w:cs="Times New Roman"/>
          <w:sz w:val="32"/>
          <w:szCs w:val="32"/>
          <w:highlight w:val="none"/>
          <w:lang w:val="en-US" w:eastAsia="zh-CN"/>
        </w:rPr>
        <w:t>3</w:t>
      </w:r>
      <w:r>
        <w:rPr>
          <w:rFonts w:hint="eastAsia" w:ascii="Times New Roman" w:hAnsi="Times New Roman" w:eastAsia="仿宋_GB2312" w:cs="Times New Roman"/>
          <w:sz w:val="32"/>
          <w:szCs w:val="32"/>
          <w:highlight w:val="none"/>
        </w:rPr>
        <w:t>年财政拨款收支总预算</w:t>
      </w:r>
      <w:r>
        <w:rPr>
          <w:rFonts w:hint="eastAsia" w:ascii="Times New Roman" w:hAnsi="Times New Roman" w:eastAsia="仿宋_GB2312" w:cs="Times New Roman"/>
          <w:sz w:val="32"/>
          <w:szCs w:val="32"/>
          <w:highlight w:val="none"/>
          <w:lang w:val="en-US" w:eastAsia="zh-CN"/>
        </w:rPr>
        <w:t>6727.10</w:t>
      </w:r>
      <w:r>
        <w:rPr>
          <w:rFonts w:hint="eastAsia" w:ascii="Times New Roman" w:hAnsi="Times New Roman" w:eastAsia="仿宋_GB2312" w:cs="Times New Roman"/>
          <w:sz w:val="32"/>
          <w:szCs w:val="32"/>
          <w:highlight w:val="none"/>
        </w:rPr>
        <w:t xml:space="preserve"> 万元。包</w:t>
      </w:r>
      <w:r>
        <w:rPr>
          <w:rFonts w:hint="eastAsia" w:ascii="Times New Roman" w:hAnsi="Times New Roman" w:eastAsia="仿宋_GB2312" w:cs="Times New Roman"/>
          <w:sz w:val="32"/>
          <w:szCs w:val="32"/>
          <w:highlight w:val="none"/>
          <w:lang w:eastAsia="zh-CN"/>
        </w:rPr>
        <w:t>含本年度</w:t>
      </w:r>
      <w:r>
        <w:rPr>
          <w:rFonts w:hint="eastAsia" w:ascii="Times New Roman" w:hAnsi="Times New Roman" w:eastAsia="仿宋_GB2312" w:cs="Times New Roman"/>
          <w:sz w:val="32"/>
          <w:szCs w:val="32"/>
          <w:highlight w:val="none"/>
        </w:rPr>
        <w:t>一般公共预算收入</w:t>
      </w:r>
      <w:r>
        <w:rPr>
          <w:rFonts w:hint="eastAsia" w:ascii="Times New Roman" w:hAnsi="Times New Roman" w:eastAsia="仿宋_GB2312" w:cs="Times New Roman"/>
          <w:sz w:val="32"/>
          <w:szCs w:val="32"/>
          <w:highlight w:val="none"/>
          <w:lang w:val="en-US" w:eastAsia="zh-CN"/>
        </w:rPr>
        <w:t>6237.92</w:t>
      </w:r>
      <w:r>
        <w:rPr>
          <w:rFonts w:hint="eastAsia" w:ascii="Times New Roman" w:hAnsi="Times New Roman" w:eastAsia="仿宋_GB2312" w:cs="Times New Roman"/>
          <w:sz w:val="32"/>
          <w:szCs w:val="32"/>
          <w:highlight w:val="none"/>
        </w:rPr>
        <w:t>万元；上年结转</w:t>
      </w:r>
      <w:r>
        <w:rPr>
          <w:rFonts w:hint="eastAsia" w:ascii="Times New Roman" w:hAnsi="Times New Roman" w:eastAsia="仿宋_GB2312" w:cs="Times New Roman"/>
          <w:sz w:val="32"/>
          <w:szCs w:val="32"/>
          <w:highlight w:val="none"/>
          <w:lang w:val="en-US" w:eastAsia="zh-CN"/>
        </w:rPr>
        <w:t>489.18</w:t>
      </w:r>
      <w:r>
        <w:rPr>
          <w:rFonts w:hint="eastAsia" w:ascii="Times New Roman" w:hAnsi="Times New Roman" w:eastAsia="仿宋_GB2312" w:cs="Times New Roman"/>
          <w:sz w:val="32"/>
          <w:szCs w:val="32"/>
          <w:highlight w:val="none"/>
        </w:rPr>
        <w:t>万元；支出总计</w:t>
      </w:r>
      <w:r>
        <w:rPr>
          <w:rFonts w:hint="eastAsia" w:ascii="Times New Roman" w:hAnsi="Times New Roman" w:eastAsia="仿宋_GB2312" w:cs="Times New Roman"/>
          <w:sz w:val="32"/>
          <w:szCs w:val="32"/>
          <w:highlight w:val="none"/>
          <w:lang w:val="en-US" w:eastAsia="zh-CN"/>
        </w:rPr>
        <w:t>6727.10</w:t>
      </w:r>
      <w:r>
        <w:rPr>
          <w:rFonts w:hint="eastAsia" w:ascii="Times New Roman" w:hAnsi="Times New Roman" w:eastAsia="仿宋_GB2312" w:cs="Times New Roman"/>
          <w:sz w:val="32"/>
          <w:szCs w:val="32"/>
          <w:highlight w:val="none"/>
        </w:rPr>
        <w:t>万元，包括社会保障和就业支出</w:t>
      </w:r>
      <w:r>
        <w:rPr>
          <w:rFonts w:hint="eastAsia" w:ascii="Times New Roman" w:hAnsi="Times New Roman" w:eastAsia="仿宋_GB2312" w:cs="Times New Roman"/>
          <w:sz w:val="32"/>
          <w:szCs w:val="32"/>
          <w:highlight w:val="none"/>
          <w:lang w:val="en-US" w:eastAsia="zh-CN"/>
        </w:rPr>
        <w:t>637.92</w:t>
      </w:r>
      <w:r>
        <w:rPr>
          <w:rFonts w:hint="eastAsia" w:ascii="Times New Roman" w:hAnsi="Times New Roman" w:eastAsia="仿宋_GB2312" w:cs="Times New Roman"/>
          <w:sz w:val="32"/>
          <w:szCs w:val="32"/>
          <w:highlight w:val="none"/>
        </w:rPr>
        <w:t>万元，卫生健康支出</w:t>
      </w:r>
      <w:r>
        <w:rPr>
          <w:rFonts w:hint="eastAsia" w:ascii="Times New Roman" w:hAnsi="Times New Roman" w:eastAsia="仿宋_GB2312" w:cs="Times New Roman"/>
          <w:sz w:val="32"/>
          <w:szCs w:val="32"/>
          <w:highlight w:val="none"/>
          <w:lang w:val="en-US" w:eastAsia="zh-CN"/>
        </w:rPr>
        <w:t>6070.12</w:t>
      </w:r>
      <w:r>
        <w:rPr>
          <w:rFonts w:hint="eastAsia" w:ascii="Times New Roman" w:hAnsi="Times New Roman" w:eastAsia="仿宋_GB2312" w:cs="Times New Roman"/>
          <w:sz w:val="32"/>
          <w:szCs w:val="32"/>
          <w:highlight w:val="none"/>
        </w:rPr>
        <w:t>万元，其他支出</w:t>
      </w:r>
      <w:r>
        <w:rPr>
          <w:rFonts w:hint="eastAsia" w:ascii="Times New Roman" w:hAnsi="Times New Roman" w:eastAsia="仿宋_GB2312" w:cs="Times New Roman"/>
          <w:sz w:val="32"/>
          <w:szCs w:val="32"/>
          <w:highlight w:val="none"/>
          <w:lang w:val="en-US" w:eastAsia="zh-CN"/>
        </w:rPr>
        <w:t>19.06</w:t>
      </w:r>
      <w:r>
        <w:rPr>
          <w:rFonts w:hint="eastAsia" w:ascii="Times New Roman" w:hAnsi="Times New Roman" w:eastAsia="仿宋_GB2312" w:cs="Times New Roman"/>
          <w:sz w:val="32"/>
          <w:szCs w:val="32"/>
          <w:highlight w:val="none"/>
        </w:rPr>
        <w:t>万元。</w:t>
      </w:r>
    </w:p>
    <w:p>
      <w:pPr>
        <w:pStyle w:val="8"/>
        <w:spacing w:line="500" w:lineRule="exact"/>
        <w:ind w:firstLine="0" w:firstLineChars="0"/>
        <w:jc w:val="left"/>
        <w:rPr>
          <w:rFonts w:ascii="微软雅黑" w:hAnsi="微软雅黑" w:eastAsia="微软雅黑" w:cs="微软雅黑"/>
          <w:color w:val="333333"/>
          <w:kern w:val="0"/>
          <w:sz w:val="30"/>
          <w:szCs w:val="30"/>
          <w:highlight w:val="none"/>
          <w:shd w:val="clear" w:color="auto" w:fill="FFFFFF"/>
        </w:rPr>
      </w:pPr>
      <w:r>
        <w:rPr>
          <w:rFonts w:hint="eastAsia" w:ascii="微软雅黑" w:hAnsi="微软雅黑" w:eastAsia="微软雅黑" w:cs="微软雅黑"/>
          <w:color w:val="333333"/>
          <w:kern w:val="0"/>
          <w:sz w:val="30"/>
          <w:szCs w:val="30"/>
          <w:highlight w:val="none"/>
          <w:shd w:val="clear" w:color="auto" w:fill="FFFFFF"/>
        </w:rPr>
        <w:t>二、关于三亚市中医院202</w:t>
      </w:r>
      <w:r>
        <w:rPr>
          <w:rFonts w:hint="eastAsia" w:ascii="微软雅黑" w:hAnsi="微软雅黑" w:eastAsia="微软雅黑" w:cs="微软雅黑"/>
          <w:color w:val="333333"/>
          <w:kern w:val="0"/>
          <w:sz w:val="30"/>
          <w:szCs w:val="30"/>
          <w:highlight w:val="none"/>
          <w:shd w:val="clear" w:color="auto" w:fill="FFFFFF"/>
          <w:lang w:val="en-US" w:eastAsia="zh-CN"/>
        </w:rPr>
        <w:t>3</w:t>
      </w:r>
      <w:r>
        <w:rPr>
          <w:rFonts w:hint="eastAsia" w:ascii="微软雅黑" w:hAnsi="微软雅黑" w:eastAsia="微软雅黑" w:cs="微软雅黑"/>
          <w:color w:val="333333"/>
          <w:kern w:val="0"/>
          <w:sz w:val="30"/>
          <w:szCs w:val="30"/>
          <w:highlight w:val="none"/>
          <w:shd w:val="clear" w:color="auto" w:fill="FFFFFF"/>
        </w:rPr>
        <w:t>年一般公共预算当年拨款情况说明</w:t>
      </w:r>
    </w:p>
    <w:p>
      <w:pPr>
        <w:pStyle w:val="8"/>
        <w:spacing w:line="500" w:lineRule="exact"/>
        <w:ind w:firstLine="600"/>
        <w:jc w:val="left"/>
        <w:rPr>
          <w:rFonts w:ascii="Times New Roman" w:hAnsi="Times New Roman" w:eastAsia="楷体" w:cs="Times New Roman"/>
          <w:sz w:val="32"/>
          <w:szCs w:val="32"/>
          <w:highlight w:val="none"/>
        </w:rPr>
      </w:pPr>
      <w:r>
        <w:rPr>
          <w:rFonts w:hint="eastAsia" w:ascii="微软雅黑" w:hAnsi="微软雅黑" w:eastAsia="微软雅黑" w:cs="微软雅黑"/>
          <w:color w:val="333333"/>
          <w:kern w:val="0"/>
          <w:sz w:val="30"/>
          <w:szCs w:val="30"/>
          <w:highlight w:val="none"/>
          <w:shd w:val="clear" w:color="auto" w:fill="FFFFFF"/>
        </w:rPr>
        <w:t>（一）</w:t>
      </w:r>
      <w:r>
        <w:rPr>
          <w:rFonts w:hint="eastAsia" w:ascii="Times New Roman" w:hAnsi="Times New Roman" w:eastAsia="楷体" w:cs="Times New Roman"/>
          <w:sz w:val="32"/>
          <w:szCs w:val="32"/>
          <w:highlight w:val="none"/>
        </w:rPr>
        <w:t>一般公共预算当年规模变化情况</w:t>
      </w:r>
    </w:p>
    <w:p>
      <w:pPr>
        <w:pStyle w:val="8"/>
        <w:spacing w:line="500" w:lineRule="exact"/>
        <w:ind w:firstLine="800" w:firstLineChars="250"/>
        <w:jc w:val="left"/>
        <w:rPr>
          <w:rFonts w:hint="default" w:ascii="Times New Roman" w:hAnsi="Times New Roman" w:eastAsia="仿宋_GB2312" w:cs="Times New Roman"/>
          <w:sz w:val="32"/>
          <w:szCs w:val="32"/>
          <w:highlight w:val="none"/>
          <w:lang w:val="en-US"/>
        </w:rPr>
      </w:pPr>
      <w:r>
        <w:rPr>
          <w:rFonts w:hint="eastAsia" w:ascii="Times New Roman" w:hAnsi="Times New Roman" w:eastAsia="仿宋_GB2312" w:cs="Times New Roman"/>
          <w:sz w:val="32"/>
          <w:szCs w:val="32"/>
          <w:highlight w:val="none"/>
        </w:rPr>
        <w:t>三亚市中医院202</w:t>
      </w:r>
      <w:r>
        <w:rPr>
          <w:rFonts w:hint="eastAsia" w:ascii="Times New Roman" w:hAnsi="Times New Roman" w:eastAsia="仿宋_GB2312" w:cs="Times New Roman"/>
          <w:sz w:val="32"/>
          <w:szCs w:val="32"/>
          <w:highlight w:val="none"/>
          <w:lang w:val="en-US" w:eastAsia="zh-CN"/>
        </w:rPr>
        <w:t>3</w:t>
      </w:r>
      <w:r>
        <w:rPr>
          <w:rFonts w:hint="eastAsia" w:ascii="Times New Roman" w:hAnsi="Times New Roman" w:eastAsia="仿宋_GB2312" w:cs="Times New Roman"/>
          <w:sz w:val="32"/>
          <w:szCs w:val="32"/>
          <w:highlight w:val="none"/>
        </w:rPr>
        <w:t>年一般公共预算当年拨款</w:t>
      </w:r>
      <w:r>
        <w:rPr>
          <w:rFonts w:hint="eastAsia" w:ascii="Times New Roman" w:hAnsi="Times New Roman" w:eastAsia="仿宋_GB2312" w:cs="Times New Roman"/>
          <w:sz w:val="32"/>
          <w:szCs w:val="32"/>
          <w:highlight w:val="none"/>
          <w:lang w:val="en-US" w:eastAsia="zh-CN"/>
        </w:rPr>
        <w:t>6237.92</w:t>
      </w:r>
      <w:r>
        <w:rPr>
          <w:rFonts w:hint="eastAsia" w:ascii="Times New Roman" w:hAnsi="Times New Roman" w:eastAsia="仿宋_GB2312" w:cs="Times New Roman"/>
          <w:sz w:val="32"/>
          <w:szCs w:val="32"/>
          <w:highlight w:val="none"/>
        </w:rPr>
        <w:t>万元，比上年预算数</w:t>
      </w:r>
      <w:r>
        <w:rPr>
          <w:rFonts w:hint="eastAsia" w:ascii="Times New Roman" w:hAnsi="Times New Roman" w:eastAsia="仿宋_GB2312" w:cs="Times New Roman"/>
          <w:sz w:val="32"/>
          <w:szCs w:val="32"/>
          <w:highlight w:val="none"/>
          <w:lang w:val="en-US" w:eastAsia="zh-CN"/>
        </w:rPr>
        <w:t>增加1800.04万元</w:t>
      </w:r>
      <w:r>
        <w:rPr>
          <w:rFonts w:hint="eastAsia" w:ascii="Times New Roman" w:hAnsi="Times New Roman" w:eastAsia="仿宋_GB2312" w:cs="Times New Roman"/>
          <w:sz w:val="32"/>
          <w:szCs w:val="32"/>
          <w:highlight w:val="none"/>
        </w:rPr>
        <w:t>，主要原因是（1）专用设备购置经费</w:t>
      </w:r>
      <w:r>
        <w:rPr>
          <w:rFonts w:hint="eastAsia" w:ascii="Times New Roman" w:hAnsi="Times New Roman" w:eastAsia="仿宋_GB2312" w:cs="Times New Roman"/>
          <w:sz w:val="32"/>
          <w:szCs w:val="32"/>
          <w:highlight w:val="none"/>
          <w:lang w:val="en-US" w:eastAsia="zh-CN"/>
        </w:rPr>
        <w:t>增加</w:t>
      </w:r>
      <w:r>
        <w:rPr>
          <w:rFonts w:hint="eastAsia" w:ascii="Times New Roman" w:hAnsi="Times New Roman" w:eastAsia="仿宋_GB2312" w:cs="Times New Roman"/>
          <w:sz w:val="32"/>
          <w:szCs w:val="32"/>
          <w:highlight w:val="none"/>
        </w:rPr>
        <w:t>了</w:t>
      </w:r>
      <w:r>
        <w:rPr>
          <w:rFonts w:hint="eastAsia" w:ascii="Times New Roman" w:hAnsi="Times New Roman" w:eastAsia="仿宋_GB2312" w:cs="Times New Roman"/>
          <w:sz w:val="32"/>
          <w:szCs w:val="32"/>
          <w:highlight w:val="none"/>
          <w:lang w:val="en-US" w:eastAsia="zh-CN"/>
        </w:rPr>
        <w:t>1270</w:t>
      </w:r>
      <w:r>
        <w:rPr>
          <w:rFonts w:hint="eastAsia"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人才开发专项</w:t>
      </w:r>
      <w:r>
        <w:rPr>
          <w:rFonts w:hint="eastAsia" w:ascii="Times New Roman" w:hAnsi="Times New Roman" w:eastAsia="仿宋_GB2312" w:cs="Times New Roman"/>
          <w:sz w:val="32"/>
          <w:szCs w:val="32"/>
          <w:highlight w:val="none"/>
        </w:rPr>
        <w:t>300万元的增加；（</w:t>
      </w:r>
      <w:r>
        <w:rPr>
          <w:rFonts w:hint="eastAsia" w:ascii="Times New Roman" w:hAnsi="Times New Roman" w:eastAsia="仿宋_GB2312" w:cs="Times New Roman"/>
          <w:sz w:val="32"/>
          <w:szCs w:val="32"/>
          <w:highlight w:val="none"/>
          <w:lang w:val="en-US" w:eastAsia="zh-CN"/>
        </w:rPr>
        <w:t>3</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运营费用230万元的增加；（4）机关事业单位基本养老保险缴费增加0.4万元。</w:t>
      </w:r>
    </w:p>
    <w:p>
      <w:pPr>
        <w:pStyle w:val="8"/>
        <w:spacing w:line="500" w:lineRule="exact"/>
        <w:ind w:firstLine="300" w:firstLineChars="100"/>
        <w:jc w:val="left"/>
        <w:rPr>
          <w:rFonts w:ascii="Times New Roman" w:hAnsi="Times New Roman" w:eastAsia="楷体" w:cs="Times New Roman"/>
          <w:sz w:val="32"/>
          <w:szCs w:val="32"/>
          <w:highlight w:val="none"/>
        </w:rPr>
      </w:pPr>
      <w:r>
        <w:rPr>
          <w:rFonts w:hint="eastAsia" w:ascii="微软雅黑" w:hAnsi="微软雅黑" w:eastAsia="微软雅黑" w:cs="微软雅黑"/>
          <w:color w:val="333333"/>
          <w:kern w:val="0"/>
          <w:sz w:val="30"/>
          <w:szCs w:val="30"/>
          <w:highlight w:val="none"/>
          <w:shd w:val="clear" w:color="auto" w:fill="FFFFFF"/>
        </w:rPr>
        <w:t>（二）</w:t>
      </w:r>
      <w:r>
        <w:rPr>
          <w:rFonts w:hint="eastAsia" w:ascii="Times New Roman" w:hAnsi="Times New Roman" w:eastAsia="楷体" w:cs="Times New Roman"/>
          <w:sz w:val="32"/>
          <w:szCs w:val="32"/>
          <w:highlight w:val="none"/>
        </w:rPr>
        <w:t>一般公共预算当年拨款结构情况</w:t>
      </w:r>
    </w:p>
    <w:p>
      <w:pPr>
        <w:pStyle w:val="8"/>
        <w:spacing w:line="500" w:lineRule="exact"/>
        <w:ind w:firstLine="640"/>
        <w:jc w:val="both"/>
        <w:rPr>
          <w:rFonts w:hint="eastAsia" w:ascii="Times New Roman" w:hAnsi="Times New Roman" w:eastAsia="仿宋_GB2312" w:cs="Times New Roman"/>
          <w:sz w:val="32"/>
          <w:szCs w:val="32"/>
          <w:highlight w:val="yellow"/>
          <w:lang w:eastAsia="zh-CN"/>
        </w:rPr>
      </w:pPr>
      <w:r>
        <w:rPr>
          <w:rFonts w:hint="eastAsia" w:ascii="Times New Roman" w:hAnsi="Times New Roman" w:eastAsia="仿宋_GB2312" w:cs="Times New Roman"/>
          <w:sz w:val="32"/>
          <w:szCs w:val="32"/>
          <w:highlight w:val="none"/>
        </w:rPr>
        <w:t>社会保障和就业支出</w:t>
      </w:r>
      <w:r>
        <w:rPr>
          <w:rFonts w:hint="eastAsia" w:ascii="Times New Roman" w:hAnsi="Times New Roman" w:eastAsia="仿宋_GB2312" w:cs="Times New Roman"/>
          <w:sz w:val="32"/>
          <w:szCs w:val="32"/>
          <w:highlight w:val="none"/>
          <w:lang w:val="en-US" w:eastAsia="zh-CN"/>
        </w:rPr>
        <w:t>637.92</w:t>
      </w:r>
      <w:r>
        <w:rPr>
          <w:rFonts w:hint="eastAsia" w:ascii="Times New Roman" w:hAnsi="Times New Roman" w:eastAsia="仿宋_GB2312" w:cs="Times New Roman"/>
          <w:sz w:val="32"/>
          <w:szCs w:val="32"/>
          <w:highlight w:val="none"/>
        </w:rPr>
        <w:t>万元，占一般公共预算</w:t>
      </w:r>
      <w:r>
        <w:rPr>
          <w:rFonts w:hint="eastAsia" w:ascii="Times New Roman" w:hAnsi="Times New Roman" w:eastAsia="仿宋_GB2312" w:cs="Times New Roman"/>
          <w:sz w:val="32"/>
          <w:szCs w:val="32"/>
          <w:highlight w:val="none"/>
          <w:lang w:eastAsia="zh-CN"/>
        </w:rPr>
        <w:t>总支出</w:t>
      </w:r>
      <w:r>
        <w:rPr>
          <w:rFonts w:hint="eastAsia" w:ascii="Times New Roman" w:hAnsi="Times New Roman" w:eastAsia="仿宋_GB2312" w:cs="Times New Roman"/>
          <w:sz w:val="32"/>
          <w:szCs w:val="32"/>
          <w:highlight w:val="none"/>
          <w:lang w:val="en-US" w:eastAsia="zh-CN"/>
        </w:rPr>
        <w:t>9.48</w:t>
      </w:r>
      <w:r>
        <w:rPr>
          <w:rFonts w:hint="eastAsia" w:ascii="Times New Roman" w:hAnsi="Times New Roman" w:eastAsia="仿宋_GB2312" w:cs="Times New Roman"/>
          <w:sz w:val="32"/>
          <w:szCs w:val="32"/>
          <w:highlight w:val="none"/>
        </w:rPr>
        <w:t>%；卫生健康支出</w:t>
      </w:r>
      <w:r>
        <w:rPr>
          <w:rFonts w:hint="eastAsia" w:ascii="Times New Roman" w:hAnsi="Times New Roman" w:eastAsia="仿宋_GB2312" w:cs="Times New Roman"/>
          <w:sz w:val="32"/>
          <w:szCs w:val="32"/>
          <w:highlight w:val="none"/>
          <w:lang w:val="en-US" w:eastAsia="zh-CN"/>
        </w:rPr>
        <w:t>6070.12</w:t>
      </w:r>
      <w:r>
        <w:rPr>
          <w:rFonts w:hint="eastAsia" w:ascii="Times New Roman" w:hAnsi="Times New Roman" w:eastAsia="仿宋_GB2312" w:cs="Times New Roman"/>
          <w:sz w:val="32"/>
          <w:szCs w:val="32"/>
          <w:highlight w:val="none"/>
        </w:rPr>
        <w:t>万元，占一般公共预算总支出</w:t>
      </w:r>
      <w:r>
        <w:rPr>
          <w:rFonts w:hint="eastAsia" w:ascii="Times New Roman" w:hAnsi="Times New Roman" w:eastAsia="仿宋_GB2312" w:cs="Times New Roman"/>
          <w:sz w:val="32"/>
          <w:szCs w:val="32"/>
          <w:highlight w:val="none"/>
          <w:lang w:val="en-US" w:eastAsia="zh-CN"/>
        </w:rPr>
        <w:t>90.52</w:t>
      </w:r>
      <w:r>
        <w:rPr>
          <w:rFonts w:hint="eastAsia" w:ascii="Times New Roman" w:hAnsi="Times New Roman" w:eastAsia="仿宋_GB2312" w:cs="Times New Roman"/>
          <w:sz w:val="32"/>
          <w:szCs w:val="32"/>
          <w:highlight w:val="none"/>
        </w:rPr>
        <w:t>%。</w:t>
      </w:r>
    </w:p>
    <w:p>
      <w:pPr>
        <w:numPr>
          <w:ilvl w:val="0"/>
          <w:numId w:val="10"/>
        </w:numPr>
        <w:ind w:firstLine="640"/>
        <w:jc w:val="left"/>
        <w:rPr>
          <w:rFonts w:ascii="Times New Roman" w:hAnsi="Times New Roman" w:eastAsia="楷体" w:cs="Times New Roman"/>
          <w:color w:val="000000" w:themeColor="text1"/>
          <w:sz w:val="32"/>
          <w:szCs w:val="32"/>
          <w:highlight w:val="none"/>
          <w14:textFill>
            <w14:solidFill>
              <w14:schemeClr w14:val="tx1"/>
            </w14:solidFill>
          </w14:textFill>
        </w:rPr>
      </w:pPr>
      <w:r>
        <w:rPr>
          <w:rFonts w:ascii="Times New Roman" w:hAnsi="Times New Roman" w:eastAsia="楷体" w:cs="Times New Roman"/>
          <w:color w:val="000000" w:themeColor="text1"/>
          <w:sz w:val="32"/>
          <w:szCs w:val="32"/>
          <w:highlight w:val="none"/>
          <w14:textFill>
            <w14:solidFill>
              <w14:schemeClr w14:val="tx1"/>
            </w14:solidFill>
          </w14:textFill>
        </w:rPr>
        <w:t>一般公共预算当年拨款具体使用情况</w:t>
      </w:r>
    </w:p>
    <w:p>
      <w:pPr>
        <w:numPr>
          <w:ilvl w:val="0"/>
          <w:numId w:val="11"/>
        </w:numPr>
        <w:ind w:firstLine="640" w:firstLineChars="200"/>
        <w:jc w:val="both"/>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一般公共</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预算</w:t>
      </w:r>
      <w:r>
        <w:rPr>
          <w:rFonts w:ascii="Times New Roman" w:hAnsi="Times New Roman" w:eastAsia="仿宋_GB2312" w:cs="Times New Roman"/>
          <w:color w:val="000000" w:themeColor="text1"/>
          <w:sz w:val="32"/>
          <w:szCs w:val="32"/>
          <w:highlight w:val="none"/>
          <w14:textFill>
            <w14:solidFill>
              <w14:schemeClr w14:val="tx1"/>
            </w14:solidFill>
          </w14:textFill>
        </w:rPr>
        <w:t>社会保障和就业支出</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（类）</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行政</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事业单</w:t>
      </w:r>
      <w:r>
        <w:rPr>
          <w:rFonts w:ascii="Times New Roman" w:hAnsi="Times New Roman" w:eastAsia="仿宋_GB2312" w:cs="Times New Roman"/>
          <w:color w:val="000000" w:themeColor="text1"/>
          <w:sz w:val="32"/>
          <w:szCs w:val="32"/>
          <w:highlight w:val="none"/>
          <w14:textFill>
            <w14:solidFill>
              <w14:schemeClr w14:val="tx1"/>
            </w14:solidFill>
          </w14:textFill>
        </w:rPr>
        <w:t>位养老支出（款）</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机关</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事业单</w:t>
      </w:r>
      <w:r>
        <w:rPr>
          <w:rFonts w:ascii="Times New Roman" w:hAnsi="Times New Roman" w:eastAsia="仿宋_GB2312" w:cs="Times New Roman"/>
          <w:color w:val="000000" w:themeColor="text1"/>
          <w:sz w:val="32"/>
          <w:szCs w:val="32"/>
          <w:highlight w:val="none"/>
          <w14:textFill>
            <w14:solidFill>
              <w14:schemeClr w14:val="tx1"/>
            </w14:solidFill>
          </w14:textFill>
        </w:rPr>
        <w:t>位</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基本</w:t>
      </w:r>
      <w:r>
        <w:rPr>
          <w:rFonts w:ascii="Times New Roman" w:hAnsi="Times New Roman" w:eastAsia="仿宋_GB2312" w:cs="Times New Roman"/>
          <w:color w:val="000000" w:themeColor="text1"/>
          <w:sz w:val="32"/>
          <w:szCs w:val="32"/>
          <w:highlight w:val="none"/>
          <w14:textFill>
            <w14:solidFill>
              <w14:schemeClr w14:val="tx1"/>
            </w14:solidFill>
          </w14:textFill>
        </w:rPr>
        <w:t>养老</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保险缴费</w:t>
      </w:r>
      <w:r>
        <w:rPr>
          <w:rFonts w:ascii="Times New Roman" w:hAnsi="Times New Roman" w:eastAsia="仿宋_GB2312" w:cs="Times New Roman"/>
          <w:color w:val="000000" w:themeColor="text1"/>
          <w:sz w:val="32"/>
          <w:szCs w:val="32"/>
          <w:highlight w:val="none"/>
          <w14:textFill>
            <w14:solidFill>
              <w14:schemeClr w14:val="tx1"/>
            </w14:solidFill>
          </w14:textFill>
        </w:rPr>
        <w:t>支出（</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项</w:t>
      </w:r>
      <w:r>
        <w:rPr>
          <w:rFonts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3</w:t>
      </w:r>
      <w:r>
        <w:rPr>
          <w:rFonts w:ascii="Times New Roman" w:hAnsi="Times New Roman" w:eastAsia="仿宋_GB2312" w:cs="Times New Roman"/>
          <w:color w:val="000000" w:themeColor="text1"/>
          <w:sz w:val="32"/>
          <w:szCs w:val="32"/>
          <w:highlight w:val="none"/>
          <w14:textFill>
            <w14:solidFill>
              <w14:schemeClr w14:val="tx1"/>
            </w14:solidFill>
          </w14:textFill>
        </w:rPr>
        <w:t>年预算数</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合计</w:t>
      </w:r>
      <w:r>
        <w:rPr>
          <w:rFonts w:ascii="Times New Roman" w:hAnsi="Times New Roman" w:eastAsia="仿宋_GB2312" w:cs="Times New Roman"/>
          <w:color w:val="000000" w:themeColor="text1"/>
          <w:sz w:val="32"/>
          <w:szCs w:val="32"/>
          <w:highlight w:val="none"/>
          <w14:textFill>
            <w14:solidFill>
              <w14:schemeClr w14:val="tx1"/>
            </w14:solidFill>
          </w14:textFill>
        </w:rPr>
        <w:t>为</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425.28</w:t>
      </w:r>
      <w:r>
        <w:rPr>
          <w:rFonts w:ascii="Times New Roman" w:hAnsi="Times New Roman" w:eastAsia="仿宋_GB2312" w:cs="Times New Roman"/>
          <w:color w:val="000000" w:themeColor="text1"/>
          <w:sz w:val="32"/>
          <w:szCs w:val="32"/>
          <w:highlight w:val="none"/>
          <w14:textFill>
            <w14:solidFill>
              <w14:schemeClr w14:val="tx1"/>
            </w14:solidFill>
          </w14:textFill>
        </w:rPr>
        <w:t>万元，比上年预算数增加</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0.4</w:t>
      </w:r>
      <w:r>
        <w:rPr>
          <w:rFonts w:ascii="Times New Roman" w:hAnsi="Times New Roman" w:eastAsia="仿宋_GB2312" w:cs="Times New Roman"/>
          <w:color w:val="000000" w:themeColor="text1"/>
          <w:sz w:val="32"/>
          <w:szCs w:val="32"/>
          <w:highlight w:val="none"/>
          <w14:textFill>
            <w14:solidFill>
              <w14:schemeClr w14:val="tx1"/>
            </w14:solidFill>
          </w14:textFill>
        </w:rPr>
        <w:t>万元，</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主要是</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社会保障和就业支出</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增加了0.4万元。</w:t>
      </w:r>
    </w:p>
    <w:p>
      <w:pPr>
        <w:numPr>
          <w:ilvl w:val="0"/>
          <w:numId w:val="11"/>
        </w:numPr>
        <w:ind w:firstLine="640" w:firstLineChars="200"/>
        <w:jc w:val="both"/>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一般公共</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预算</w:t>
      </w:r>
      <w:r>
        <w:rPr>
          <w:rFonts w:ascii="Times New Roman" w:hAnsi="Times New Roman" w:eastAsia="仿宋_GB2312" w:cs="Times New Roman"/>
          <w:color w:val="000000" w:themeColor="text1"/>
          <w:sz w:val="32"/>
          <w:szCs w:val="32"/>
          <w:highlight w:val="none"/>
          <w14:textFill>
            <w14:solidFill>
              <w14:schemeClr w14:val="tx1"/>
            </w14:solidFill>
          </w14:textFill>
        </w:rPr>
        <w:t>社会保障和就业支出</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（类）</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行政</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事业单</w:t>
      </w:r>
      <w:r>
        <w:rPr>
          <w:rFonts w:ascii="Times New Roman" w:hAnsi="Times New Roman" w:eastAsia="仿宋_GB2312" w:cs="Times New Roman"/>
          <w:color w:val="000000" w:themeColor="text1"/>
          <w:sz w:val="32"/>
          <w:szCs w:val="32"/>
          <w:highlight w:val="none"/>
          <w14:textFill>
            <w14:solidFill>
              <w14:schemeClr w14:val="tx1"/>
            </w14:solidFill>
          </w14:textFill>
        </w:rPr>
        <w:t>位养老支出（款）机关事业单位职业年金缴费支出（项）</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3</w:t>
      </w:r>
      <w:r>
        <w:rPr>
          <w:rFonts w:ascii="Times New Roman" w:hAnsi="Times New Roman" w:eastAsia="仿宋_GB2312" w:cs="Times New Roman"/>
          <w:color w:val="000000" w:themeColor="text1"/>
          <w:sz w:val="32"/>
          <w:szCs w:val="32"/>
          <w:highlight w:val="none"/>
          <w14:textFill>
            <w14:solidFill>
              <w14:schemeClr w14:val="tx1"/>
            </w14:solidFill>
          </w14:textFill>
        </w:rPr>
        <w:t>年预算数为</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212.64</w:t>
      </w:r>
      <w:r>
        <w:rPr>
          <w:rFonts w:ascii="Times New Roman" w:hAnsi="Times New Roman" w:eastAsia="仿宋_GB2312" w:cs="Times New Roman"/>
          <w:color w:val="000000" w:themeColor="text1"/>
          <w:sz w:val="32"/>
          <w:szCs w:val="32"/>
          <w:highlight w:val="none"/>
          <w14:textFill>
            <w14:solidFill>
              <w14:schemeClr w14:val="tx1"/>
            </w14:solidFill>
          </w14:textFill>
        </w:rPr>
        <w:t>万元，</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与上年度预算数持平。</w:t>
      </w:r>
    </w:p>
    <w:p>
      <w:pPr>
        <w:ind w:firstLine="640" w:firstLineChars="200"/>
        <w:jc w:val="both"/>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3、</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一般公共预算卫生健康支出（类）</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公立医院（</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款</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综合医院</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项</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2023年预算数为79.51万元，与上年度比较，增加了71.9万元，主要是2022年年末项目结转。</w:t>
      </w:r>
    </w:p>
    <w:p>
      <w:pPr>
        <w:ind w:firstLine="640" w:firstLineChars="200"/>
        <w:jc w:val="both"/>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4、</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一般公共预算卫生健康支出（类）</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公立医院（</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款</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中医（民族）医院</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项</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2023年预算数为300万元，与上年度比较，减少了5280.01万元，主要是不包含2023年年初预算设备（装备）购置与运行维护项目。</w:t>
      </w:r>
    </w:p>
    <w:p>
      <w:pPr>
        <w:ind w:firstLine="640" w:firstLineChars="200"/>
        <w:jc w:val="both"/>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5、</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一般公共预算卫生健康支出（类）</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公共卫生（</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款</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基本公共卫生服务</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项</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2023年预算数为0.55万元，与上年度比较，减少了0.55万元，主要是2022年年末项目结转。</w:t>
      </w:r>
    </w:p>
    <w:p>
      <w:pPr>
        <w:ind w:firstLine="640" w:firstLineChars="200"/>
        <w:jc w:val="both"/>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一般公共预算卫生健康支出（类）</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公共卫生（</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款</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重大公共卫生服务</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项</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2023年预算数为0.52万元，与上年度比较，减少了9.41万元，主要是2022年年末项目结转。</w:t>
      </w:r>
    </w:p>
    <w:p>
      <w:pPr>
        <w:ind w:firstLine="640" w:firstLineChars="200"/>
        <w:jc w:val="both"/>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一般公共预算卫生健康支出（类）</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公共卫生（</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款</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其他公共卫生支出</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项</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2023年预算数为110.8万元，与上年度比较，增加了110.8万元，主要是2022年年末项目结转。</w:t>
      </w:r>
    </w:p>
    <w:p>
      <w:pPr>
        <w:ind w:firstLine="640" w:firstLineChars="200"/>
        <w:jc w:val="both"/>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8、一般公共预算卫生健康支出（类）中医药（款）中医(民族医)药专项（项）2023年预算数为5489.88万元，与上年度比较，增加了2647.77万元，主要包含了设备（装备）购置与运行维护项目2900万元，卫生健康发展专项资金2400万元及2022年年末项目结转。</w:t>
      </w:r>
    </w:p>
    <w:p>
      <w:pPr>
        <w:ind w:firstLine="640" w:firstLineChars="200"/>
        <w:jc w:val="both"/>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9、一般公共预算卫生健康支出（类）医疗保障管理事务（款）医疗保障政策管理（项）2023年预算数为9万元，与上年度比较，增加了9万元，主要是2022年年末项目结转。</w:t>
      </w:r>
    </w:p>
    <w:p>
      <w:pPr>
        <w:ind w:firstLine="640" w:firstLineChars="200"/>
        <w:jc w:val="both"/>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10、一般公共预算卫生健康支出（类）其他卫生健康支出（款）其他卫生健康支出（项）2023年预算数为79.87万元，与上年度比较，减少了404.07万元，主要是2022年年末项目结转。</w:t>
      </w:r>
    </w:p>
    <w:p>
      <w:pPr>
        <w:ind w:firstLine="640"/>
        <w:jc w:val="both"/>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三、</w:t>
      </w:r>
      <w:r>
        <w:rPr>
          <w:rFonts w:ascii="Times New Roman" w:hAnsi="Times New Roman" w:eastAsia="黑体" w:cs="Times New Roman"/>
          <w:sz w:val="32"/>
          <w:szCs w:val="32"/>
          <w:highlight w:val="none"/>
        </w:rPr>
        <w:t>关于</w:t>
      </w:r>
      <w:r>
        <w:rPr>
          <w:rFonts w:hint="eastAsia" w:ascii="Times New Roman" w:hAnsi="Times New Roman" w:eastAsia="黑体" w:cs="Times New Roman"/>
          <w:sz w:val="32"/>
          <w:szCs w:val="32"/>
          <w:highlight w:val="none"/>
        </w:rPr>
        <w:t>三亚市中医院202</w:t>
      </w:r>
      <w:r>
        <w:rPr>
          <w:rFonts w:hint="eastAsia" w:ascii="Times New Roman" w:hAnsi="Times New Roman" w:eastAsia="黑体" w:cs="Times New Roman"/>
          <w:sz w:val="32"/>
          <w:szCs w:val="32"/>
          <w:highlight w:val="none"/>
          <w:lang w:val="en-US" w:eastAsia="zh-CN"/>
        </w:rPr>
        <w:t>3</w:t>
      </w:r>
      <w:r>
        <w:rPr>
          <w:rFonts w:ascii="Times New Roman" w:hAnsi="Times New Roman" w:eastAsia="黑体" w:cs="Times New Roman"/>
          <w:sz w:val="32"/>
          <w:szCs w:val="32"/>
          <w:highlight w:val="none"/>
        </w:rPr>
        <w:t>年一般公共预算基本支出情况说明</w:t>
      </w:r>
    </w:p>
    <w:p>
      <w:pPr>
        <w:pStyle w:val="8"/>
        <w:spacing w:line="500" w:lineRule="exact"/>
        <w:ind w:firstLine="640"/>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三亚市中医院202</w:t>
      </w:r>
      <w:r>
        <w:rPr>
          <w:rFonts w:hint="eastAsia" w:ascii="Times New Roman" w:hAnsi="Times New Roman" w:eastAsia="仿宋_GB2312" w:cs="Times New Roman"/>
          <w:sz w:val="32"/>
          <w:szCs w:val="32"/>
          <w:highlight w:val="none"/>
          <w:lang w:val="en-US" w:eastAsia="zh-CN"/>
        </w:rPr>
        <w:t>3</w:t>
      </w:r>
      <w:r>
        <w:rPr>
          <w:rFonts w:ascii="Times New Roman" w:hAnsi="Times New Roman" w:eastAsia="仿宋_GB2312" w:cs="Times New Roman"/>
          <w:sz w:val="32"/>
          <w:szCs w:val="32"/>
          <w:highlight w:val="none"/>
        </w:rPr>
        <w:t>年一般公共预算基本支出为</w:t>
      </w:r>
      <w:r>
        <w:rPr>
          <w:rFonts w:hint="eastAsia" w:ascii="Times New Roman" w:hAnsi="Times New Roman" w:eastAsia="仿宋_GB2312" w:cs="Times New Roman"/>
          <w:sz w:val="32"/>
          <w:szCs w:val="32"/>
          <w:highlight w:val="none"/>
        </w:rPr>
        <w:t>0</w:t>
      </w:r>
      <w:r>
        <w:rPr>
          <w:rFonts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rPr>
        <w:t>，因三亚市中医院为差额拨款单位。</w:t>
      </w:r>
    </w:p>
    <w:p>
      <w:pPr>
        <w:pStyle w:val="8"/>
        <w:numPr>
          <w:ilvl w:val="0"/>
          <w:numId w:val="12"/>
        </w:numPr>
        <w:spacing w:line="500" w:lineRule="exact"/>
        <w:ind w:firstLine="640"/>
        <w:jc w:val="both"/>
        <w:rPr>
          <w:rFonts w:ascii="Times New Roman" w:hAnsi="Times New Roman" w:eastAsia="黑体" w:cs="Times New Roman"/>
          <w:sz w:val="32"/>
          <w:highlight w:val="none"/>
          <w:shd w:val="clear" w:color="auto" w:fill="FFFFFF"/>
        </w:rPr>
      </w:pPr>
      <w:r>
        <w:rPr>
          <w:rFonts w:hint="eastAsia" w:ascii="Times New Roman" w:hAnsi="Times New Roman" w:eastAsia="黑体" w:cs="Times New Roman"/>
          <w:sz w:val="32"/>
          <w:highlight w:val="none"/>
          <w:shd w:val="clear" w:color="auto" w:fill="FFFFFF"/>
        </w:rPr>
        <w:t>三亚市中医院202</w:t>
      </w:r>
      <w:r>
        <w:rPr>
          <w:rFonts w:hint="eastAsia" w:ascii="Times New Roman" w:hAnsi="Times New Roman" w:eastAsia="黑体" w:cs="Times New Roman"/>
          <w:sz w:val="32"/>
          <w:highlight w:val="none"/>
          <w:shd w:val="clear" w:color="auto" w:fill="FFFFFF"/>
          <w:lang w:val="en-US" w:eastAsia="zh-CN"/>
        </w:rPr>
        <w:t>3</w:t>
      </w:r>
      <w:r>
        <w:rPr>
          <w:rFonts w:ascii="Times New Roman" w:hAnsi="Times New Roman" w:eastAsia="黑体" w:cs="Times New Roman"/>
          <w:sz w:val="32"/>
          <w:highlight w:val="none"/>
          <w:shd w:val="clear" w:color="auto" w:fill="FFFFFF"/>
        </w:rPr>
        <w:t>年“三公”经费预算情况说明</w:t>
      </w:r>
    </w:p>
    <w:p>
      <w:pPr>
        <w:ind w:firstLine="640"/>
        <w:jc w:val="both"/>
        <w:rPr>
          <w:rFonts w:hint="eastAsia" w:ascii="Times New Roman" w:hAnsi="Times New Roman" w:eastAsia="楷体" w:cs="Times New Roman"/>
          <w:sz w:val="32"/>
          <w:szCs w:val="32"/>
          <w:highlight w:val="none"/>
          <w:lang w:val="en-US" w:eastAsia="zh-CN"/>
        </w:rPr>
      </w:pPr>
      <w:r>
        <w:rPr>
          <w:rFonts w:hint="eastAsia" w:ascii="Times New Roman" w:hAnsi="Times New Roman" w:eastAsia="楷体" w:cs="Times New Roman"/>
          <w:sz w:val="32"/>
          <w:szCs w:val="32"/>
          <w:highlight w:val="none"/>
          <w:lang w:val="en-US" w:eastAsia="zh-CN"/>
        </w:rPr>
        <w:t>（一）三亚市中医院2023年一般公共预算“三公”经费预算数为0万元，其中：</w:t>
      </w:r>
    </w:p>
    <w:p>
      <w:pPr>
        <w:ind w:firstLine="640" w:firstLineChars="200"/>
        <w:jc w:val="both"/>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因公出国（境）经费0万元，与上年预算持平；公务用车购置及运行费0万元（其中，公务用车购置费0万元，公务用车运行维护费0万元），与上年预算持平。公务车保有量0辆，计划购置0辆；公务接待费0万元，与上年预算持平，计划接待3批30</w:t>
      </w:r>
      <w:bookmarkStart w:id="0" w:name="_GoBack"/>
      <w:bookmarkEnd w:id="0"/>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人。</w:t>
      </w:r>
    </w:p>
    <w:p>
      <w:pPr>
        <w:ind w:firstLine="640"/>
        <w:jc w:val="both"/>
        <w:rPr>
          <w:rFonts w:hint="eastAsia" w:ascii="Times New Roman" w:hAnsi="Times New Roman" w:eastAsia="楷体" w:cs="Times New Roman"/>
          <w:sz w:val="32"/>
          <w:szCs w:val="32"/>
          <w:highlight w:val="none"/>
          <w:lang w:val="en-US" w:eastAsia="zh-CN"/>
        </w:rPr>
      </w:pPr>
      <w:r>
        <w:rPr>
          <w:rFonts w:hint="eastAsia" w:ascii="Times New Roman" w:hAnsi="Times New Roman" w:eastAsia="楷体" w:cs="Times New Roman"/>
          <w:sz w:val="32"/>
          <w:szCs w:val="32"/>
          <w:highlight w:val="none"/>
          <w:lang w:val="en-US" w:eastAsia="zh-CN"/>
        </w:rPr>
        <w:t>（二）三亚市中医院2023年政府性基金预算“三公”经费预算数为0万元，其中：</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因公出国（境）经费0万元，</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2023年无出国计划，</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与上年预算持平；公务用车购置及运行费0万元（其中，公务用车购置费0万元，公务用车运行维护费0万元）</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与上年预算持平</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公务车保有量0辆，计划购置0辆。公务接待费0万元，与上年预算持平。计划接待0批0人。</w:t>
      </w:r>
    </w:p>
    <w:p>
      <w:pPr>
        <w:ind w:firstLine="640" w:firstLineChars="200"/>
        <w:jc w:val="both"/>
        <w:rPr>
          <w:rFonts w:ascii="Times New Roman" w:hAnsi="Times New Roman" w:eastAsia="黑体" w:cs="Times New Roman"/>
          <w:sz w:val="32"/>
          <w:highlight w:val="none"/>
          <w:shd w:val="clear" w:color="auto" w:fill="FFFFFF"/>
        </w:rPr>
      </w:pPr>
      <w:r>
        <w:rPr>
          <w:rFonts w:ascii="Times New Roman" w:hAnsi="Times New Roman" w:eastAsia="黑体" w:cs="Times New Roman"/>
          <w:sz w:val="32"/>
          <w:highlight w:val="none"/>
          <w:shd w:val="clear" w:color="auto" w:fill="FFFFFF"/>
        </w:rPr>
        <w:t>五、关于</w:t>
      </w:r>
      <w:r>
        <w:rPr>
          <w:rFonts w:hint="eastAsia" w:ascii="Times New Roman" w:hAnsi="Times New Roman" w:eastAsia="黑体" w:cs="Times New Roman"/>
          <w:sz w:val="32"/>
          <w:highlight w:val="none"/>
          <w:shd w:val="clear" w:color="auto" w:fill="FFFFFF"/>
        </w:rPr>
        <w:t>三亚市中医院202</w:t>
      </w:r>
      <w:r>
        <w:rPr>
          <w:rFonts w:hint="eastAsia" w:ascii="Times New Roman" w:hAnsi="Times New Roman" w:eastAsia="黑体" w:cs="Times New Roman"/>
          <w:sz w:val="32"/>
          <w:highlight w:val="none"/>
          <w:shd w:val="clear" w:color="auto" w:fill="FFFFFF"/>
          <w:lang w:val="en-US" w:eastAsia="zh-CN"/>
        </w:rPr>
        <w:t>3</w:t>
      </w:r>
      <w:r>
        <w:rPr>
          <w:rFonts w:ascii="Times New Roman" w:hAnsi="Times New Roman" w:eastAsia="黑体" w:cs="Times New Roman"/>
          <w:sz w:val="32"/>
          <w:highlight w:val="none"/>
          <w:shd w:val="clear" w:color="auto" w:fill="FFFFFF"/>
        </w:rPr>
        <w:t>年政府性基金预算当年拨款情况说明</w:t>
      </w:r>
    </w:p>
    <w:p>
      <w:pPr>
        <w:ind w:firstLine="640"/>
        <w:jc w:val="both"/>
        <w:rPr>
          <w:rFonts w:ascii="Times New Roman" w:hAnsi="Times New Roman" w:eastAsia="楷体" w:cs="Times New Roman"/>
          <w:sz w:val="32"/>
          <w:szCs w:val="32"/>
          <w:highlight w:val="none"/>
        </w:rPr>
      </w:pPr>
      <w:r>
        <w:rPr>
          <w:rFonts w:ascii="Times New Roman" w:hAnsi="Times New Roman" w:eastAsia="楷体" w:cs="Times New Roman"/>
          <w:sz w:val="32"/>
          <w:szCs w:val="32"/>
          <w:highlight w:val="none"/>
        </w:rPr>
        <w:t>（一）政府性基金预算当年规模变化情况</w:t>
      </w:r>
    </w:p>
    <w:p>
      <w:pPr>
        <w:ind w:firstLine="640" w:firstLineChars="200"/>
        <w:jc w:val="both"/>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rPr>
        <w:t>三亚市中医院202</w:t>
      </w:r>
      <w:r>
        <w:rPr>
          <w:rFonts w:hint="eastAsia" w:ascii="Times New Roman" w:hAnsi="Times New Roman" w:eastAsia="仿宋_GB2312" w:cs="Times New Roman"/>
          <w:sz w:val="32"/>
          <w:szCs w:val="32"/>
          <w:highlight w:val="none"/>
          <w:lang w:val="en-US" w:eastAsia="zh-CN"/>
        </w:rPr>
        <w:t>3</w:t>
      </w:r>
      <w:r>
        <w:rPr>
          <w:rFonts w:ascii="Times New Roman" w:hAnsi="Times New Roman" w:eastAsia="仿宋_GB2312" w:cs="Times New Roman"/>
          <w:sz w:val="32"/>
          <w:szCs w:val="32"/>
          <w:highlight w:val="none"/>
        </w:rPr>
        <w:t>年政府性基金预算当年拨款</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rPr>
        <w:t>。</w:t>
      </w:r>
    </w:p>
    <w:p>
      <w:pPr>
        <w:ind w:firstLine="640"/>
        <w:jc w:val="both"/>
        <w:rPr>
          <w:rFonts w:ascii="Times New Roman" w:hAnsi="Times New Roman" w:eastAsia="楷体" w:cs="Times New Roman"/>
          <w:sz w:val="32"/>
          <w:szCs w:val="32"/>
          <w:highlight w:val="none"/>
        </w:rPr>
      </w:pPr>
      <w:r>
        <w:rPr>
          <w:rFonts w:ascii="Times New Roman" w:hAnsi="Times New Roman" w:eastAsia="楷体" w:cs="Times New Roman"/>
          <w:sz w:val="32"/>
          <w:szCs w:val="32"/>
          <w:highlight w:val="none"/>
        </w:rPr>
        <w:t>（二）政府性基金预算当年拨款结构情况</w:t>
      </w:r>
    </w:p>
    <w:p>
      <w:pPr>
        <w:ind w:firstLine="640" w:firstLineChars="200"/>
        <w:jc w:val="both"/>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其他支出19.06</w:t>
      </w:r>
      <w:r>
        <w:rPr>
          <w:rFonts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（该部分支出属于上年结转）</w:t>
      </w:r>
    </w:p>
    <w:p>
      <w:pPr>
        <w:ind w:firstLine="640"/>
        <w:jc w:val="both"/>
        <w:rPr>
          <w:rFonts w:ascii="Times New Roman" w:hAnsi="Times New Roman" w:eastAsia="楷体" w:cs="Times New Roman"/>
          <w:sz w:val="32"/>
          <w:szCs w:val="32"/>
          <w:highlight w:val="none"/>
        </w:rPr>
      </w:pPr>
      <w:r>
        <w:rPr>
          <w:rFonts w:ascii="Times New Roman" w:hAnsi="Times New Roman" w:eastAsia="楷体" w:cs="Times New Roman"/>
          <w:sz w:val="32"/>
          <w:szCs w:val="32"/>
          <w:highlight w:val="none"/>
        </w:rPr>
        <w:t>（三）政府性基金预算当年拨款具体使用情况</w:t>
      </w:r>
    </w:p>
    <w:p>
      <w:pPr>
        <w:ind w:firstLine="640" w:firstLineChars="200"/>
        <w:jc w:val="both"/>
        <w:rPr>
          <w:rFonts w:hint="eastAsia" w:ascii="Times New Roman" w:hAnsi="Times New Roman" w:eastAsia="仿宋_GB2312" w:cs="Times New Roman"/>
          <w:sz w:val="32"/>
          <w:szCs w:val="32"/>
          <w:highlight w:val="yellow"/>
          <w:lang w:eastAsia="zh-CN"/>
        </w:rPr>
      </w:pP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其他</w:t>
      </w:r>
      <w:r>
        <w:rPr>
          <w:rFonts w:ascii="Times New Roman" w:hAnsi="Times New Roman" w:eastAsia="仿宋_GB2312" w:cs="Times New Roman"/>
          <w:color w:val="000000" w:themeColor="text1"/>
          <w:sz w:val="32"/>
          <w:szCs w:val="32"/>
          <w:highlight w:val="none"/>
          <w14:textFill>
            <w14:solidFill>
              <w14:schemeClr w14:val="tx1"/>
            </w14:solidFill>
          </w14:textFill>
        </w:rPr>
        <w:t>支出</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（类）</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彩票公益金安排的支出</w:t>
      </w:r>
      <w:r>
        <w:rPr>
          <w:rFonts w:ascii="Times New Roman" w:hAnsi="Times New Roman" w:eastAsia="仿宋_GB2312" w:cs="Times New Roman"/>
          <w:color w:val="000000" w:themeColor="text1"/>
          <w:sz w:val="32"/>
          <w:szCs w:val="32"/>
          <w:highlight w:val="none"/>
          <w14:textFill>
            <w14:solidFill>
              <w14:schemeClr w14:val="tx1"/>
            </w14:solidFill>
          </w14:textFill>
        </w:rPr>
        <w:t>（款）</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社会福利的彩票公益支出</w:t>
      </w:r>
      <w:r>
        <w:rPr>
          <w:rFonts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项</w:t>
      </w:r>
      <w:r>
        <w:rPr>
          <w:rFonts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3</w:t>
      </w:r>
      <w:r>
        <w:rPr>
          <w:rFonts w:ascii="Times New Roman" w:hAnsi="Times New Roman" w:eastAsia="仿宋_GB2312" w:cs="Times New Roman"/>
          <w:color w:val="000000" w:themeColor="text1"/>
          <w:sz w:val="32"/>
          <w:szCs w:val="32"/>
          <w:highlight w:val="none"/>
          <w14:textFill>
            <w14:solidFill>
              <w14:schemeClr w14:val="tx1"/>
            </w14:solidFill>
          </w14:textFill>
        </w:rPr>
        <w:t>年预算数</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合计</w:t>
      </w:r>
      <w:r>
        <w:rPr>
          <w:rFonts w:ascii="Times New Roman" w:hAnsi="Times New Roman" w:eastAsia="仿宋_GB2312" w:cs="Times New Roman"/>
          <w:color w:val="000000" w:themeColor="text1"/>
          <w:sz w:val="32"/>
          <w:szCs w:val="32"/>
          <w:highlight w:val="none"/>
          <w14:textFill>
            <w14:solidFill>
              <w14:schemeClr w14:val="tx1"/>
            </w14:solidFill>
          </w14:textFill>
        </w:rPr>
        <w:t>为</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19.06</w:t>
      </w:r>
      <w:r>
        <w:rPr>
          <w:rFonts w:ascii="Times New Roman" w:hAnsi="Times New Roman" w:eastAsia="仿宋_GB2312" w:cs="Times New Roman"/>
          <w:color w:val="000000" w:themeColor="text1"/>
          <w:sz w:val="32"/>
          <w:szCs w:val="32"/>
          <w:highlight w:val="none"/>
          <w14:textFill>
            <w14:solidFill>
              <w14:schemeClr w14:val="tx1"/>
            </w14:solidFill>
          </w14:textFill>
        </w:rPr>
        <w:t>万元，比上年预算数增加</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19.06</w:t>
      </w:r>
      <w:r>
        <w:rPr>
          <w:rFonts w:ascii="Times New Roman" w:hAnsi="Times New Roman" w:eastAsia="仿宋_GB2312" w:cs="Times New Roman"/>
          <w:color w:val="000000" w:themeColor="text1"/>
          <w:sz w:val="32"/>
          <w:szCs w:val="32"/>
          <w:highlight w:val="none"/>
          <w14:textFill>
            <w14:solidFill>
              <w14:schemeClr w14:val="tx1"/>
            </w14:solidFill>
          </w14:textFill>
        </w:rPr>
        <w:t>万元，</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主要是上年度项目结转。</w:t>
      </w:r>
    </w:p>
    <w:p>
      <w:pPr>
        <w:pStyle w:val="8"/>
        <w:spacing w:line="500" w:lineRule="exact"/>
        <w:ind w:firstLine="600"/>
        <w:jc w:val="both"/>
        <w:rPr>
          <w:rFonts w:ascii="微软雅黑" w:hAnsi="微软雅黑" w:eastAsia="微软雅黑" w:cs="微软雅黑"/>
          <w:color w:val="333333"/>
          <w:kern w:val="0"/>
          <w:sz w:val="30"/>
          <w:szCs w:val="30"/>
          <w:highlight w:val="none"/>
          <w:shd w:val="clear" w:color="auto" w:fill="FFFFFF"/>
        </w:rPr>
      </w:pPr>
      <w:r>
        <w:rPr>
          <w:rFonts w:hint="eastAsia" w:ascii="微软雅黑" w:hAnsi="微软雅黑" w:eastAsia="微软雅黑" w:cs="微软雅黑"/>
          <w:color w:val="333333"/>
          <w:kern w:val="0"/>
          <w:sz w:val="30"/>
          <w:szCs w:val="30"/>
          <w:highlight w:val="none"/>
          <w:shd w:val="clear" w:color="auto" w:fill="FFFFFF"/>
        </w:rPr>
        <w:t>六、</w:t>
      </w:r>
      <w:r>
        <w:rPr>
          <w:rFonts w:hint="eastAsia" w:ascii="Times New Roman" w:hAnsi="Times New Roman" w:eastAsia="黑体" w:cs="Times New Roman"/>
          <w:sz w:val="32"/>
          <w:szCs w:val="22"/>
          <w:highlight w:val="none"/>
          <w:shd w:val="clear" w:color="auto" w:fill="FFFFFF"/>
        </w:rPr>
        <w:t>关于三亚市中医院202</w:t>
      </w:r>
      <w:r>
        <w:rPr>
          <w:rFonts w:hint="eastAsia" w:ascii="Times New Roman" w:hAnsi="Times New Roman" w:eastAsia="黑体" w:cs="Times New Roman"/>
          <w:sz w:val="32"/>
          <w:szCs w:val="22"/>
          <w:highlight w:val="none"/>
          <w:shd w:val="clear" w:color="auto" w:fill="FFFFFF"/>
          <w:lang w:val="en-US" w:eastAsia="zh-CN"/>
        </w:rPr>
        <w:t>3</w:t>
      </w:r>
      <w:r>
        <w:rPr>
          <w:rFonts w:hint="eastAsia" w:ascii="Times New Roman" w:hAnsi="Times New Roman" w:eastAsia="黑体" w:cs="Times New Roman"/>
          <w:sz w:val="32"/>
          <w:szCs w:val="22"/>
          <w:highlight w:val="none"/>
          <w:shd w:val="clear" w:color="auto" w:fill="FFFFFF"/>
        </w:rPr>
        <w:t>年收支预算情况的总体说明</w:t>
      </w:r>
    </w:p>
    <w:p>
      <w:pPr>
        <w:pStyle w:val="8"/>
        <w:spacing w:line="500" w:lineRule="exact"/>
        <w:ind w:firstLine="640"/>
        <w:jc w:val="both"/>
        <w:rPr>
          <w:rFonts w:ascii="微软雅黑" w:hAnsi="微软雅黑" w:eastAsia="微软雅黑" w:cs="微软雅黑"/>
          <w:color w:val="333333"/>
          <w:kern w:val="0"/>
          <w:sz w:val="30"/>
          <w:szCs w:val="30"/>
          <w:highlight w:val="none"/>
          <w:shd w:val="clear" w:color="auto" w:fill="FFFFFF"/>
        </w:rPr>
      </w:pPr>
      <w:r>
        <w:rPr>
          <w:rFonts w:hint="eastAsia" w:ascii="Times New Roman" w:hAnsi="Times New Roman" w:eastAsia="仿宋_GB2312" w:cs="Times New Roman"/>
          <w:sz w:val="32"/>
          <w:szCs w:val="32"/>
          <w:highlight w:val="none"/>
        </w:rPr>
        <w:t>按照综合预算原则，三亚市中医院所有收入和支出均纳入部门预算管理。收入包括：一般公共预算收入、政府性基金收入、其他财政资金收入、事业收入、其他收入；支出包括：一般公共预算支出、政府性基金支出、其他财政资金支出、事业支出、其他支出。三亚市中医院202</w:t>
      </w:r>
      <w:r>
        <w:rPr>
          <w:rFonts w:hint="eastAsia" w:ascii="Times New Roman" w:hAnsi="Times New Roman" w:eastAsia="仿宋_GB2312" w:cs="Times New Roman"/>
          <w:sz w:val="32"/>
          <w:szCs w:val="32"/>
          <w:highlight w:val="none"/>
          <w:lang w:val="en-US" w:eastAsia="zh-CN"/>
        </w:rPr>
        <w:t>3</w:t>
      </w:r>
      <w:r>
        <w:rPr>
          <w:rFonts w:hint="eastAsia" w:ascii="Times New Roman" w:hAnsi="Times New Roman" w:eastAsia="仿宋_GB2312" w:cs="Times New Roman"/>
          <w:sz w:val="32"/>
          <w:szCs w:val="32"/>
          <w:highlight w:val="none"/>
        </w:rPr>
        <w:t>年收支总预算</w:t>
      </w:r>
      <w:r>
        <w:rPr>
          <w:rFonts w:hint="eastAsia" w:ascii="Times New Roman" w:hAnsi="Times New Roman" w:eastAsia="仿宋_GB2312" w:cs="Times New Roman"/>
          <w:sz w:val="32"/>
          <w:szCs w:val="32"/>
          <w:highlight w:val="none"/>
          <w:lang w:val="en-US" w:eastAsia="zh-CN"/>
        </w:rPr>
        <w:t>31399.35</w:t>
      </w:r>
      <w:r>
        <w:rPr>
          <w:rFonts w:hint="eastAsia" w:ascii="Times New Roman" w:hAnsi="Times New Roman" w:eastAsia="仿宋_GB2312" w:cs="Times New Roman"/>
          <w:sz w:val="32"/>
          <w:szCs w:val="32"/>
          <w:highlight w:val="none"/>
        </w:rPr>
        <w:t>万元。</w:t>
      </w:r>
    </w:p>
    <w:p>
      <w:pPr>
        <w:pStyle w:val="8"/>
        <w:spacing w:line="500" w:lineRule="exact"/>
        <w:ind w:firstLine="600"/>
        <w:jc w:val="left"/>
        <w:rPr>
          <w:rFonts w:ascii="微软雅黑" w:hAnsi="微软雅黑" w:eastAsia="微软雅黑" w:cs="微软雅黑"/>
          <w:color w:val="333333"/>
          <w:kern w:val="0"/>
          <w:sz w:val="30"/>
          <w:szCs w:val="30"/>
          <w:highlight w:val="none"/>
          <w:shd w:val="clear" w:color="auto" w:fill="FFFFFF"/>
        </w:rPr>
      </w:pPr>
      <w:r>
        <w:rPr>
          <w:rFonts w:hint="eastAsia" w:ascii="微软雅黑" w:hAnsi="微软雅黑" w:eastAsia="微软雅黑" w:cs="微软雅黑"/>
          <w:color w:val="333333"/>
          <w:kern w:val="0"/>
          <w:sz w:val="30"/>
          <w:szCs w:val="30"/>
          <w:highlight w:val="none"/>
          <w:shd w:val="clear" w:color="auto" w:fill="FFFFFF"/>
        </w:rPr>
        <w:t>七、</w:t>
      </w:r>
      <w:r>
        <w:rPr>
          <w:rFonts w:hint="eastAsia" w:ascii="Times New Roman" w:hAnsi="Times New Roman" w:eastAsia="黑体" w:cs="Times New Roman"/>
          <w:sz w:val="32"/>
          <w:szCs w:val="22"/>
          <w:highlight w:val="none"/>
          <w:shd w:val="clear" w:color="auto" w:fill="FFFFFF"/>
        </w:rPr>
        <w:t>关于三亚市中医院202</w:t>
      </w:r>
      <w:r>
        <w:rPr>
          <w:rFonts w:hint="eastAsia" w:ascii="Times New Roman" w:hAnsi="Times New Roman" w:eastAsia="黑体" w:cs="Times New Roman"/>
          <w:sz w:val="32"/>
          <w:szCs w:val="22"/>
          <w:highlight w:val="none"/>
          <w:shd w:val="clear" w:color="auto" w:fill="FFFFFF"/>
          <w:lang w:val="en-US" w:eastAsia="zh-CN"/>
        </w:rPr>
        <w:t>3</w:t>
      </w:r>
      <w:r>
        <w:rPr>
          <w:rFonts w:hint="eastAsia" w:ascii="Times New Roman" w:hAnsi="Times New Roman" w:eastAsia="黑体" w:cs="Times New Roman"/>
          <w:sz w:val="32"/>
          <w:szCs w:val="22"/>
          <w:highlight w:val="none"/>
          <w:shd w:val="clear" w:color="auto" w:fill="FFFFFF"/>
        </w:rPr>
        <w:t>年收入预算情况说明</w:t>
      </w:r>
    </w:p>
    <w:p>
      <w:pPr>
        <w:pStyle w:val="8"/>
        <w:spacing w:line="500" w:lineRule="exact"/>
        <w:ind w:firstLine="64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三亚市中医院202</w:t>
      </w:r>
      <w:r>
        <w:rPr>
          <w:rFonts w:hint="eastAsia" w:ascii="Times New Roman" w:hAnsi="Times New Roman" w:eastAsia="仿宋_GB2312" w:cs="Times New Roman"/>
          <w:sz w:val="32"/>
          <w:szCs w:val="32"/>
          <w:highlight w:val="none"/>
          <w:lang w:val="en-US" w:eastAsia="zh-CN"/>
        </w:rPr>
        <w:t>3</w:t>
      </w:r>
      <w:r>
        <w:rPr>
          <w:rFonts w:hint="eastAsia" w:ascii="Times New Roman" w:hAnsi="Times New Roman" w:eastAsia="仿宋_GB2312" w:cs="Times New Roman"/>
          <w:sz w:val="32"/>
          <w:szCs w:val="32"/>
          <w:highlight w:val="none"/>
        </w:rPr>
        <w:t>年收入预算</w:t>
      </w:r>
      <w:r>
        <w:rPr>
          <w:rFonts w:hint="eastAsia" w:ascii="Times New Roman" w:hAnsi="Times New Roman" w:eastAsia="仿宋_GB2312" w:cs="Times New Roman"/>
          <w:sz w:val="32"/>
          <w:szCs w:val="32"/>
          <w:highlight w:val="none"/>
          <w:lang w:val="en-US" w:eastAsia="zh-CN"/>
        </w:rPr>
        <w:t>31399.35</w:t>
      </w:r>
      <w:r>
        <w:rPr>
          <w:rFonts w:hint="eastAsia" w:ascii="Times New Roman" w:hAnsi="Times New Roman" w:eastAsia="仿宋_GB2312" w:cs="Times New Roman"/>
          <w:sz w:val="32"/>
          <w:szCs w:val="32"/>
          <w:highlight w:val="none"/>
        </w:rPr>
        <w:t>万元，其中上年结转结余</w:t>
      </w:r>
      <w:r>
        <w:rPr>
          <w:rFonts w:hint="eastAsia" w:ascii="Times New Roman" w:hAnsi="Times New Roman" w:eastAsia="仿宋_GB2312" w:cs="Times New Roman"/>
          <w:sz w:val="32"/>
          <w:szCs w:val="32"/>
          <w:highlight w:val="none"/>
          <w:lang w:val="en-US" w:eastAsia="zh-CN"/>
        </w:rPr>
        <w:t>489.18</w:t>
      </w:r>
      <w:r>
        <w:rPr>
          <w:rFonts w:hint="eastAsia"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1.56</w:t>
      </w:r>
      <w:r>
        <w:rPr>
          <w:rFonts w:hint="eastAsia" w:ascii="Times New Roman" w:hAnsi="Times New Roman" w:eastAsia="仿宋_GB2312" w:cs="Times New Roman"/>
          <w:sz w:val="32"/>
          <w:szCs w:val="32"/>
          <w:highlight w:val="none"/>
        </w:rPr>
        <w:t>%；财政补助收入</w:t>
      </w:r>
      <w:r>
        <w:rPr>
          <w:rFonts w:hint="eastAsia" w:ascii="Times New Roman" w:hAnsi="Times New Roman" w:eastAsia="仿宋_GB2312" w:cs="Times New Roman"/>
          <w:sz w:val="32"/>
          <w:szCs w:val="32"/>
          <w:highlight w:val="none"/>
          <w:lang w:val="en-US" w:eastAsia="zh-CN"/>
        </w:rPr>
        <w:t>6237.92</w:t>
      </w:r>
      <w:r>
        <w:rPr>
          <w:rFonts w:hint="eastAsia"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19.87</w:t>
      </w:r>
      <w:r>
        <w:rPr>
          <w:rFonts w:hint="eastAsia" w:ascii="Times New Roman" w:hAnsi="Times New Roman" w:eastAsia="仿宋_GB2312" w:cs="Times New Roman"/>
          <w:sz w:val="32"/>
          <w:szCs w:val="32"/>
          <w:highlight w:val="none"/>
        </w:rPr>
        <w:t>%;事业收入</w:t>
      </w:r>
      <w:r>
        <w:rPr>
          <w:rFonts w:hint="eastAsia" w:ascii="Times New Roman" w:hAnsi="Times New Roman" w:eastAsia="仿宋_GB2312" w:cs="Times New Roman"/>
          <w:sz w:val="32"/>
          <w:szCs w:val="32"/>
          <w:highlight w:val="none"/>
          <w:lang w:val="en-US" w:eastAsia="zh-CN"/>
        </w:rPr>
        <w:t>24672.25</w:t>
      </w:r>
      <w:r>
        <w:rPr>
          <w:rFonts w:hint="eastAsia"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78.57</w:t>
      </w:r>
      <w:r>
        <w:rPr>
          <w:rFonts w:hint="eastAsia" w:ascii="Times New Roman" w:hAnsi="Times New Roman" w:eastAsia="仿宋_GB2312" w:cs="Times New Roman"/>
          <w:sz w:val="32"/>
          <w:szCs w:val="32"/>
          <w:highlight w:val="none"/>
        </w:rPr>
        <w:t>%。比上年预算数</w:t>
      </w:r>
      <w:r>
        <w:rPr>
          <w:rFonts w:hint="eastAsia" w:ascii="Times New Roman" w:hAnsi="Times New Roman" w:eastAsia="仿宋_GB2312" w:cs="Times New Roman"/>
          <w:sz w:val="32"/>
          <w:szCs w:val="32"/>
          <w:highlight w:val="none"/>
          <w:lang w:val="en-US" w:eastAsia="zh-CN"/>
        </w:rPr>
        <w:t>减少12372.84</w:t>
      </w:r>
      <w:r>
        <w:rPr>
          <w:rFonts w:hint="eastAsia"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lang w:val="en-US" w:eastAsia="zh-CN"/>
        </w:rPr>
        <w:t>年初结转减少了13589.77万元，</w:t>
      </w:r>
      <w:r>
        <w:rPr>
          <w:rFonts w:hint="eastAsia" w:ascii="Times New Roman" w:hAnsi="Times New Roman" w:eastAsia="仿宋_GB2312" w:cs="Times New Roman"/>
          <w:sz w:val="32"/>
          <w:szCs w:val="32"/>
          <w:highlight w:val="none"/>
        </w:rPr>
        <w:t>事业收入</w:t>
      </w:r>
      <w:r>
        <w:rPr>
          <w:rFonts w:hint="eastAsia" w:ascii="Times New Roman" w:hAnsi="Times New Roman" w:eastAsia="仿宋_GB2312" w:cs="Times New Roman"/>
          <w:sz w:val="32"/>
          <w:szCs w:val="32"/>
          <w:highlight w:val="none"/>
          <w:lang w:val="en-US" w:eastAsia="zh-CN"/>
        </w:rPr>
        <w:t>减少了47.61</w:t>
      </w:r>
      <w:r>
        <w:rPr>
          <w:rFonts w:hint="eastAsia" w:ascii="Times New Roman" w:hAnsi="Times New Roman" w:eastAsia="仿宋_GB2312" w:cs="Times New Roman"/>
          <w:sz w:val="32"/>
          <w:szCs w:val="32"/>
          <w:highlight w:val="none"/>
        </w:rPr>
        <w:t>万元，财政补助收入</w:t>
      </w:r>
      <w:r>
        <w:rPr>
          <w:rFonts w:hint="eastAsia" w:ascii="Times New Roman" w:hAnsi="Times New Roman" w:eastAsia="仿宋_GB2312" w:cs="Times New Roman"/>
          <w:sz w:val="32"/>
          <w:szCs w:val="32"/>
          <w:highlight w:val="none"/>
          <w:lang w:val="en-US" w:eastAsia="zh-CN"/>
        </w:rPr>
        <w:t>增加</w:t>
      </w:r>
      <w:r>
        <w:rPr>
          <w:rFonts w:hint="eastAsia" w:ascii="Times New Roman" w:hAnsi="Times New Roman" w:eastAsia="仿宋_GB2312" w:cs="Times New Roman"/>
          <w:sz w:val="32"/>
          <w:szCs w:val="32"/>
          <w:highlight w:val="none"/>
        </w:rPr>
        <w:t>了</w:t>
      </w:r>
      <w:r>
        <w:rPr>
          <w:rFonts w:hint="eastAsia" w:ascii="Times New Roman" w:hAnsi="Times New Roman" w:eastAsia="仿宋_GB2312" w:cs="Times New Roman"/>
          <w:sz w:val="32"/>
          <w:szCs w:val="32"/>
          <w:highlight w:val="none"/>
          <w:lang w:val="en-US" w:eastAsia="zh-CN"/>
        </w:rPr>
        <w:t>1500.04</w:t>
      </w:r>
      <w:r>
        <w:rPr>
          <w:rFonts w:hint="eastAsia"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val="en-US" w:eastAsia="zh-CN"/>
        </w:rPr>
        <w:t>其他收入减少了235.5万元</w:t>
      </w:r>
      <w:r>
        <w:rPr>
          <w:rFonts w:hint="eastAsia" w:ascii="Times New Roman" w:hAnsi="Times New Roman" w:eastAsia="仿宋_GB2312" w:cs="Times New Roman"/>
          <w:sz w:val="32"/>
          <w:szCs w:val="32"/>
          <w:highlight w:val="none"/>
        </w:rPr>
        <w:t>。</w:t>
      </w:r>
    </w:p>
    <w:p>
      <w:pPr>
        <w:ind w:firstLine="640" w:firstLineChars="200"/>
        <w:rPr>
          <w:rFonts w:ascii="Times New Roman" w:hAnsi="Times New Roman" w:eastAsia="黑体" w:cs="Times New Roman"/>
          <w:sz w:val="32"/>
          <w:highlight w:val="none"/>
          <w:shd w:val="clear" w:color="auto" w:fill="FFFFFF"/>
        </w:rPr>
      </w:pPr>
      <w:r>
        <w:rPr>
          <w:rFonts w:hint="eastAsia" w:ascii="Times New Roman" w:hAnsi="Times New Roman" w:eastAsia="黑体" w:cs="Times New Roman"/>
          <w:sz w:val="32"/>
          <w:szCs w:val="22"/>
          <w:highlight w:val="none"/>
          <w:shd w:val="clear" w:color="auto" w:fill="FFFFFF"/>
        </w:rPr>
        <w:t>八、</w:t>
      </w:r>
      <w:r>
        <w:rPr>
          <w:rFonts w:ascii="Times New Roman" w:hAnsi="Times New Roman" w:eastAsia="黑体" w:cs="Times New Roman"/>
          <w:sz w:val="32"/>
          <w:highlight w:val="none"/>
          <w:shd w:val="clear" w:color="auto" w:fill="FFFFFF"/>
        </w:rPr>
        <w:t>关于</w:t>
      </w:r>
      <w:r>
        <w:rPr>
          <w:rFonts w:hint="eastAsia" w:ascii="Times New Roman" w:hAnsi="Times New Roman" w:eastAsia="黑体" w:cs="Times New Roman"/>
          <w:sz w:val="32"/>
          <w:highlight w:val="none"/>
          <w:shd w:val="clear" w:color="auto" w:fill="FFFFFF"/>
        </w:rPr>
        <w:t>三亚市中医院202</w:t>
      </w:r>
      <w:r>
        <w:rPr>
          <w:rFonts w:hint="eastAsia" w:ascii="Times New Roman" w:hAnsi="Times New Roman" w:eastAsia="黑体" w:cs="Times New Roman"/>
          <w:sz w:val="32"/>
          <w:highlight w:val="none"/>
          <w:shd w:val="clear" w:color="auto" w:fill="FFFFFF"/>
          <w:lang w:val="en-US" w:eastAsia="zh-CN"/>
        </w:rPr>
        <w:t>3</w:t>
      </w:r>
      <w:r>
        <w:rPr>
          <w:rFonts w:ascii="Times New Roman" w:hAnsi="Times New Roman" w:eastAsia="黑体" w:cs="Times New Roman"/>
          <w:sz w:val="32"/>
          <w:highlight w:val="none"/>
          <w:shd w:val="clear" w:color="auto" w:fill="FFFFFF"/>
        </w:rPr>
        <w:t>年支出预算情况说明</w:t>
      </w:r>
    </w:p>
    <w:p>
      <w:pPr>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三亚市中医院202</w:t>
      </w:r>
      <w:r>
        <w:rPr>
          <w:rFonts w:hint="eastAsia" w:ascii="Times New Roman" w:hAnsi="Times New Roman" w:eastAsia="仿宋_GB2312" w:cs="Times New Roman"/>
          <w:sz w:val="32"/>
          <w:szCs w:val="32"/>
          <w:highlight w:val="none"/>
          <w:lang w:val="en-US" w:eastAsia="zh-CN"/>
        </w:rPr>
        <w:t>3</w:t>
      </w:r>
      <w:r>
        <w:rPr>
          <w:rFonts w:ascii="Times New Roman" w:hAnsi="Times New Roman" w:eastAsia="仿宋_GB2312" w:cs="Times New Roman"/>
          <w:sz w:val="32"/>
          <w:szCs w:val="32"/>
          <w:highlight w:val="none"/>
        </w:rPr>
        <w:t>年支出预算</w:t>
      </w:r>
      <w:r>
        <w:rPr>
          <w:rFonts w:hint="eastAsia" w:ascii="Times New Roman" w:hAnsi="Times New Roman" w:eastAsia="仿宋_GB2312" w:cs="Times New Roman"/>
          <w:sz w:val="32"/>
          <w:szCs w:val="32"/>
          <w:highlight w:val="none"/>
          <w:lang w:val="en-US" w:eastAsia="zh-CN"/>
        </w:rPr>
        <w:t>30338.94</w:t>
      </w:r>
      <w:r>
        <w:rPr>
          <w:rFonts w:ascii="Times New Roman" w:hAnsi="Times New Roman" w:eastAsia="仿宋_GB2312" w:cs="Times New Roman"/>
          <w:sz w:val="32"/>
          <w:szCs w:val="32"/>
          <w:highlight w:val="none"/>
        </w:rPr>
        <w:t>万元，其中：基本支出</w:t>
      </w:r>
      <w:r>
        <w:rPr>
          <w:rFonts w:hint="eastAsia" w:ascii="Times New Roman" w:hAnsi="Times New Roman" w:eastAsia="仿宋_GB2312" w:cs="Times New Roman"/>
          <w:sz w:val="32"/>
          <w:szCs w:val="32"/>
          <w:highlight w:val="none"/>
          <w:lang w:val="en-US" w:eastAsia="zh-CN"/>
        </w:rPr>
        <w:t>23611.84</w:t>
      </w:r>
      <w:r>
        <w:rPr>
          <w:rFonts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77.83</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highlight w:val="none"/>
        </w:rPr>
        <w:t>比上年预算数</w:t>
      </w:r>
      <w:r>
        <w:rPr>
          <w:rFonts w:hint="eastAsia" w:ascii="Times New Roman" w:hAnsi="Times New Roman" w:eastAsia="仿宋_GB2312" w:cs="Times New Roman"/>
          <w:sz w:val="32"/>
          <w:szCs w:val="32"/>
          <w:highlight w:val="none"/>
          <w:lang w:val="en-US" w:eastAsia="zh-CN"/>
        </w:rPr>
        <w:t>减少了8135.76</w:t>
      </w:r>
      <w:r>
        <w:rPr>
          <w:rFonts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rPr>
        <w:t>基本支出比上年预算</w:t>
      </w:r>
      <w:r>
        <w:rPr>
          <w:rFonts w:hint="eastAsia" w:ascii="Times New Roman" w:hAnsi="Times New Roman" w:eastAsia="仿宋_GB2312" w:cs="Times New Roman"/>
          <w:sz w:val="32"/>
          <w:szCs w:val="32"/>
          <w:highlight w:val="none"/>
          <w:lang w:val="en-US" w:eastAsia="zh-CN"/>
        </w:rPr>
        <w:t>减少8135.76</w:t>
      </w:r>
      <w:r>
        <w:rPr>
          <w:rFonts w:hint="eastAsia" w:ascii="Times New Roman" w:hAnsi="Times New Roman" w:eastAsia="仿宋_GB2312" w:cs="Times New Roman"/>
          <w:sz w:val="32"/>
          <w:szCs w:val="32"/>
          <w:highlight w:val="none"/>
        </w:rPr>
        <w:t>万元</w:t>
      </w:r>
      <w:r>
        <w:rPr>
          <w:rFonts w:ascii="Times New Roman" w:hAnsi="Times New Roman" w:eastAsia="仿宋_GB2312" w:cs="Times New Roman"/>
          <w:sz w:val="32"/>
          <w:szCs w:val="32"/>
          <w:highlight w:val="none"/>
        </w:rPr>
        <w:t>；项目支出</w:t>
      </w:r>
      <w:r>
        <w:rPr>
          <w:rFonts w:hint="eastAsia" w:ascii="Times New Roman" w:hAnsi="Times New Roman" w:eastAsia="仿宋_GB2312" w:cs="Times New Roman"/>
          <w:sz w:val="32"/>
          <w:szCs w:val="32"/>
          <w:highlight w:val="none"/>
          <w:lang w:val="en-US" w:eastAsia="zh-CN"/>
        </w:rPr>
        <w:t>6727.10</w:t>
      </w:r>
      <w:r>
        <w:rPr>
          <w:rFonts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22.17</w:t>
      </w:r>
      <w:r>
        <w:rPr>
          <w:rFonts w:ascii="Times New Roman" w:hAnsi="Times New Roman" w:eastAsia="仿宋_GB2312" w:cs="Times New Roman"/>
          <w:sz w:val="32"/>
          <w:szCs w:val="32"/>
          <w:highlight w:val="none"/>
        </w:rPr>
        <w:t>%。比上年预算数</w:t>
      </w:r>
      <w:r>
        <w:rPr>
          <w:rFonts w:hint="eastAsia" w:ascii="Times New Roman" w:hAnsi="Times New Roman" w:eastAsia="仿宋_GB2312" w:cs="Times New Roman"/>
          <w:sz w:val="32"/>
          <w:szCs w:val="32"/>
          <w:highlight w:val="none"/>
          <w:lang w:val="en-US" w:eastAsia="zh-CN"/>
        </w:rPr>
        <w:t>减少了4165.64</w:t>
      </w:r>
      <w:r>
        <w:rPr>
          <w:rFonts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rPr>
        <w:t>项目支出比上年预算减少</w:t>
      </w:r>
      <w:r>
        <w:rPr>
          <w:rFonts w:hint="eastAsia" w:ascii="Times New Roman" w:hAnsi="Times New Roman" w:eastAsia="仿宋_GB2312" w:cs="Times New Roman"/>
          <w:sz w:val="32"/>
          <w:szCs w:val="32"/>
          <w:highlight w:val="none"/>
          <w:lang w:val="en-US" w:eastAsia="zh-CN"/>
        </w:rPr>
        <w:t>4165.64</w:t>
      </w:r>
      <w:r>
        <w:rPr>
          <w:rFonts w:hint="eastAsia" w:ascii="Times New Roman" w:hAnsi="Times New Roman" w:eastAsia="仿宋_GB2312" w:cs="Times New Roman"/>
          <w:sz w:val="32"/>
          <w:szCs w:val="32"/>
          <w:highlight w:val="none"/>
        </w:rPr>
        <w:t>万元</w:t>
      </w:r>
      <w:r>
        <w:rPr>
          <w:rFonts w:ascii="Times New Roman" w:hAnsi="Times New Roman" w:eastAsia="仿宋_GB2312" w:cs="Times New Roman"/>
          <w:sz w:val="32"/>
          <w:szCs w:val="32"/>
          <w:highlight w:val="none"/>
        </w:rPr>
        <w:t>。</w:t>
      </w:r>
    </w:p>
    <w:p>
      <w:pPr>
        <w:ind w:firstLine="640" w:firstLineChars="200"/>
        <w:rPr>
          <w:rFonts w:ascii="Times New Roman" w:hAnsi="Times New Roman" w:eastAsia="黑体" w:cs="Times New Roman"/>
          <w:sz w:val="32"/>
          <w:highlight w:val="none"/>
          <w:shd w:val="clear" w:color="auto" w:fill="FFFFFF"/>
        </w:rPr>
      </w:pPr>
      <w:r>
        <w:rPr>
          <w:rFonts w:ascii="Times New Roman" w:hAnsi="Times New Roman" w:eastAsia="黑体" w:cs="Times New Roman"/>
          <w:sz w:val="32"/>
          <w:highlight w:val="none"/>
          <w:shd w:val="clear" w:color="auto" w:fill="FFFFFF"/>
        </w:rPr>
        <w:t>九、其他重要事项的情况说明</w:t>
      </w:r>
    </w:p>
    <w:p>
      <w:pPr>
        <w:ind w:firstLine="640" w:firstLineChars="200"/>
        <w:rPr>
          <w:rFonts w:ascii="Times New Roman" w:hAnsi="Times New Roman" w:eastAsia="楷体" w:cs="Times New Roman"/>
          <w:sz w:val="32"/>
          <w:szCs w:val="32"/>
          <w:highlight w:val="none"/>
        </w:rPr>
      </w:pPr>
      <w:r>
        <w:rPr>
          <w:rFonts w:ascii="Times New Roman" w:hAnsi="Times New Roman" w:eastAsia="楷体" w:cs="Times New Roman"/>
          <w:sz w:val="32"/>
          <w:szCs w:val="32"/>
          <w:highlight w:val="none"/>
        </w:rPr>
        <w:t>（一）机关运行经费（行政单位、参照公务员法管理的事业单位需说明，其他单位不需要说明）</w:t>
      </w:r>
    </w:p>
    <w:p>
      <w:pPr>
        <w:ind w:firstLine="640"/>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本单位属于公益二类事业单位，无机关运行经费支出情况。</w:t>
      </w:r>
    </w:p>
    <w:p>
      <w:pPr>
        <w:ind w:firstLine="640" w:firstLineChars="200"/>
        <w:rPr>
          <w:rFonts w:ascii="Times New Roman" w:hAnsi="Times New Roman" w:eastAsia="楷体" w:cs="Times New Roman"/>
          <w:sz w:val="32"/>
          <w:szCs w:val="32"/>
          <w:highlight w:val="none"/>
        </w:rPr>
      </w:pPr>
      <w:r>
        <w:rPr>
          <w:rFonts w:ascii="Times New Roman" w:hAnsi="Times New Roman" w:eastAsia="楷体" w:cs="Times New Roman"/>
          <w:sz w:val="32"/>
          <w:szCs w:val="32"/>
          <w:highlight w:val="none"/>
        </w:rPr>
        <w:t>（二）政府采购情况</w:t>
      </w:r>
    </w:p>
    <w:p>
      <w:pPr>
        <w:ind w:firstLine="64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3</w:t>
      </w:r>
      <w:r>
        <w:rPr>
          <w:rFonts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rPr>
        <w:t>三亚市中医院</w:t>
      </w:r>
      <w:r>
        <w:rPr>
          <w:rFonts w:ascii="Times New Roman" w:hAnsi="Times New Roman" w:eastAsia="仿宋_GB2312" w:cs="Times New Roman"/>
          <w:sz w:val="32"/>
          <w:szCs w:val="32"/>
          <w:highlight w:val="none"/>
        </w:rPr>
        <w:t>政府采购预算总额</w:t>
      </w:r>
      <w:r>
        <w:rPr>
          <w:rFonts w:hint="eastAsia" w:ascii="Times New Roman" w:hAnsi="Times New Roman" w:eastAsia="仿宋_GB2312" w:cs="Times New Roman"/>
          <w:sz w:val="32"/>
          <w:szCs w:val="32"/>
          <w:highlight w:val="none"/>
          <w:lang w:val="en-US" w:eastAsia="zh-CN"/>
        </w:rPr>
        <w:t>2670</w:t>
      </w:r>
      <w:r>
        <w:rPr>
          <w:rFonts w:ascii="Times New Roman" w:hAnsi="Times New Roman" w:eastAsia="仿宋_GB2312" w:cs="Times New Roman"/>
          <w:sz w:val="32"/>
          <w:szCs w:val="32"/>
          <w:highlight w:val="none"/>
        </w:rPr>
        <w:t>万元，其中：政府采购</w:t>
      </w:r>
      <w:r>
        <w:rPr>
          <w:rFonts w:hint="eastAsia" w:ascii="Times New Roman" w:hAnsi="Times New Roman" w:eastAsia="仿宋_GB2312" w:cs="Times New Roman"/>
          <w:sz w:val="32"/>
          <w:szCs w:val="32"/>
          <w:highlight w:val="none"/>
        </w:rPr>
        <w:t>设备</w:t>
      </w:r>
      <w:r>
        <w:rPr>
          <w:rFonts w:ascii="Times New Roman" w:hAnsi="Times New Roman" w:eastAsia="仿宋_GB2312" w:cs="Times New Roman"/>
          <w:sz w:val="32"/>
          <w:szCs w:val="32"/>
          <w:highlight w:val="none"/>
        </w:rPr>
        <w:t>预算</w:t>
      </w:r>
      <w:r>
        <w:rPr>
          <w:rFonts w:hint="eastAsia" w:ascii="Times New Roman" w:hAnsi="Times New Roman" w:eastAsia="仿宋_GB2312" w:cs="Times New Roman"/>
          <w:sz w:val="32"/>
          <w:szCs w:val="32"/>
          <w:highlight w:val="none"/>
          <w:lang w:val="en-US" w:eastAsia="zh-CN"/>
        </w:rPr>
        <w:t>1100</w:t>
      </w:r>
      <w:r>
        <w:rPr>
          <w:rFonts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val="en-US" w:eastAsia="zh-CN"/>
        </w:rPr>
        <w:t>,新冠患者定点重症救治医院改造经费便利化采购1570万元</w:t>
      </w:r>
      <w:r>
        <w:rPr>
          <w:rFonts w:hint="eastAsia" w:ascii="Times New Roman" w:hAnsi="Times New Roman" w:eastAsia="仿宋_GB2312" w:cs="Times New Roman"/>
          <w:sz w:val="32"/>
          <w:szCs w:val="32"/>
          <w:highlight w:val="none"/>
        </w:rPr>
        <w:t>。</w:t>
      </w:r>
    </w:p>
    <w:p>
      <w:pPr>
        <w:ind w:firstLine="640" w:firstLineChars="200"/>
        <w:rPr>
          <w:rFonts w:ascii="Times New Roman" w:hAnsi="Times New Roman" w:eastAsia="楷体" w:cs="Times New Roman"/>
          <w:sz w:val="32"/>
          <w:szCs w:val="32"/>
          <w:highlight w:val="none"/>
        </w:rPr>
      </w:pPr>
      <w:r>
        <w:rPr>
          <w:rFonts w:ascii="Times New Roman" w:hAnsi="Times New Roman" w:eastAsia="楷体" w:cs="Times New Roman"/>
          <w:sz w:val="32"/>
          <w:szCs w:val="32"/>
          <w:highlight w:val="none"/>
        </w:rPr>
        <w:t>（三）国有资产占有使用情况</w:t>
      </w:r>
    </w:p>
    <w:p>
      <w:pPr>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截至</w:t>
      </w:r>
      <w:r>
        <w:rPr>
          <w:rFonts w:hint="eastAsia"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ascii="Times New Roman" w:hAnsi="Times New Roman" w:eastAsia="仿宋_GB2312" w:cs="Times New Roman"/>
          <w:sz w:val="32"/>
          <w:szCs w:val="32"/>
          <w:highlight w:val="none"/>
        </w:rPr>
        <w:t>年12月31日，</w:t>
      </w:r>
      <w:r>
        <w:rPr>
          <w:rFonts w:hint="eastAsia" w:ascii="Times New Roman" w:hAnsi="Times New Roman" w:eastAsia="仿宋_GB2312" w:cs="Times New Roman"/>
          <w:sz w:val="32"/>
          <w:szCs w:val="32"/>
          <w:highlight w:val="none"/>
        </w:rPr>
        <w:t>三亚市中医院</w:t>
      </w:r>
      <w:r>
        <w:rPr>
          <w:rFonts w:ascii="Times New Roman" w:hAnsi="Times New Roman" w:eastAsia="仿宋_GB2312" w:cs="Times New Roman"/>
          <w:sz w:val="32"/>
          <w:szCs w:val="32"/>
          <w:highlight w:val="none"/>
        </w:rPr>
        <w:t>共有车辆</w:t>
      </w:r>
      <w:r>
        <w:rPr>
          <w:rFonts w:hint="eastAsia" w:ascii="Times New Roman" w:hAnsi="Times New Roman" w:eastAsia="仿宋_GB2312" w:cs="Times New Roman"/>
          <w:sz w:val="32"/>
          <w:szCs w:val="32"/>
          <w:highlight w:val="none"/>
        </w:rPr>
        <w:t>17</w:t>
      </w:r>
      <w:r>
        <w:rPr>
          <w:rFonts w:ascii="Times New Roman" w:hAnsi="Times New Roman" w:eastAsia="仿宋_GB2312" w:cs="Times New Roman"/>
          <w:sz w:val="32"/>
          <w:szCs w:val="32"/>
          <w:highlight w:val="none"/>
        </w:rPr>
        <w:t>辆，其中</w:t>
      </w:r>
      <w:r>
        <w:rPr>
          <w:rFonts w:hint="eastAsia" w:ascii="Times New Roman" w:hAnsi="Times New Roman" w:eastAsia="仿宋_GB2312" w:cs="Times New Roman"/>
          <w:sz w:val="32"/>
          <w:szCs w:val="32"/>
          <w:highlight w:val="none"/>
        </w:rPr>
        <w:t>特种专业技术用车1</w:t>
      </w:r>
      <w:r>
        <w:rPr>
          <w:rFonts w:ascii="Times New Roman" w:hAnsi="Times New Roman" w:eastAsia="仿宋_GB2312" w:cs="Times New Roman"/>
          <w:sz w:val="32"/>
          <w:szCs w:val="32"/>
          <w:highlight w:val="none"/>
        </w:rPr>
        <w:t>辆，</w:t>
      </w:r>
      <w:r>
        <w:rPr>
          <w:rFonts w:hint="eastAsia" w:ascii="Times New Roman" w:hAnsi="Times New Roman" w:eastAsia="仿宋_GB2312" w:cs="Times New Roman"/>
          <w:sz w:val="32"/>
          <w:szCs w:val="32"/>
          <w:highlight w:val="none"/>
        </w:rPr>
        <w:t>应急保障用车11</w:t>
      </w:r>
      <w:r>
        <w:rPr>
          <w:rFonts w:ascii="Times New Roman" w:hAnsi="Times New Roman" w:eastAsia="仿宋_GB2312" w:cs="Times New Roman"/>
          <w:sz w:val="32"/>
          <w:szCs w:val="32"/>
          <w:highlight w:val="none"/>
        </w:rPr>
        <w:t>辆、其他用车</w:t>
      </w:r>
      <w:r>
        <w:rPr>
          <w:rFonts w:hint="eastAsia" w:ascii="Times New Roman" w:hAnsi="Times New Roman" w:eastAsia="仿宋_GB2312" w:cs="Times New Roman"/>
          <w:sz w:val="32"/>
          <w:szCs w:val="32"/>
          <w:highlight w:val="none"/>
        </w:rPr>
        <w:t>5</w:t>
      </w:r>
      <w:r>
        <w:rPr>
          <w:rFonts w:ascii="Times New Roman" w:hAnsi="Times New Roman" w:eastAsia="仿宋_GB2312" w:cs="Times New Roman"/>
          <w:sz w:val="32"/>
          <w:szCs w:val="32"/>
          <w:highlight w:val="none"/>
        </w:rPr>
        <w:t>辆。</w:t>
      </w:r>
      <w:r>
        <w:rPr>
          <w:rFonts w:hint="eastAsia" w:ascii="Times New Roman" w:hAnsi="Times New Roman" w:eastAsia="仿宋_GB2312" w:cs="Times New Roman"/>
          <w:sz w:val="32"/>
          <w:szCs w:val="32"/>
          <w:highlight w:val="none"/>
        </w:rPr>
        <w:t>单价50万元（含）以上的通用设备（台、套…）15台，单价100万元（含）以上的专用设备（台、套…）4</w:t>
      </w:r>
      <w:r>
        <w:rPr>
          <w:rFonts w:hint="eastAsia" w:ascii="Times New Roman" w:hAnsi="Times New Roman" w:eastAsia="仿宋_GB2312" w:cs="Times New Roman"/>
          <w:sz w:val="32"/>
          <w:szCs w:val="32"/>
          <w:highlight w:val="none"/>
          <w:lang w:val="en-US" w:eastAsia="zh-CN"/>
        </w:rPr>
        <w:t>8</w:t>
      </w:r>
      <w:r>
        <w:rPr>
          <w:rFonts w:hint="eastAsia" w:ascii="Times New Roman" w:hAnsi="Times New Roman" w:eastAsia="仿宋_GB2312" w:cs="Times New Roman"/>
          <w:sz w:val="32"/>
          <w:szCs w:val="32"/>
          <w:highlight w:val="none"/>
        </w:rPr>
        <w:t>台</w:t>
      </w:r>
      <w:r>
        <w:rPr>
          <w:rFonts w:ascii="Times New Roman" w:hAnsi="Times New Roman" w:eastAsia="仿宋_GB2312" w:cs="Times New Roman"/>
          <w:sz w:val="32"/>
          <w:szCs w:val="32"/>
          <w:highlight w:val="none"/>
        </w:rPr>
        <w:t>。</w:t>
      </w:r>
    </w:p>
    <w:p>
      <w:pPr>
        <w:ind w:firstLine="640" w:firstLineChars="200"/>
        <w:rPr>
          <w:rFonts w:ascii="Times New Roman" w:hAnsi="Times New Roman" w:eastAsia="楷体" w:cs="Times New Roman"/>
          <w:sz w:val="32"/>
          <w:szCs w:val="32"/>
          <w:highlight w:val="none"/>
        </w:rPr>
      </w:pPr>
      <w:r>
        <w:rPr>
          <w:rFonts w:ascii="Times New Roman" w:hAnsi="Times New Roman" w:eastAsia="楷体" w:cs="Times New Roman"/>
          <w:sz w:val="32"/>
          <w:szCs w:val="32"/>
          <w:highlight w:val="none"/>
        </w:rPr>
        <w:t>（四）绩效目标设置情况</w:t>
      </w:r>
    </w:p>
    <w:p>
      <w:pPr>
        <w:ind w:firstLine="640" w:firstLineChars="2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3</w:t>
      </w:r>
      <w:r>
        <w:rPr>
          <w:rFonts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rPr>
        <w:t>三亚市中医院</w:t>
      </w:r>
      <w:r>
        <w:rPr>
          <w:rFonts w:hint="eastAsia" w:ascii="Times New Roman" w:hAnsi="Times New Roman" w:eastAsia="仿宋_GB2312" w:cs="Times New Roman"/>
          <w:sz w:val="32"/>
          <w:szCs w:val="32"/>
          <w:highlight w:val="none"/>
          <w:lang w:val="en-US" w:eastAsia="zh-CN"/>
        </w:rPr>
        <w:t>13</w:t>
      </w:r>
      <w:r>
        <w:rPr>
          <w:rFonts w:ascii="Times New Roman" w:hAnsi="Times New Roman" w:eastAsia="仿宋_GB2312" w:cs="Times New Roman"/>
          <w:sz w:val="32"/>
          <w:szCs w:val="32"/>
          <w:highlight w:val="none"/>
        </w:rPr>
        <w:t>个项目实行绩效目标管理</w:t>
      </w:r>
      <w:r>
        <w:rPr>
          <w:rFonts w:hint="eastAsia" w:ascii="Times New Roman" w:hAnsi="Times New Roman" w:eastAsia="仿宋_GB2312" w:cs="Times New Roman"/>
          <w:sz w:val="32"/>
          <w:szCs w:val="32"/>
          <w:highlight w:val="none"/>
          <w:lang w:val="en-US" w:eastAsia="zh-CN"/>
        </w:rPr>
        <w:t>，涉及一般公共预算6237.92万元，事业收入24672.25万元，上年结转489.18万元，绩效目标管理分布如下：</w:t>
      </w:r>
    </w:p>
    <w:p>
      <w:pPr>
        <w:ind w:firstLine="640" w:firstLineChars="200"/>
        <w:rPr>
          <w:rFonts w:hint="eastAsia" w:ascii="Times New Roman" w:hAnsi="Times New Roman" w:eastAsia="仿宋_GB2312" w:cs="Times New Roman"/>
          <w:sz w:val="32"/>
          <w:szCs w:val="32"/>
          <w:highlight w:val="none"/>
          <w:lang w:val="en-US" w:eastAsia="zh-CN"/>
        </w:rPr>
      </w:pPr>
    </w:p>
    <w:p>
      <w:pPr>
        <w:ind w:firstLine="640" w:firstLineChars="200"/>
        <w:rPr>
          <w:rFonts w:hint="eastAsia" w:ascii="Times New Roman" w:hAnsi="Times New Roman" w:eastAsia="仿宋_GB2312" w:cs="Times New Roman"/>
          <w:sz w:val="32"/>
          <w:szCs w:val="32"/>
          <w:highlight w:val="none"/>
          <w:lang w:val="en-US" w:eastAsia="zh-CN"/>
        </w:rPr>
      </w:pPr>
    </w:p>
    <w:p>
      <w:pPr>
        <w:ind w:firstLine="640" w:firstLineChars="200"/>
        <w:rPr>
          <w:rFonts w:hint="eastAsia" w:ascii="Times New Roman" w:hAnsi="Times New Roman" w:eastAsia="仿宋_GB2312" w:cs="Times New Roman"/>
          <w:sz w:val="32"/>
          <w:szCs w:val="32"/>
          <w:highlight w:val="none"/>
          <w:lang w:val="en-US" w:eastAsia="zh-CN"/>
        </w:rPr>
      </w:pPr>
    </w:p>
    <w:tbl>
      <w:tblPr>
        <w:tblStyle w:val="6"/>
        <w:tblW w:w="90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18"/>
        <w:gridCol w:w="3235"/>
        <w:gridCol w:w="981"/>
        <w:gridCol w:w="1328"/>
        <w:gridCol w:w="18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98" w:hRule="atLeast"/>
        </w:trPr>
        <w:tc>
          <w:tcPr>
            <w:tcW w:w="9060" w:type="dxa"/>
            <w:gridSpan w:val="5"/>
            <w:tcBorders>
              <w:top w:val="single" w:color="FFFFFF" w:sz="4" w:space="0"/>
              <w:left w:val="nil"/>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项目支出绩效信息表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2" w:hRule="atLeast"/>
        </w:trPr>
        <w:tc>
          <w:tcPr>
            <w:tcW w:w="4853" w:type="dxa"/>
            <w:gridSpan w:val="2"/>
            <w:tcBorders>
              <w:top w:val="single" w:color="FFFFFF" w:sz="4" w:space="0"/>
              <w:left w:val="nil"/>
              <w:bottom w:val="nil"/>
              <w:right w:val="single" w:color="FFFFFF"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981" w:type="dxa"/>
            <w:tcBorders>
              <w:top w:val="nil"/>
              <w:left w:val="nil"/>
              <w:bottom w:val="nil"/>
              <w:right w:val="single" w:color="FFFFFF"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1328" w:type="dxa"/>
            <w:tcBorders>
              <w:top w:val="nil"/>
              <w:left w:val="nil"/>
              <w:bottom w:val="nil"/>
              <w:right w:val="single" w:color="FFFFFF"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1898" w:type="dxa"/>
            <w:tcBorders>
              <w:top w:val="nil"/>
              <w:left w:val="nil"/>
              <w:bottom w:val="nil"/>
              <w:right w:val="single" w:color="FFFFFF"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5" w:hRule="atLeast"/>
        </w:trPr>
        <w:tc>
          <w:tcPr>
            <w:tcW w:w="1618" w:type="dxa"/>
            <w:tcBorders>
              <w:top w:val="single" w:color="C2C3C4" w:sz="4" w:space="0"/>
              <w:left w:val="nil"/>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3235" w:type="dxa"/>
            <w:tcBorders>
              <w:top w:val="single" w:color="C2C3C4" w:sz="4" w:space="0"/>
              <w:left w:val="nil"/>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绩效目标</w:t>
            </w:r>
          </w:p>
        </w:tc>
        <w:tc>
          <w:tcPr>
            <w:tcW w:w="981" w:type="dxa"/>
            <w:tcBorders>
              <w:top w:val="single" w:color="C2C3C4" w:sz="4" w:space="0"/>
              <w:left w:val="nil"/>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一级指标</w:t>
            </w:r>
          </w:p>
        </w:tc>
        <w:tc>
          <w:tcPr>
            <w:tcW w:w="1328" w:type="dxa"/>
            <w:tcBorders>
              <w:top w:val="single" w:color="C2C3C4" w:sz="4" w:space="0"/>
              <w:left w:val="nil"/>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二级指标</w:t>
            </w:r>
          </w:p>
        </w:tc>
        <w:tc>
          <w:tcPr>
            <w:tcW w:w="1898" w:type="dxa"/>
            <w:tcBorders>
              <w:top w:val="single" w:color="C2C3C4" w:sz="4" w:space="0"/>
              <w:left w:val="nil"/>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restart"/>
            <w:tcBorders>
              <w:top w:val="nil"/>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46000021R000000006642-养老保险</w:t>
            </w:r>
          </w:p>
        </w:tc>
        <w:tc>
          <w:tcPr>
            <w:tcW w:w="3235" w:type="dxa"/>
            <w:vMerge w:val="restart"/>
            <w:tcBorders>
              <w:top w:val="nil"/>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严格执行相关政策，保障工资及时、足额发放或社保及时、足额缴纳，预算编制科学合理，减少结余资金。</w:t>
            </w: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质量指标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标准执行率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质量指标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科目调整次数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数量指标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发放（缴纳）覆盖率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效益指标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社会效益指标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足额保障率（参保率）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restart"/>
            <w:tcBorders>
              <w:top w:val="nil"/>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46000021R000000006644-医疗保险</w:t>
            </w:r>
          </w:p>
        </w:tc>
        <w:tc>
          <w:tcPr>
            <w:tcW w:w="3235" w:type="dxa"/>
            <w:vMerge w:val="restart"/>
            <w:tcBorders>
              <w:top w:val="nil"/>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严格执行相关政策，保障工资及时、足额发放或社保及时、足额缴纳，预算编制科学合理，减少结余资金。</w:t>
            </w: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质量指标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科目调整次数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数量指标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发放（缴纳）覆盖率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质量指标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标准执行率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效益指标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社会效益指标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足额保障率（参保率）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restart"/>
            <w:tcBorders>
              <w:top w:val="nil"/>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46000021R000000006646-失业保险</w:t>
            </w:r>
          </w:p>
        </w:tc>
        <w:tc>
          <w:tcPr>
            <w:tcW w:w="3235" w:type="dxa"/>
            <w:vMerge w:val="restart"/>
            <w:tcBorders>
              <w:top w:val="nil"/>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严格执行相关政策，保障工资及时、足额发放或社保及时、足额缴纳，预算编制科学合理，减少结余资金。</w:t>
            </w: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数量指标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发放（缴纳）覆盖率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质量指标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标准执行率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效益指标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社会效益指标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足额保障率（参保率）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质量指标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科目调整次数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restart"/>
            <w:tcBorders>
              <w:top w:val="nil"/>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46000021R000000006656-其他工资福利支出</w:t>
            </w:r>
          </w:p>
        </w:tc>
        <w:tc>
          <w:tcPr>
            <w:tcW w:w="3235" w:type="dxa"/>
            <w:vMerge w:val="restart"/>
            <w:tcBorders>
              <w:top w:val="nil"/>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严格执行相关政策，保障工资及时、足额发放或社保及时、足额缴纳，预算编制科学合理，减少结余资金。</w:t>
            </w: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质量指标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标准执行率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数量指标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发放（缴纳）覆盖率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质量指标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科目调整次数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效益指标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社会效益指标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足额保障率（参保率）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restart"/>
            <w:tcBorders>
              <w:top w:val="nil"/>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46000021R000000006657-对个人和家庭的补助</w:t>
            </w:r>
          </w:p>
        </w:tc>
        <w:tc>
          <w:tcPr>
            <w:tcW w:w="3235" w:type="dxa"/>
            <w:vMerge w:val="restart"/>
            <w:tcBorders>
              <w:top w:val="nil"/>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严格执行相关政策，保障工资及时、足额发放或社保及时、足额缴纳，预算编制科学合理，减少结余资金。</w:t>
            </w: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质量指标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标准执行率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效益指标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社会效益指标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足额保障率（参保率）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质量指标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科目调整次数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数量指标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发放（缴纳）覆盖率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restart"/>
            <w:tcBorders>
              <w:top w:val="nil"/>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46000021R000000006663-住房公积金</w:t>
            </w:r>
          </w:p>
        </w:tc>
        <w:tc>
          <w:tcPr>
            <w:tcW w:w="3235" w:type="dxa"/>
            <w:vMerge w:val="restart"/>
            <w:tcBorders>
              <w:top w:val="nil"/>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严格执行相关政策，保障工资及时、足额发放或社保及时、足额缴纳，预算编制科学合理，减少结余资金。</w:t>
            </w: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数量指标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发放（缴纳）覆盖率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质量指标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标准执行率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质量指标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科目调整次数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效益指标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社会效益指标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足额保障率（参保率）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1618" w:type="dxa"/>
            <w:vMerge w:val="restart"/>
            <w:tcBorders>
              <w:top w:val="nil"/>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46000021Y000000006662-公用支出</w:t>
            </w:r>
          </w:p>
        </w:tc>
        <w:tc>
          <w:tcPr>
            <w:tcW w:w="3235" w:type="dxa"/>
            <w:vMerge w:val="restart"/>
            <w:tcBorders>
              <w:top w:val="nil"/>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提高预算编制质量，严格执行预算，保障单位日常运转。</w:t>
            </w: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质量指标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预算编制质量（∣（执行数-预算数）/预算数∣）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效益指标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经济效益指标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三公经费控制率（执行数/预算数）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效益指标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社会效益指标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运转保障率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数量指标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科目调整次数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restart"/>
            <w:tcBorders>
              <w:top w:val="nil"/>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46000023R000000822765-编外长聘人员工资福利（基本支出）</w:t>
            </w:r>
          </w:p>
        </w:tc>
        <w:tc>
          <w:tcPr>
            <w:tcW w:w="3235" w:type="dxa"/>
            <w:vMerge w:val="restart"/>
            <w:tcBorders>
              <w:top w:val="nil"/>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严格执行相关政策，保障工资及时、足额发放或社保及时、足额缴纳，预算编制科学合理，减少结余资金。</w:t>
            </w: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质量指标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科目调整次数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效益指标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社会效益指标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足额保障率（参保率）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数量指标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发放（缴纳）覆盖率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质量指标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标准执行率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restart"/>
            <w:tcBorders>
              <w:top w:val="nil"/>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46020021T000000011252-职业年金补助</w:t>
            </w:r>
          </w:p>
        </w:tc>
        <w:tc>
          <w:tcPr>
            <w:tcW w:w="3235" w:type="dxa"/>
            <w:vMerge w:val="restart"/>
            <w:tcBorders>
              <w:top w:val="nil"/>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1、保障医院退休人员的基本生活需求，为其提供稳定可靠的生活来源。 2、保证医院劳动力的再生产，通过建立养老保险的制度，有利于劳动力群体的正常代际更替，老年人年老退休，新成长劳动力顺利就业，保证就业结构的合理化。 3、提高医院职工工作积极性和稳定性。</w:t>
            </w: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数量指标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在编人员缴费人数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auto"/>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满意度指标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服务对象满意度</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在职人员满意度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auto"/>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满意度指标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服务对象满意度</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单位满意度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auto"/>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效益指标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社会效益指标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减轻公立医院改革后医院负担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auto"/>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数量指标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在编人员参保人数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restart"/>
            <w:tcBorders>
              <w:top w:val="nil"/>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46020021T000000013537-基本养老保险补助</w:t>
            </w:r>
          </w:p>
        </w:tc>
        <w:tc>
          <w:tcPr>
            <w:tcW w:w="3235" w:type="dxa"/>
            <w:vMerge w:val="restart"/>
            <w:tcBorders>
              <w:top w:val="nil"/>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1、保障医院退休人员的基本生活需求，为其提供稳定可靠的生活来源。 2、保证医院劳动力的再生产，通过建立养老保险的制度，有利于劳动力群体的正常代际更替，老年人年老退休，新成长劳动力顺利就业，保证就业结构的合理化。 3、提高医院职工工作积极性和稳定性。</w:t>
            </w: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数量指标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在编人员缴费人数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auto"/>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效益指标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社会效益指标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减轻公立医院改革后医院负担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auto"/>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满意度指标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服务对象满意度</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在职人员满意度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auto"/>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数量指标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在编人员参保人数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auto"/>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满意度指标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服务对象满意度</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单位满意度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restart"/>
            <w:tcBorders>
              <w:top w:val="nil"/>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46020021T000000016220-人才开发专项资金</w:t>
            </w:r>
          </w:p>
        </w:tc>
        <w:tc>
          <w:tcPr>
            <w:tcW w:w="3235" w:type="dxa"/>
            <w:vMerge w:val="restart"/>
            <w:tcBorders>
              <w:top w:val="nil"/>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1.按照《国家中医重点专科建设要求》文件精神，重点推动我院重点专科的建设工作，以塑造名科、构建名牌，形成品牌效应，全面提升医院的社会效应和学术影响力，带动医院全方位的提升和发展为根本。 2.为进一步加快人才队伍建设，构建人才队伍核心支撑，更好的打造健康品牌、壮大医疗健康产业、开拓医疗健康市场，积极推进人才队伍的建设，完善医疗公共服务，促进医疗事业持续发展。 3.开展人才培养培训主题活动、举办各类人才培训班、开展学术研究，参加国内、省市级相关学术交流活动，国内、省内进修学习、人才活动宣传、购买资料所需费用等。 4.积极配合卫生系统开展推荐学科带头人、拔尖人才、申报重点专科评审等工作，进一步促进我院医疗事业的发展，增强医疗技术水平的科技含量。 5.保障名医工作室日常运行；保障专家往返交通费用；支持讲座教学活动经费。 6.重点培养传承团队中医药人员；研制院内制剂；建立专家传承工作室资源共享平台。</w:t>
            </w: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数量指标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参加学术讲座人次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数量指标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授课，带教人数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效益指标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社会效益指标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专家义诊扩大医院影响力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满意度指标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服务对象满意度</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单位满意度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数量指标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中医药人才引进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数量指标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进修学习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数量指标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业务骨干培养人数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数量指标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建设人才工作站数量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5"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满意度指标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服务对象满意度</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全面提升医院临床可研水平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数量指标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人才培训人数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restart"/>
            <w:tcBorders>
              <w:top w:val="nil"/>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46020021Y000000011049-设备（装备）购置与运行维护</w:t>
            </w:r>
          </w:p>
        </w:tc>
        <w:tc>
          <w:tcPr>
            <w:tcW w:w="3235" w:type="dxa"/>
            <w:vMerge w:val="restart"/>
            <w:tcBorders>
              <w:top w:val="nil"/>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1、提高医院医疗水平，满足临床发展需要，为国内外患者提供优质医疗服务。 2、 逐步健全我院医疗设备采购体系，强化工作基础，在国家相关制度和规定下完善医院管理和采购制度，严格按照市级政府集中采购目录及标准进行相关采购。落实采购计划的完成，逐一验收采购完成的设备，完成相关使用科室的设备操作培训。</w:t>
            </w: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效益指标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可持续影响</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设备使用年限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数量指标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政府采购率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质量指标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设备质量合格率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质量指标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安装工程验收合格率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质量指标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设备故障率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效益指标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社会效益指标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设备利用率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数量指标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购置设备数量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满意度指标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服务对象满意度</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使用人员满意度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restart"/>
            <w:tcBorders>
              <w:top w:val="nil"/>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46020022T000000166322-卫生健康发展专项资金</w:t>
            </w:r>
          </w:p>
        </w:tc>
        <w:tc>
          <w:tcPr>
            <w:tcW w:w="3235" w:type="dxa"/>
            <w:vMerge w:val="restart"/>
            <w:tcBorders>
              <w:top w:val="nil"/>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 xml:space="preserve">1、按月支付中药材费用； 2、完善中药饮片追溯体系，提升中药材质量； 3、按时完成项目，减轻医院运营成本支出； 4、提高医院医疗服务能力，医疗质量，保障医疗安全，适应医疗卫生体制改革要求； 5、加强中医药文化宣传，提高群众认可度。 </w:t>
            </w: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数量指标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医疗收入增长情况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时效指标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项目及时完成率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产出指标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质量指标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药品合格率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效益指标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经济效益指标</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减轻医院运营成本支出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满意度指标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服务对象满意度</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单位满意度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618"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35" w:type="dxa"/>
            <w:vMerge w:val="continue"/>
            <w:tcBorders>
              <w:top w:val="nil"/>
              <w:left w:val="single" w:color="C2C3C4" w:sz="4" w:space="0"/>
              <w:bottom w:val="single" w:color="C2C3C4" w:sz="4" w:space="0"/>
              <w:right w:val="single" w:color="C2C3C4"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981"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效益指标</w:t>
            </w:r>
          </w:p>
        </w:tc>
        <w:tc>
          <w:tcPr>
            <w:tcW w:w="132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可持续影响</w:t>
            </w:r>
          </w:p>
        </w:tc>
        <w:tc>
          <w:tcPr>
            <w:tcW w:w="1898" w:type="dxa"/>
            <w:tcBorders>
              <w:top w:val="nil"/>
              <w:left w:val="nil"/>
              <w:bottom w:val="single" w:color="C2C3C4" w:sz="4" w:space="0"/>
              <w:right w:val="single" w:color="C2C3C4"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中医药发展能力提升</w:t>
            </w:r>
          </w:p>
        </w:tc>
      </w:tr>
    </w:tbl>
    <w:p>
      <w:pPr>
        <w:rPr>
          <w:rFonts w:hint="eastAsia" w:ascii="Times New Roman" w:hAnsi="Times New Roman" w:eastAsia="仿宋_GB2312" w:cs="Times New Roman"/>
          <w:sz w:val="32"/>
          <w:szCs w:val="32"/>
          <w:highlight w:val="none"/>
          <w:lang w:val="en-US" w:eastAsia="zh-CN"/>
        </w:rPr>
      </w:pPr>
    </w:p>
    <w:p>
      <w:pPr>
        <w:ind w:firstLine="640" w:firstLineChars="200"/>
        <w:rPr>
          <w:rFonts w:hint="eastAsia" w:ascii="Times New Roman" w:hAnsi="Times New Roman" w:eastAsia="仿宋_GB2312" w:cs="Times New Roman"/>
          <w:sz w:val="32"/>
          <w:szCs w:val="32"/>
          <w:highlight w:val="none"/>
          <w:lang w:val="en-US" w:eastAsia="zh-CN"/>
        </w:rPr>
      </w:pPr>
    </w:p>
    <w:p>
      <w:pPr>
        <w:ind w:firstLine="640" w:firstLineChars="200"/>
        <w:rPr>
          <w:rFonts w:hint="default" w:ascii="Times New Roman" w:hAnsi="Times New Roman" w:eastAsia="仿宋_GB2312" w:cs="Times New Roman"/>
          <w:sz w:val="32"/>
          <w:szCs w:val="32"/>
          <w:highlight w:val="none"/>
          <w:lang w:val="en-US" w:eastAsia="zh-CN"/>
        </w:rPr>
      </w:pPr>
    </w:p>
    <w:p>
      <w:pPr>
        <w:jc w:val="center"/>
        <w:rPr>
          <w:rFonts w:ascii="Times New Roman" w:hAnsi="Times New Roman" w:eastAsia="黑体" w:cs="Times New Roman"/>
          <w:b/>
          <w:sz w:val="32"/>
          <w:szCs w:val="32"/>
          <w:highlight w:val="none"/>
        </w:rPr>
      </w:pPr>
      <w:r>
        <w:rPr>
          <w:rFonts w:ascii="Times New Roman" w:hAnsi="Times New Roman" w:eastAsia="黑体" w:cs="Times New Roman"/>
          <w:b/>
          <w:sz w:val="32"/>
          <w:szCs w:val="32"/>
          <w:highlight w:val="none"/>
        </w:rPr>
        <w:t>第四部分  名词解释</w:t>
      </w:r>
    </w:p>
    <w:p>
      <w:pPr>
        <w:ind w:firstLine="640" w:firstLineChars="200"/>
        <w:jc w:val="left"/>
        <w:rPr>
          <w:rFonts w:ascii="Times New Roman" w:hAnsi="Times New Roman" w:eastAsia="仿宋_GB2312" w:cs="Times New Roman"/>
          <w:bCs/>
          <w:color w:val="000000"/>
          <w:kern w:val="0"/>
          <w:sz w:val="32"/>
          <w:szCs w:val="32"/>
          <w:highlight w:val="none"/>
          <w:lang w:val="zh-CN"/>
        </w:rPr>
      </w:pPr>
    </w:p>
    <w:p>
      <w:pPr>
        <w:ind w:firstLine="640" w:firstLineChars="200"/>
        <w:jc w:val="left"/>
        <w:rPr>
          <w:rFonts w:ascii="Times New Roman" w:hAnsi="Times New Roman" w:eastAsia="仿宋_GB2312" w:cs="Times New Roman"/>
          <w:color w:val="000000"/>
          <w:kern w:val="0"/>
          <w:sz w:val="32"/>
          <w:szCs w:val="30"/>
          <w:highlight w:val="none"/>
        </w:rPr>
      </w:pPr>
      <w:r>
        <w:rPr>
          <w:rFonts w:ascii="Times New Roman" w:hAnsi="Times New Roman" w:eastAsia="仿宋_GB2312" w:cs="Times New Roman"/>
          <w:color w:val="000000"/>
          <w:kern w:val="0"/>
          <w:sz w:val="32"/>
          <w:szCs w:val="30"/>
          <w:highlight w:val="none"/>
        </w:rPr>
        <w:t>一、财政拨款收入：指本级财政当年拨付的资金。</w:t>
      </w:r>
    </w:p>
    <w:p>
      <w:pPr>
        <w:ind w:firstLine="640" w:firstLineChars="200"/>
        <w:jc w:val="left"/>
        <w:rPr>
          <w:rFonts w:ascii="Times New Roman" w:hAnsi="Times New Roman" w:eastAsia="仿宋_GB2312" w:cs="Times New Roman"/>
          <w:color w:val="000000"/>
          <w:kern w:val="0"/>
          <w:sz w:val="32"/>
          <w:szCs w:val="30"/>
          <w:highlight w:val="none"/>
        </w:rPr>
      </w:pPr>
      <w:r>
        <w:rPr>
          <w:rFonts w:ascii="Times New Roman" w:hAnsi="Times New Roman" w:eastAsia="仿宋_GB2312" w:cs="Times New Roman"/>
          <w:color w:val="000000"/>
          <w:kern w:val="0"/>
          <w:sz w:val="32"/>
          <w:szCs w:val="30"/>
          <w:highlight w:val="none"/>
        </w:rPr>
        <w:t>二、事业收入：指事业单位开展专业业务活动及辅助活动取得的收入。</w:t>
      </w:r>
    </w:p>
    <w:p>
      <w:pPr>
        <w:ind w:firstLine="640" w:firstLineChars="200"/>
        <w:jc w:val="left"/>
        <w:rPr>
          <w:rFonts w:ascii="Times New Roman" w:hAnsi="Times New Roman" w:eastAsia="仿宋_GB2312" w:cs="Times New Roman"/>
          <w:color w:val="000000"/>
          <w:kern w:val="0"/>
          <w:sz w:val="32"/>
          <w:szCs w:val="30"/>
          <w:highlight w:val="none"/>
        </w:rPr>
      </w:pPr>
      <w:r>
        <w:rPr>
          <w:rFonts w:ascii="Times New Roman" w:hAnsi="Times New Roman" w:eastAsia="仿宋_GB2312" w:cs="Times New Roman"/>
          <w:color w:val="000000"/>
          <w:kern w:val="0"/>
          <w:sz w:val="32"/>
          <w:szCs w:val="30"/>
          <w:highlight w:val="none"/>
        </w:rPr>
        <w:t>三、经营收入：指事业单位在专业业务活动及其辅助活动之外开展非独立核算经营活动取得的收入。</w:t>
      </w:r>
    </w:p>
    <w:p>
      <w:pPr>
        <w:ind w:firstLine="640" w:firstLineChars="200"/>
        <w:jc w:val="left"/>
        <w:rPr>
          <w:rFonts w:ascii="Times New Roman" w:hAnsi="Times New Roman" w:eastAsia="仿宋_GB2312" w:cs="Times New Roman"/>
          <w:color w:val="000000"/>
          <w:kern w:val="0"/>
          <w:sz w:val="32"/>
          <w:szCs w:val="30"/>
          <w:highlight w:val="none"/>
        </w:rPr>
      </w:pPr>
      <w:r>
        <w:rPr>
          <w:rFonts w:ascii="Times New Roman" w:hAnsi="Times New Roman" w:eastAsia="仿宋_GB2312" w:cs="Times New Roman"/>
          <w:color w:val="000000"/>
          <w:kern w:val="0"/>
          <w:sz w:val="32"/>
          <w:szCs w:val="30"/>
          <w:highlight w:val="none"/>
        </w:rPr>
        <w:t>四、其他收入：指除上述“财政拨款收入”“事业收入”“经营收入”等以外的收入。</w:t>
      </w:r>
    </w:p>
    <w:p>
      <w:pPr>
        <w:ind w:firstLine="640" w:firstLineChars="200"/>
        <w:jc w:val="left"/>
        <w:rPr>
          <w:rFonts w:ascii="Times New Roman" w:hAnsi="Times New Roman" w:eastAsia="仿宋_GB2312" w:cs="Times New Roman"/>
          <w:color w:val="000000"/>
          <w:kern w:val="0"/>
          <w:sz w:val="32"/>
          <w:szCs w:val="30"/>
          <w:highlight w:val="none"/>
        </w:rPr>
      </w:pPr>
      <w:r>
        <w:rPr>
          <w:rFonts w:ascii="Times New Roman" w:hAnsi="Times New Roman" w:eastAsia="仿宋_GB2312" w:cs="Times New Roman"/>
          <w:color w:val="000000"/>
          <w:kern w:val="0"/>
          <w:sz w:val="32"/>
          <w:szCs w:val="30"/>
          <w:highlight w:val="none"/>
        </w:rPr>
        <w:t>五、年初结转和结余：指以前年度尚未完成、结转到本年按有关规定继续使用的资金。</w:t>
      </w:r>
    </w:p>
    <w:p>
      <w:pPr>
        <w:ind w:firstLine="640" w:firstLineChars="200"/>
        <w:jc w:val="left"/>
        <w:rPr>
          <w:rFonts w:ascii="Times New Roman" w:hAnsi="Times New Roman" w:eastAsia="仿宋_GB2312" w:cs="Times New Roman"/>
          <w:color w:val="000000"/>
          <w:kern w:val="0"/>
          <w:sz w:val="32"/>
          <w:szCs w:val="30"/>
          <w:highlight w:val="none"/>
        </w:rPr>
      </w:pPr>
      <w:r>
        <w:rPr>
          <w:rFonts w:ascii="Times New Roman" w:hAnsi="Times New Roman" w:eastAsia="仿宋_GB2312" w:cs="Times New Roman"/>
          <w:color w:val="000000"/>
          <w:kern w:val="0"/>
          <w:sz w:val="32"/>
          <w:szCs w:val="30"/>
          <w:highlight w:val="none"/>
        </w:rPr>
        <w:t xml:space="preserve">六、基本支出：指行政事业单位用于为保障其机构正常运转、完成日常工作任务而发生的人员支出和公用支出。   </w:t>
      </w:r>
    </w:p>
    <w:p>
      <w:pPr>
        <w:ind w:firstLine="640" w:firstLineChars="200"/>
        <w:jc w:val="left"/>
        <w:rPr>
          <w:rFonts w:ascii="Times New Roman" w:hAnsi="Times New Roman" w:eastAsia="仿宋_GB2312" w:cs="Times New Roman"/>
          <w:color w:val="000000"/>
          <w:kern w:val="0"/>
          <w:sz w:val="32"/>
          <w:szCs w:val="30"/>
          <w:highlight w:val="none"/>
        </w:rPr>
      </w:pPr>
      <w:r>
        <w:rPr>
          <w:rFonts w:ascii="Times New Roman" w:hAnsi="Times New Roman" w:eastAsia="仿宋_GB2312" w:cs="Times New Roman"/>
          <w:color w:val="000000"/>
          <w:kern w:val="0"/>
          <w:sz w:val="32"/>
          <w:szCs w:val="30"/>
          <w:highlight w:val="none"/>
        </w:rPr>
        <w:t>七、工资福利支出：反映单位开支的在职职工和编制外长期聘用人员的各类劳动报酬，以及为上述人员缴纳的各项社会保险费等。</w:t>
      </w:r>
    </w:p>
    <w:p>
      <w:pPr>
        <w:ind w:firstLine="640" w:firstLineChars="200"/>
        <w:jc w:val="left"/>
        <w:rPr>
          <w:rFonts w:ascii="Times New Roman" w:hAnsi="Times New Roman" w:eastAsia="仿宋_GB2312" w:cs="Times New Roman"/>
          <w:color w:val="000000"/>
          <w:kern w:val="0"/>
          <w:sz w:val="32"/>
          <w:szCs w:val="30"/>
          <w:highlight w:val="none"/>
        </w:rPr>
      </w:pPr>
      <w:r>
        <w:rPr>
          <w:rFonts w:ascii="Times New Roman" w:hAnsi="Times New Roman" w:eastAsia="仿宋_GB2312" w:cs="Times New Roman"/>
          <w:color w:val="000000"/>
          <w:kern w:val="0"/>
          <w:sz w:val="32"/>
          <w:szCs w:val="30"/>
          <w:highlight w:val="none"/>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Times New Roman" w:hAnsi="Times New Roman" w:eastAsia="仿宋_GB2312" w:cs="Times New Roman"/>
          <w:color w:val="000000"/>
          <w:kern w:val="0"/>
          <w:sz w:val="32"/>
          <w:szCs w:val="30"/>
          <w:highlight w:val="none"/>
        </w:rPr>
      </w:pPr>
      <w:r>
        <w:rPr>
          <w:rFonts w:ascii="Times New Roman" w:hAnsi="Times New Roman" w:eastAsia="仿宋_GB2312" w:cs="Times New Roman"/>
          <w:color w:val="000000"/>
          <w:kern w:val="0"/>
          <w:sz w:val="32"/>
          <w:szCs w:val="30"/>
          <w:highlight w:val="none"/>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Times New Roman" w:hAnsi="Times New Roman" w:eastAsia="仿宋_GB2312" w:cs="Times New Roman"/>
          <w:color w:val="000000"/>
          <w:kern w:val="0"/>
          <w:sz w:val="32"/>
          <w:szCs w:val="30"/>
          <w:highlight w:val="none"/>
        </w:rPr>
      </w:pPr>
      <w:r>
        <w:rPr>
          <w:rFonts w:ascii="Times New Roman" w:hAnsi="Times New Roman" w:eastAsia="仿宋_GB2312" w:cs="Times New Roman"/>
          <w:color w:val="000000"/>
          <w:kern w:val="0"/>
          <w:sz w:val="32"/>
          <w:szCs w:val="30"/>
          <w:highlight w:val="none"/>
        </w:rPr>
        <w:t>十、项目支出：指各部门、各单位为完成其特定的工作任务和事业发展目标所发生的支出。</w:t>
      </w:r>
    </w:p>
    <w:p>
      <w:pPr>
        <w:ind w:firstLine="640" w:firstLineChars="200"/>
        <w:jc w:val="left"/>
        <w:rPr>
          <w:rFonts w:ascii="Times New Roman" w:hAnsi="Times New Roman" w:eastAsia="仿宋_GB2312" w:cs="Times New Roman"/>
          <w:color w:val="000000"/>
          <w:kern w:val="0"/>
          <w:sz w:val="32"/>
          <w:szCs w:val="30"/>
          <w:highlight w:val="none"/>
        </w:rPr>
      </w:pPr>
      <w:r>
        <w:rPr>
          <w:rFonts w:ascii="Times New Roman" w:hAnsi="Times New Roman" w:eastAsia="仿宋_GB2312" w:cs="Times New Roman"/>
          <w:color w:val="000000"/>
          <w:kern w:val="0"/>
          <w:sz w:val="32"/>
          <w:szCs w:val="30"/>
          <w:highlight w:val="none"/>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Times New Roman" w:hAnsi="Times New Roman" w:eastAsia="仿宋_GB2312" w:cs="Times New Roman"/>
          <w:color w:val="000000"/>
          <w:kern w:val="0"/>
          <w:sz w:val="32"/>
          <w:szCs w:val="30"/>
          <w:highlight w:val="none"/>
        </w:rPr>
      </w:pPr>
      <w:r>
        <w:rPr>
          <w:rFonts w:ascii="Times New Roman" w:hAnsi="Times New Roman" w:eastAsia="仿宋_GB2312" w:cs="Times New Roman"/>
          <w:color w:val="000000"/>
          <w:kern w:val="0"/>
          <w:sz w:val="32"/>
          <w:szCs w:val="30"/>
          <w:highlight w:val="none"/>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pStyle w:val="8"/>
        <w:spacing w:line="500" w:lineRule="exact"/>
        <w:ind w:firstLine="1040"/>
        <w:jc w:val="left"/>
        <w:rPr>
          <w:rFonts w:asciiTheme="majorEastAsia" w:hAnsiTheme="majorEastAsia" w:eastAsiaTheme="majorEastAsia" w:cstheme="majorEastAsia"/>
          <w:sz w:val="52"/>
          <w:szCs w:val="52"/>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ˎ̥">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D08A81"/>
    <w:multiLevelType w:val="singleLevel"/>
    <w:tmpl w:val="8ED08A81"/>
    <w:lvl w:ilvl="0" w:tentative="0">
      <w:start w:val="1"/>
      <w:numFmt w:val="decimal"/>
      <w:suff w:val="nothing"/>
      <w:lvlText w:val="%1、"/>
      <w:lvlJc w:val="left"/>
    </w:lvl>
  </w:abstractNum>
  <w:abstractNum w:abstractNumId="1">
    <w:nsid w:val="A24961FB"/>
    <w:multiLevelType w:val="singleLevel"/>
    <w:tmpl w:val="A24961FB"/>
    <w:lvl w:ilvl="0" w:tentative="0">
      <w:start w:val="3"/>
      <w:numFmt w:val="chineseCounting"/>
      <w:suff w:val="space"/>
      <w:lvlText w:val="第%1部分"/>
      <w:lvlJc w:val="left"/>
      <w:rPr>
        <w:rFonts w:hint="eastAsia"/>
      </w:rPr>
    </w:lvl>
  </w:abstractNum>
  <w:abstractNum w:abstractNumId="2">
    <w:nsid w:val="B6E32E5B"/>
    <w:multiLevelType w:val="singleLevel"/>
    <w:tmpl w:val="B6E32E5B"/>
    <w:lvl w:ilvl="0" w:tentative="0">
      <w:start w:val="4"/>
      <w:numFmt w:val="chineseCounting"/>
      <w:suff w:val="nothing"/>
      <w:lvlText w:val="%1、"/>
      <w:lvlJc w:val="left"/>
      <w:rPr>
        <w:rFonts w:hint="eastAsia"/>
      </w:rPr>
    </w:lvl>
  </w:abstractNum>
  <w:abstractNum w:abstractNumId="3">
    <w:nsid w:val="C0322F7B"/>
    <w:multiLevelType w:val="singleLevel"/>
    <w:tmpl w:val="C0322F7B"/>
    <w:lvl w:ilvl="0" w:tentative="0">
      <w:start w:val="1"/>
      <w:numFmt w:val="chineseCounting"/>
      <w:suff w:val="nothing"/>
      <w:lvlText w:val="%1、"/>
      <w:lvlJc w:val="left"/>
      <w:rPr>
        <w:rFonts w:hint="eastAsia"/>
      </w:rPr>
    </w:lvl>
  </w:abstractNum>
  <w:abstractNum w:abstractNumId="4">
    <w:nsid w:val="FFDF9371"/>
    <w:multiLevelType w:val="singleLevel"/>
    <w:tmpl w:val="FFDF9371"/>
    <w:lvl w:ilvl="0" w:tentative="0">
      <w:start w:val="1"/>
      <w:numFmt w:val="chineseCounting"/>
      <w:suff w:val="nothing"/>
      <w:lvlText w:val="（%1）"/>
      <w:lvlJc w:val="left"/>
      <w:rPr>
        <w:rFonts w:hint="eastAsia"/>
      </w:rPr>
    </w:lvl>
  </w:abstractNum>
  <w:abstractNum w:abstractNumId="5">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16AA781"/>
    <w:multiLevelType w:val="singleLevel"/>
    <w:tmpl w:val="216AA781"/>
    <w:lvl w:ilvl="0" w:tentative="0">
      <w:start w:val="3"/>
      <w:numFmt w:val="chineseCounting"/>
      <w:suff w:val="nothing"/>
      <w:lvlText w:val="（%1）"/>
      <w:lvlJc w:val="left"/>
      <w:rPr>
        <w:rFonts w:hint="eastAsia"/>
      </w:rPr>
    </w:lvl>
  </w:abstractNum>
  <w:abstractNum w:abstractNumId="7">
    <w:nsid w:val="482B4A57"/>
    <w:multiLevelType w:val="singleLevel"/>
    <w:tmpl w:val="482B4A57"/>
    <w:lvl w:ilvl="0" w:tentative="0">
      <w:start w:val="1"/>
      <w:numFmt w:val="chineseCounting"/>
      <w:suff w:val="nothing"/>
      <w:lvlText w:val="%1、"/>
      <w:lvlJc w:val="left"/>
      <w:rPr>
        <w:rFonts w:hint="eastAsia"/>
      </w:rPr>
    </w:lvl>
  </w:abstractNum>
  <w:abstractNum w:abstractNumId="8">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7E2F26F1"/>
    <w:multiLevelType w:val="multilevel"/>
    <w:tmpl w:val="7E2F26F1"/>
    <w:lvl w:ilvl="0" w:tentative="0">
      <w:start w:val="1"/>
      <w:numFmt w:val="japaneseCounting"/>
      <w:lvlText w:val="%1、"/>
      <w:lvlJc w:val="left"/>
      <w:pPr>
        <w:ind w:left="1590" w:hanging="720"/>
      </w:pPr>
      <w:rPr>
        <w:rFonts w:hint="default" w:ascii="黑体" w:hAnsi="黑体" w:eastAsia="黑体" w:cs="仿宋_GB2312"/>
        <w:color w:val="auto"/>
      </w:rPr>
    </w:lvl>
    <w:lvl w:ilvl="1" w:tentative="0">
      <w:start w:val="1"/>
      <w:numFmt w:val="lowerLetter"/>
      <w:lvlText w:val="%2)"/>
      <w:lvlJc w:val="left"/>
      <w:pPr>
        <w:ind w:left="1710" w:hanging="420"/>
      </w:pPr>
    </w:lvl>
    <w:lvl w:ilvl="2" w:tentative="0">
      <w:start w:val="1"/>
      <w:numFmt w:val="lowerRoman"/>
      <w:lvlText w:val="%3."/>
      <w:lvlJc w:val="right"/>
      <w:pPr>
        <w:ind w:left="2130" w:hanging="420"/>
      </w:pPr>
    </w:lvl>
    <w:lvl w:ilvl="3" w:tentative="0">
      <w:start w:val="1"/>
      <w:numFmt w:val="decimal"/>
      <w:lvlText w:val="%4."/>
      <w:lvlJc w:val="left"/>
      <w:pPr>
        <w:ind w:left="2550" w:hanging="420"/>
      </w:pPr>
    </w:lvl>
    <w:lvl w:ilvl="4" w:tentative="0">
      <w:start w:val="1"/>
      <w:numFmt w:val="lowerLetter"/>
      <w:lvlText w:val="%5)"/>
      <w:lvlJc w:val="left"/>
      <w:pPr>
        <w:ind w:left="2970" w:hanging="420"/>
      </w:pPr>
    </w:lvl>
    <w:lvl w:ilvl="5" w:tentative="0">
      <w:start w:val="1"/>
      <w:numFmt w:val="lowerRoman"/>
      <w:lvlText w:val="%6."/>
      <w:lvlJc w:val="right"/>
      <w:pPr>
        <w:ind w:left="3390" w:hanging="420"/>
      </w:pPr>
    </w:lvl>
    <w:lvl w:ilvl="6" w:tentative="0">
      <w:start w:val="1"/>
      <w:numFmt w:val="decimal"/>
      <w:lvlText w:val="%7."/>
      <w:lvlJc w:val="left"/>
      <w:pPr>
        <w:ind w:left="3810" w:hanging="420"/>
      </w:pPr>
    </w:lvl>
    <w:lvl w:ilvl="7" w:tentative="0">
      <w:start w:val="1"/>
      <w:numFmt w:val="lowerLetter"/>
      <w:lvlText w:val="%8)"/>
      <w:lvlJc w:val="left"/>
      <w:pPr>
        <w:ind w:left="4230" w:hanging="420"/>
      </w:pPr>
    </w:lvl>
    <w:lvl w:ilvl="8" w:tentative="0">
      <w:start w:val="1"/>
      <w:numFmt w:val="lowerRoman"/>
      <w:lvlText w:val="%9."/>
      <w:lvlJc w:val="right"/>
      <w:pPr>
        <w:ind w:left="4650" w:hanging="420"/>
      </w:pPr>
    </w:lvl>
  </w:abstractNum>
  <w:num w:numId="1">
    <w:abstractNumId w:val="5"/>
  </w:num>
  <w:num w:numId="2">
    <w:abstractNumId w:val="8"/>
  </w:num>
  <w:num w:numId="3">
    <w:abstractNumId w:val="9"/>
  </w:num>
  <w:num w:numId="4">
    <w:abstractNumId w:val="10"/>
  </w:num>
  <w:num w:numId="5">
    <w:abstractNumId w:val="11"/>
  </w:num>
  <w:num w:numId="6">
    <w:abstractNumId w:val="4"/>
  </w:num>
  <w:num w:numId="7">
    <w:abstractNumId w:val="7"/>
  </w:num>
  <w:num w:numId="8">
    <w:abstractNumId w:val="1"/>
  </w:num>
  <w:num w:numId="9">
    <w:abstractNumId w:val="3"/>
  </w:num>
  <w:num w:numId="10">
    <w:abstractNumId w:val="6"/>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zM2RlMzEzY2Q5MDU0YzU5YWE4OTRkNDgzMmI3YmQifQ=="/>
  </w:docVars>
  <w:rsids>
    <w:rsidRoot w:val="004D39D0"/>
    <w:rsid w:val="0000716F"/>
    <w:rsid w:val="000F14EE"/>
    <w:rsid w:val="00143664"/>
    <w:rsid w:val="0017255E"/>
    <w:rsid w:val="00273598"/>
    <w:rsid w:val="003419B2"/>
    <w:rsid w:val="003863B2"/>
    <w:rsid w:val="003A1FCB"/>
    <w:rsid w:val="003F76FF"/>
    <w:rsid w:val="00417FF1"/>
    <w:rsid w:val="00431926"/>
    <w:rsid w:val="00463FC7"/>
    <w:rsid w:val="004A1367"/>
    <w:rsid w:val="004D39D0"/>
    <w:rsid w:val="00595D86"/>
    <w:rsid w:val="005C4C33"/>
    <w:rsid w:val="005E2A67"/>
    <w:rsid w:val="00685FF9"/>
    <w:rsid w:val="007A1C60"/>
    <w:rsid w:val="007E3261"/>
    <w:rsid w:val="008057F8"/>
    <w:rsid w:val="00815943"/>
    <w:rsid w:val="0083516E"/>
    <w:rsid w:val="008E14C8"/>
    <w:rsid w:val="008E34C1"/>
    <w:rsid w:val="008F5B37"/>
    <w:rsid w:val="00971910"/>
    <w:rsid w:val="009C7383"/>
    <w:rsid w:val="009D2306"/>
    <w:rsid w:val="00A03EA0"/>
    <w:rsid w:val="00A24E8B"/>
    <w:rsid w:val="00A7694A"/>
    <w:rsid w:val="00A84FC7"/>
    <w:rsid w:val="00AA61F3"/>
    <w:rsid w:val="00AC0130"/>
    <w:rsid w:val="00AD5B5B"/>
    <w:rsid w:val="00B509EF"/>
    <w:rsid w:val="00BA5C06"/>
    <w:rsid w:val="00BF1FE2"/>
    <w:rsid w:val="00C92DDA"/>
    <w:rsid w:val="00CE1DE5"/>
    <w:rsid w:val="00D02E0C"/>
    <w:rsid w:val="00D213C4"/>
    <w:rsid w:val="00D80D17"/>
    <w:rsid w:val="00D81563"/>
    <w:rsid w:val="00DA4D04"/>
    <w:rsid w:val="00DC4F5A"/>
    <w:rsid w:val="00DC78FC"/>
    <w:rsid w:val="00DD2A3A"/>
    <w:rsid w:val="00EE4EEC"/>
    <w:rsid w:val="00F21342"/>
    <w:rsid w:val="00F90D56"/>
    <w:rsid w:val="0198761C"/>
    <w:rsid w:val="01C62321"/>
    <w:rsid w:val="02224608"/>
    <w:rsid w:val="037408DC"/>
    <w:rsid w:val="06C60653"/>
    <w:rsid w:val="07CD060B"/>
    <w:rsid w:val="097E4B27"/>
    <w:rsid w:val="09E85885"/>
    <w:rsid w:val="0B0A4AB2"/>
    <w:rsid w:val="0B2549E4"/>
    <w:rsid w:val="0C1E733C"/>
    <w:rsid w:val="0D1E00EF"/>
    <w:rsid w:val="0D9C6599"/>
    <w:rsid w:val="0E676686"/>
    <w:rsid w:val="108103B2"/>
    <w:rsid w:val="10B61062"/>
    <w:rsid w:val="112350F7"/>
    <w:rsid w:val="1203212D"/>
    <w:rsid w:val="14170C6B"/>
    <w:rsid w:val="14660012"/>
    <w:rsid w:val="154F4C87"/>
    <w:rsid w:val="158B236D"/>
    <w:rsid w:val="15DC4B89"/>
    <w:rsid w:val="16177B96"/>
    <w:rsid w:val="16894D59"/>
    <w:rsid w:val="17B713BE"/>
    <w:rsid w:val="18062F21"/>
    <w:rsid w:val="18682E31"/>
    <w:rsid w:val="18E32D2C"/>
    <w:rsid w:val="18F4382B"/>
    <w:rsid w:val="192344D4"/>
    <w:rsid w:val="19DC3498"/>
    <w:rsid w:val="1A245155"/>
    <w:rsid w:val="1AD51F68"/>
    <w:rsid w:val="1B1E227A"/>
    <w:rsid w:val="1B560478"/>
    <w:rsid w:val="1B7D0913"/>
    <w:rsid w:val="1C453935"/>
    <w:rsid w:val="1CE812E3"/>
    <w:rsid w:val="1D161C4A"/>
    <w:rsid w:val="1EEE4222"/>
    <w:rsid w:val="1F2E6AF8"/>
    <w:rsid w:val="21142333"/>
    <w:rsid w:val="22535CC9"/>
    <w:rsid w:val="22C952F3"/>
    <w:rsid w:val="23D058B6"/>
    <w:rsid w:val="25CC5CB9"/>
    <w:rsid w:val="271C6563"/>
    <w:rsid w:val="276C7956"/>
    <w:rsid w:val="280027C7"/>
    <w:rsid w:val="285E7C91"/>
    <w:rsid w:val="28D72180"/>
    <w:rsid w:val="291853E7"/>
    <w:rsid w:val="293935AF"/>
    <w:rsid w:val="29CB42AA"/>
    <w:rsid w:val="29EE5C8A"/>
    <w:rsid w:val="29F11C4B"/>
    <w:rsid w:val="2AC21898"/>
    <w:rsid w:val="2AC970E1"/>
    <w:rsid w:val="2B5521D3"/>
    <w:rsid w:val="2B6D4B0A"/>
    <w:rsid w:val="2DFC6BEF"/>
    <w:rsid w:val="31091CC4"/>
    <w:rsid w:val="31E0405A"/>
    <w:rsid w:val="324066EA"/>
    <w:rsid w:val="33EC3721"/>
    <w:rsid w:val="340A0076"/>
    <w:rsid w:val="34BA4EF5"/>
    <w:rsid w:val="35B10B25"/>
    <w:rsid w:val="35C47268"/>
    <w:rsid w:val="35D308DF"/>
    <w:rsid w:val="35EF2F28"/>
    <w:rsid w:val="383D01EF"/>
    <w:rsid w:val="387739CB"/>
    <w:rsid w:val="39717E35"/>
    <w:rsid w:val="3C976232"/>
    <w:rsid w:val="3EEC6A47"/>
    <w:rsid w:val="3FC131B5"/>
    <w:rsid w:val="406571D2"/>
    <w:rsid w:val="41521A01"/>
    <w:rsid w:val="41DD13BD"/>
    <w:rsid w:val="438B6918"/>
    <w:rsid w:val="43E87A09"/>
    <w:rsid w:val="449D1AE1"/>
    <w:rsid w:val="458B7124"/>
    <w:rsid w:val="45B82046"/>
    <w:rsid w:val="477E0901"/>
    <w:rsid w:val="49594FD8"/>
    <w:rsid w:val="4A1969DF"/>
    <w:rsid w:val="4A5433C4"/>
    <w:rsid w:val="4B997551"/>
    <w:rsid w:val="4ECE6373"/>
    <w:rsid w:val="4F3C12D5"/>
    <w:rsid w:val="4F9B1B72"/>
    <w:rsid w:val="50B75E46"/>
    <w:rsid w:val="50C83FDF"/>
    <w:rsid w:val="561173E2"/>
    <w:rsid w:val="564D1B54"/>
    <w:rsid w:val="571F0777"/>
    <w:rsid w:val="58971AEB"/>
    <w:rsid w:val="592F70E1"/>
    <w:rsid w:val="5A7D6AA4"/>
    <w:rsid w:val="5A954F0B"/>
    <w:rsid w:val="5AA42073"/>
    <w:rsid w:val="5D2046AE"/>
    <w:rsid w:val="5D3311AA"/>
    <w:rsid w:val="5D8F62D6"/>
    <w:rsid w:val="5E9815A7"/>
    <w:rsid w:val="5F466A64"/>
    <w:rsid w:val="61806122"/>
    <w:rsid w:val="61E53122"/>
    <w:rsid w:val="61FE158C"/>
    <w:rsid w:val="634C56B2"/>
    <w:rsid w:val="63DF6526"/>
    <w:rsid w:val="658230BA"/>
    <w:rsid w:val="65B90CE0"/>
    <w:rsid w:val="67031F75"/>
    <w:rsid w:val="68363FA8"/>
    <w:rsid w:val="687D6E06"/>
    <w:rsid w:val="6AEC2459"/>
    <w:rsid w:val="6B3E5199"/>
    <w:rsid w:val="6B4257D8"/>
    <w:rsid w:val="6B62394F"/>
    <w:rsid w:val="6BB77E6E"/>
    <w:rsid w:val="6CC31AB9"/>
    <w:rsid w:val="6D065460"/>
    <w:rsid w:val="6E9674D2"/>
    <w:rsid w:val="701722AD"/>
    <w:rsid w:val="70D05A86"/>
    <w:rsid w:val="711A4829"/>
    <w:rsid w:val="72290494"/>
    <w:rsid w:val="74F70081"/>
    <w:rsid w:val="75733809"/>
    <w:rsid w:val="76786C68"/>
    <w:rsid w:val="77144C1F"/>
    <w:rsid w:val="78855594"/>
    <w:rsid w:val="78C47CD9"/>
    <w:rsid w:val="78FF66CA"/>
    <w:rsid w:val="79AB1990"/>
    <w:rsid w:val="79EB2C51"/>
    <w:rsid w:val="7B9642BA"/>
    <w:rsid w:val="7BF20F80"/>
    <w:rsid w:val="7C8E590B"/>
    <w:rsid w:val="7D464CB9"/>
    <w:rsid w:val="7D8F5DD5"/>
    <w:rsid w:val="7E0B1517"/>
    <w:rsid w:val="7EC363D0"/>
    <w:rsid w:val="7ED372E9"/>
    <w:rsid w:val="7EEC153A"/>
    <w:rsid w:val="7F7B5C3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paragraph" w:customStyle="1" w:styleId="8">
    <w:name w:val="列出段落1"/>
    <w:basedOn w:val="1"/>
    <w:qFormat/>
    <w:uiPriority w:val="34"/>
    <w:pPr>
      <w:ind w:firstLine="420" w:firstLineChars="200"/>
    </w:pPr>
  </w:style>
  <w:style w:type="character" w:customStyle="1" w:styleId="9">
    <w:name w:val="页眉 Char"/>
    <w:basedOn w:val="7"/>
    <w:link w:val="4"/>
    <w:qFormat/>
    <w:uiPriority w:val="0"/>
    <w:rPr>
      <w:rFonts w:asciiTheme="minorHAnsi" w:hAnsiTheme="minorHAnsi" w:eastAsiaTheme="minorEastAsia" w:cstheme="minorBidi"/>
      <w:kern w:val="2"/>
      <w:sz w:val="18"/>
      <w:szCs w:val="18"/>
    </w:rPr>
  </w:style>
  <w:style w:type="character" w:customStyle="1" w:styleId="10">
    <w:name w:val="页脚 Char"/>
    <w:basedOn w:val="7"/>
    <w:link w:val="3"/>
    <w:qFormat/>
    <w:uiPriority w:val="0"/>
    <w:rPr>
      <w:rFonts w:asciiTheme="minorHAnsi" w:hAnsiTheme="minorHAnsi" w:eastAsiaTheme="minorEastAsia" w:cstheme="minorBidi"/>
      <w:kern w:val="2"/>
      <w:sz w:val="18"/>
      <w:szCs w:val="18"/>
    </w:rPr>
  </w:style>
  <w:style w:type="character" w:customStyle="1" w:styleId="11">
    <w:name w:val="font51"/>
    <w:basedOn w:val="7"/>
    <w:qFormat/>
    <w:uiPriority w:val="0"/>
    <w:rPr>
      <w:rFonts w:hint="eastAsia" w:ascii="宋体" w:hAnsi="宋体" w:eastAsia="宋体" w:cs="宋体"/>
      <w:color w:val="auto"/>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7460</Words>
  <Characters>8302</Characters>
  <Lines>34</Lines>
  <Paragraphs>9</Paragraphs>
  <TotalTime>4</TotalTime>
  <ScaleCrop>false</ScaleCrop>
  <LinksUpToDate>false</LinksUpToDate>
  <CharactersWithSpaces>8368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2021-03-02T02:58:00Z</dcterms:created>
  <dc:creator>Administrator</dc:creator>
  <cp:lastModifiedBy>Administrator</cp:lastModifiedBy>
  <dcterms:modified xsi:type="dcterms:W3CDTF">2024-07-18T07:58:06Z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CCF998DB436341FB837C45BED568A3BA</vt:lpwstr>
  </property>
</Properties>
</file>