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三亚市育才雅林幼儿园</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三亚市育才雅林幼儿园</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pacing w:val="0"/>
          <w:sz w:val="32"/>
          <w:szCs w:val="32"/>
          <w:lang w:eastAsia="zh-CN"/>
        </w:rPr>
        <w:t>三亚市育才雅林幼儿园</w:t>
      </w:r>
      <w:r>
        <w:rPr>
          <w:rFonts w:hint="eastAsia" w:ascii="黑体" w:hAnsi="黑体" w:eastAsia="黑体" w:cs="黑体"/>
          <w:spacing w:val="0"/>
          <w:sz w:val="32"/>
          <w:szCs w:val="32"/>
          <w:lang w:val="en-US" w:eastAsia="zh-CN"/>
        </w:rPr>
        <w:t>2023</w:t>
      </w:r>
      <w:r>
        <w:rPr>
          <w:rFonts w:hint="eastAsia" w:ascii="黑体" w:hAnsi="黑体" w:eastAsia="黑体"/>
          <w:spacing w:val="0"/>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三亚市育才雅林幼儿园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eastAsia="zh-CN"/>
        </w:rPr>
      </w:pPr>
      <w:r>
        <w:rPr>
          <w:rFonts w:hint="default" w:ascii="Times New Roman" w:hAnsi="Times New Roman" w:eastAsia="仿宋_GB2312" w:cs="Times New Roman"/>
          <w:sz w:val="32"/>
          <w:szCs w:val="32"/>
          <w:lang w:eastAsia="zh-CN"/>
        </w:rPr>
        <w:t>（一）</w:t>
      </w:r>
      <w:r>
        <w:rPr>
          <w:rFonts w:hint="eastAsia" w:ascii="黑体" w:hAnsi="黑体" w:eastAsia="黑体" w:cs="黑体"/>
          <w:sz w:val="32"/>
          <w:szCs w:val="32"/>
          <w:lang w:eastAsia="zh-CN"/>
        </w:rPr>
        <w:t>主要职责</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w:t>
      </w:r>
      <w:r>
        <w:rPr>
          <w:rFonts w:hint="eastAsia" w:ascii="宋体" w:hAnsi="宋体" w:eastAsia="宋体" w:cs="宋体"/>
          <w:sz w:val="32"/>
          <w:szCs w:val="32"/>
          <w:lang w:val="en-US" w:eastAsia="zh-CN"/>
        </w:rPr>
        <w:t>邓明结</w:t>
      </w:r>
      <w:r>
        <w:rPr>
          <w:rFonts w:hint="eastAsia" w:ascii="宋体" w:hAnsi="宋体" w:eastAsia="宋体" w:cs="宋体"/>
          <w:sz w:val="32"/>
          <w:szCs w:val="32"/>
          <w:lang w:eastAsia="zh-CN"/>
        </w:rPr>
        <w:t>是三亚市育才雅林幼儿园的园长，主要职责是</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w:t>
      </w:r>
      <w:r>
        <w:rPr>
          <w:rFonts w:hint="eastAsia" w:ascii="Times New Roman" w:hAnsi="Times New Roman" w:eastAsia="仿宋_GB2312" w:cs="Times New Roman"/>
          <w:sz w:val="32"/>
          <w:szCs w:val="32"/>
          <w:lang w:val="en-US" w:eastAsia="zh-CN"/>
        </w:rPr>
        <w:t>1、</w:t>
      </w:r>
      <w:r>
        <w:rPr>
          <w:rFonts w:hint="eastAsia" w:ascii="宋体" w:hAnsi="宋体" w:eastAsia="宋体" w:cs="宋体"/>
          <w:sz w:val="32"/>
          <w:szCs w:val="32"/>
          <w:lang w:eastAsia="zh-CN"/>
        </w:rPr>
        <w:t>贯彻执行园长负责制</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贯彻党的教育方针和政策，执行</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指示和决议。</w:t>
      </w:r>
    </w:p>
    <w:p>
      <w:pPr>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负责协调、优化领导班子，最大限度发挥领导班子的整体效能。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sz w:val="32"/>
          <w:szCs w:val="32"/>
          <w:lang w:val="en-US" w:eastAsia="zh-CN"/>
        </w:rPr>
      </w:pPr>
      <w:r>
        <w:rPr>
          <w:rFonts w:hint="eastAsia" w:ascii="Times New Roman" w:hAnsi="Times New Roman" w:eastAsia="仿宋_GB2312" w:cs="Times New Roman"/>
          <w:sz w:val="32"/>
          <w:szCs w:val="32"/>
          <w:lang w:eastAsia="zh-CN"/>
        </w:rPr>
        <w:t>　　</w:t>
      </w:r>
      <w:r>
        <w:rPr>
          <w:rFonts w:hint="eastAsia" w:ascii="Times New Roman" w:hAnsi="Times New Roman" w:eastAsia="仿宋_GB2312" w:cs="Times New Roman"/>
          <w:sz w:val="32"/>
          <w:szCs w:val="32"/>
          <w:lang w:val="en-US" w:eastAsia="zh-CN"/>
        </w:rPr>
        <w:t>2</w:t>
      </w:r>
      <w:r>
        <w:rPr>
          <w:rFonts w:hint="eastAsia" w:ascii="宋体" w:hAnsi="宋体" w:eastAsia="宋体" w:cs="宋体"/>
          <w:sz w:val="32"/>
          <w:szCs w:val="32"/>
          <w:lang w:val="en-US" w:eastAsia="zh-CN"/>
        </w:rPr>
        <w:t>、教科研管理</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检查教职工各项工作制度、常规的落实情况。负责制订招生方案并组织招生，查看新入园幼儿情况，协助班上做好新生接待工作。</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3、</w:t>
      </w:r>
      <w:r>
        <w:rPr>
          <w:rFonts w:hint="eastAsia" w:ascii="宋体" w:hAnsi="宋体" w:eastAsia="宋体" w:cs="宋体"/>
          <w:sz w:val="32"/>
          <w:szCs w:val="32"/>
          <w:lang w:val="en-US" w:eastAsia="zh-CN"/>
        </w:rPr>
        <w:t>后勤管理</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督促</w:t>
      </w:r>
      <w:r>
        <w:rPr>
          <w:rFonts w:hint="default" w:ascii="Times New Roman" w:hAnsi="Times New Roman" w:eastAsia="仿宋_GB2312" w:cs="Times New Roman"/>
          <w:sz w:val="32"/>
          <w:szCs w:val="32"/>
          <w:lang w:val="en-US" w:eastAsia="zh-CN"/>
        </w:rPr>
        <w:t>后勤重点抓好卫生保健及膳食管理工作。每月听取财务人员关于财务收支情况的汇报，负责审查幼儿园预算、决算等各种报表。监督检查各种制度落实情况，协同后勤定期对后勤人员进行考核。</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sz w:val="32"/>
          <w:szCs w:val="32"/>
          <w:lang w:eastAsia="zh-CN"/>
        </w:rPr>
      </w:pPr>
      <w:r>
        <w:rPr>
          <w:rFonts w:hint="eastAsia" w:ascii="Times New Roman" w:hAnsi="Times New Roman" w:eastAsia="仿宋_GB2312" w:cs="Times New Roman"/>
          <w:sz w:val="32"/>
          <w:szCs w:val="32"/>
          <w:lang w:eastAsia="zh-CN"/>
        </w:rPr>
        <w:t>　　</w:t>
      </w:r>
      <w:r>
        <w:rPr>
          <w:rFonts w:hint="eastAsia" w:ascii="Times New Roman" w:hAnsi="Times New Roman" w:eastAsia="仿宋_GB2312" w:cs="Times New Roman"/>
          <w:sz w:val="32"/>
          <w:szCs w:val="32"/>
          <w:lang w:val="en-US" w:eastAsia="zh-CN"/>
        </w:rPr>
        <w:t>4、</w:t>
      </w:r>
      <w:r>
        <w:rPr>
          <w:rFonts w:hint="eastAsia" w:ascii="Times New Roman" w:hAnsi="Times New Roman" w:cs="Times New Roman"/>
          <w:sz w:val="32"/>
          <w:szCs w:val="32"/>
          <w:lang w:eastAsia="zh-CN"/>
        </w:rPr>
        <w:t>幼儿园安全负责第一人</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园长负责幼儿园的全面管理，主持全园工作，对幼儿园的安全工作负总责。认真学习党的教育方针和国家的有关法律、法规、政策，全面贯彻《幼儿园管理条例》和《幼儿园工作规程》。</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eastAsia="zh-CN"/>
        </w:rPr>
        <w:t>）</w:t>
      </w:r>
      <w:r>
        <w:rPr>
          <w:rFonts w:hint="eastAsia" w:ascii="黑体" w:hAnsi="黑体" w:eastAsia="黑体" w:cs="黑体"/>
          <w:sz w:val="32"/>
          <w:szCs w:val="32"/>
          <w:lang w:eastAsia="zh-CN"/>
        </w:rPr>
        <w:t>内设机构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eastAsia" w:ascii="宋体" w:hAnsi="宋体" w:eastAsia="宋体" w:cs="宋体"/>
          <w:sz w:val="32"/>
          <w:szCs w:val="32"/>
          <w:lang w:eastAsia="zh-CN"/>
        </w:rPr>
        <w:t>办公室主任</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协助园长做好全园各岗位人员的考核工作。负责制定周末、国家法定节假日值班安排表,组织值班人员参加相应值班工作培训</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负责统计工作。负责各类文件的收发、登记、传阅、归档工作。负责往来电话和信函的处理工作和来访接待工作。</w:t>
      </w:r>
      <w:r>
        <w:rPr>
          <w:rFonts w:hint="eastAsia" w:ascii="仿宋" w:hAnsi="仿宋" w:eastAsia="仿宋" w:cs="仿宋"/>
          <w:sz w:val="32"/>
          <w:szCs w:val="32"/>
          <w:lang w:val="en-US" w:eastAsia="zh-CN"/>
        </w:rPr>
        <w:t>负责全员性幼儿活动和各类会议的筹备和接待、摄像工作。每天接收上级部门下发的各类文件等,并及时将信息反馈给园长及相关人员。</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Times New Roman" w:hAnsi="Times New Roman" w:cs="Times New Roman"/>
          <w:sz w:val="32"/>
          <w:szCs w:val="32"/>
          <w:lang w:eastAsia="zh-CN"/>
        </w:rPr>
      </w:pPr>
      <w:r>
        <w:rPr>
          <w:rFonts w:hint="eastAsia" w:ascii="Times New Roman" w:hAnsi="Times New Roman" w:eastAsia="仿宋_GB2312" w:cs="Times New Roman"/>
          <w:sz w:val="32"/>
          <w:szCs w:val="32"/>
          <w:lang w:val="en-US" w:eastAsia="zh-CN"/>
        </w:rPr>
        <w:t>2、</w:t>
      </w:r>
      <w:r>
        <w:rPr>
          <w:rFonts w:hint="eastAsia" w:ascii="宋体" w:hAnsi="宋体" w:eastAsia="宋体" w:cs="宋体"/>
          <w:sz w:val="32"/>
          <w:szCs w:val="32"/>
          <w:lang w:eastAsia="zh-CN"/>
        </w:rPr>
        <w:t>后勤主任</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协助园长贯彻执行党的教育方针，从财力、物力上保证教育教学工作的合理需要;协助园长制定和组织实施幼儿园后勤工作计划，经常检查，定期总结。为教育教学服务，千万百计地挖掘财物潜力，从财物上保障教育教学工作的合理需要，为提高教学质量创造必要的物质条件。负责幼儿园园舍、公物的管理、维修;负责幼儿园绿化工作。</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宋体" w:hAnsi="宋体" w:eastAsia="宋体" w:cs="宋体"/>
          <w:sz w:val="32"/>
          <w:szCs w:val="32"/>
          <w:lang w:eastAsia="zh-CN"/>
        </w:rPr>
      </w:pPr>
      <w:r>
        <w:rPr>
          <w:rFonts w:hint="eastAsia" w:ascii="Times New Roman" w:hAnsi="Times New Roman" w:eastAsia="仿宋_GB2312" w:cs="Times New Roman"/>
          <w:sz w:val="32"/>
          <w:szCs w:val="32"/>
          <w:lang w:val="en-US" w:eastAsia="zh-CN"/>
        </w:rPr>
        <w:t>3、</w:t>
      </w:r>
      <w:r>
        <w:rPr>
          <w:rFonts w:hint="eastAsia" w:ascii="宋体" w:hAnsi="宋体" w:eastAsia="宋体" w:cs="宋体"/>
          <w:sz w:val="32"/>
          <w:szCs w:val="32"/>
          <w:lang w:eastAsia="zh-CN"/>
        </w:rPr>
        <w:t>保教主任</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认真贯彻《幼儿园工作规程》，根据园长及市、区教育行政部门的要求，制定保教工作计划，带领并指导保教人员制定好各种计划和工作总结；有计划地开展专题教研或科研活动，组织教改试验和观察教育活动，组织好各个节日庆祝活动，深入教育第一线检查，指导班上生活管理、卫生保健、教育活动计划落实情况</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w:t>
      </w:r>
      <w:r>
        <w:rPr>
          <w:rFonts w:hint="eastAsia" w:ascii="Times New Roman" w:hAnsi="Times New Roman" w:eastAsia="仿宋_GB2312" w:cs="Times New Roman"/>
          <w:sz w:val="32"/>
          <w:szCs w:val="32"/>
          <w:lang w:val="en-US" w:eastAsia="zh-CN"/>
        </w:rPr>
        <w:t>4、</w:t>
      </w:r>
      <w:r>
        <w:rPr>
          <w:rFonts w:hint="eastAsia" w:ascii="宋体" w:hAnsi="宋体" w:eastAsia="宋体" w:cs="宋体"/>
          <w:sz w:val="32"/>
          <w:szCs w:val="32"/>
          <w:lang w:eastAsia="zh-CN"/>
        </w:rPr>
        <w:t>主班老师</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严</w:t>
      </w:r>
      <w:r>
        <w:rPr>
          <w:rFonts w:hint="eastAsia" w:ascii="Times New Roman" w:hAnsi="Times New Roman" w:eastAsia="仿宋_GB2312" w:cs="Times New Roman"/>
          <w:sz w:val="32"/>
          <w:szCs w:val="32"/>
          <w:lang w:eastAsia="zh-CN"/>
        </w:rPr>
        <w:t xml:space="preserve">格遵守幼儿园各项规章制度和师德规范。全面负责本班教育和保育工作，制定教育工作计划（包括观察、分析、记录幼儿发展情况），并认真执行。对幼儿态度和蔼可亲，做到耐心、关心、细心、热心，与本班教师、生活教师团结协作，搞好所在班级教育、卫生、保健及生活护理等工作。        </w:t>
      </w:r>
    </w:p>
    <w:p>
      <w:pPr>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宋体" w:hAnsi="宋体" w:eastAsia="宋体" w:cs="宋体"/>
          <w:sz w:val="32"/>
          <w:szCs w:val="32"/>
          <w:lang w:eastAsia="zh-CN"/>
        </w:rPr>
      </w:pPr>
      <w:r>
        <w:rPr>
          <w:rFonts w:hint="eastAsia" w:ascii="Times New Roman" w:hAnsi="Times New Roman" w:eastAsia="仿宋_GB2312" w:cs="Times New Roman"/>
          <w:sz w:val="32"/>
          <w:szCs w:val="32"/>
          <w:lang w:val="en-US" w:eastAsia="zh-CN"/>
        </w:rPr>
        <w:t>5、</w:t>
      </w:r>
      <w:r>
        <w:rPr>
          <w:rFonts w:hint="eastAsia" w:ascii="宋体" w:hAnsi="宋体" w:eastAsia="宋体" w:cs="宋体"/>
          <w:sz w:val="32"/>
          <w:szCs w:val="32"/>
          <w:lang w:eastAsia="zh-CN"/>
        </w:rPr>
        <w:t>配班老师</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xml:space="preserve">    严格遵守幼儿园各项规章制度和师德规范。全面负责本班教育和保育工作，制定教育工作计划（包括观察、分析、记录幼儿发展情况），并认真执行。在班主任的指导下，根据班级计划及每周安排配合老师组织教育活动。确保教学需要，定期布置教室，并管理好班级财产和幼儿的物品（被、衣服、鞋子、玩具）、教具。 做好学期前的物品清点和学期末的检查统计。    </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ind w:left="800"/>
        <w:jc w:val="both"/>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sz w:val="32"/>
          <w:szCs w:val="32"/>
          <w:lang w:eastAsia="zh-CN"/>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三亚市育才雅林幼儿园</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281.09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281.09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281.05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281.09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教育支出</w:t>
      </w:r>
      <w:r>
        <w:rPr>
          <w:rFonts w:hint="eastAsia" w:ascii="仿宋_GB2312" w:hAnsi="黑体" w:eastAsia="仿宋_GB2312"/>
          <w:sz w:val="32"/>
          <w:szCs w:val="32"/>
          <w:lang w:val="en-US" w:eastAsia="zh-CN"/>
        </w:rPr>
        <w:t>214.42</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31.32</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19.72</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15.62</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三亚市育才雅林幼儿园</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281.09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u w:val="none"/>
          <w:lang w:val="en-US" w:eastAsia="zh-CN"/>
        </w:rPr>
        <w:t>254.65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教育支出增加</w:t>
      </w:r>
      <w:r>
        <w:rPr>
          <w:rFonts w:hint="eastAsia" w:ascii="仿宋_GB2312" w:hAnsi="黑体" w:eastAsia="仿宋_GB2312" w:cs="仿宋_GB2312"/>
          <w:sz w:val="32"/>
          <w:szCs w:val="32"/>
          <w:lang w:val="en-US" w:eastAsia="zh-CN"/>
        </w:rPr>
        <w:t>187.98</w:t>
      </w:r>
      <w:r>
        <w:rPr>
          <w:rFonts w:hint="eastAsia" w:ascii="仿宋_GB2312" w:hAnsi="黑体" w:eastAsia="仿宋_GB2312"/>
          <w:sz w:val="32"/>
          <w:szCs w:val="32"/>
          <w:lang w:val="en-US" w:eastAsia="zh-CN"/>
        </w:rPr>
        <w:t>万元，社会保障和就业支出增加</w:t>
      </w:r>
      <w:r>
        <w:rPr>
          <w:rFonts w:hint="eastAsia" w:ascii="仿宋_GB2312" w:hAnsi="黑体" w:eastAsia="仿宋_GB2312"/>
          <w:sz w:val="32"/>
          <w:szCs w:val="32"/>
          <w:u w:val="none"/>
          <w:lang w:val="en-US" w:eastAsia="zh-CN"/>
        </w:rPr>
        <w:t>31.32</w:t>
      </w:r>
      <w:r>
        <w:rPr>
          <w:rFonts w:hint="eastAsia" w:ascii="仿宋_GB2312" w:hAnsi="黑体" w:eastAsia="仿宋_GB2312"/>
          <w:sz w:val="32"/>
          <w:szCs w:val="32"/>
          <w:lang w:val="en-US" w:eastAsia="zh-CN"/>
        </w:rPr>
        <w:t>万元，卫生健康支出增加</w:t>
      </w:r>
      <w:r>
        <w:rPr>
          <w:rFonts w:hint="eastAsia" w:ascii="仿宋_GB2312" w:hAnsi="黑体" w:eastAsia="仿宋_GB2312"/>
          <w:sz w:val="32"/>
          <w:szCs w:val="32"/>
          <w:u w:val="none"/>
          <w:lang w:val="en-US" w:eastAsia="zh-CN"/>
        </w:rPr>
        <w:t>19.72</w:t>
      </w:r>
      <w:r>
        <w:rPr>
          <w:rFonts w:hint="eastAsia" w:ascii="仿宋_GB2312" w:hAnsi="黑体" w:eastAsia="仿宋_GB2312"/>
          <w:sz w:val="32"/>
          <w:szCs w:val="32"/>
          <w:lang w:val="en-US" w:eastAsia="zh-CN"/>
        </w:rPr>
        <w:t>万元，住房保障支出增加</w:t>
      </w:r>
      <w:r>
        <w:rPr>
          <w:rFonts w:hint="eastAsia" w:ascii="仿宋_GB2312" w:hAnsi="黑体" w:eastAsia="仿宋_GB2312"/>
          <w:sz w:val="32"/>
          <w:szCs w:val="32"/>
          <w:u w:val="none"/>
          <w:lang w:val="en-US" w:eastAsia="zh-CN"/>
        </w:rPr>
        <w:t>15.62</w:t>
      </w:r>
      <w:r>
        <w:rPr>
          <w:rFonts w:hint="eastAsia" w:ascii="仿宋_GB2312" w:hAnsi="黑体" w:eastAsia="仿宋_GB2312"/>
          <w:sz w:val="32"/>
          <w:szCs w:val="32"/>
          <w:lang w:val="en-US" w:eastAsia="zh-CN"/>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教育支出</w:t>
      </w:r>
      <w:r>
        <w:rPr>
          <w:rFonts w:hint="eastAsia" w:ascii="仿宋_GB2312" w:hAnsi="黑体" w:eastAsia="仿宋_GB2312" w:cs="仿宋_GB2312"/>
          <w:sz w:val="32"/>
          <w:szCs w:val="32"/>
          <w:lang w:val="en-US" w:eastAsia="zh-CN"/>
        </w:rPr>
        <w:t>214.42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76.28</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31.32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11.14</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19.72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7.01</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15.62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1.教育支出（类）普通教育（款）学前教育（项）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214.42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187.98</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由于特岗教师经费增加，人员经费增加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社会保障和就业支出（类）行政事业单位养老支出（款）机关事业单位基本养老保险缴费支出（项）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lang w:val="en-US" w:eastAsia="zh-CN"/>
        </w:rPr>
        <w:t>19.02</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由于特岗教师经费增加，人员经费增加</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w:t>
      </w:r>
      <w:r>
        <w:rPr>
          <w:rFonts w:hint="eastAsia" w:ascii="仿宋_GB2312" w:hAnsi="黑体" w:eastAsia="仿宋_GB2312" w:cs="仿宋_GB2312"/>
          <w:sz w:val="32"/>
          <w:szCs w:val="32"/>
          <w:lang w:val="en-US" w:eastAsia="zh-CN"/>
        </w:rPr>
        <w:t>职业年金</w:t>
      </w:r>
      <w:r>
        <w:rPr>
          <w:rFonts w:hint="eastAsia" w:ascii="仿宋_GB2312" w:hAnsi="黑体" w:eastAsia="仿宋_GB2312" w:cs="仿宋_GB2312"/>
          <w:sz w:val="32"/>
          <w:szCs w:val="32"/>
        </w:rPr>
        <w:t>（款）机关事业单位</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rPr>
        <w:t>缴费支出（项）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lang w:val="en-US" w:eastAsia="zh-CN"/>
        </w:rPr>
        <w:t>12.31</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由于职业年金纪实单位部分，人员经费增加</w:t>
      </w:r>
      <w:r>
        <w:rPr>
          <w:rFonts w:hint="eastAsia" w:ascii="仿宋_GB2312" w:hAnsi="黑体" w:eastAsia="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w:t>
      </w:r>
      <w:r>
        <w:rPr>
          <w:rFonts w:hint="eastAsia"/>
        </w:rPr>
        <w:t xml:space="preserve"> </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eastAsia="zh-CN"/>
        </w:rPr>
        <w:t>2023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6.7</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.7</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由于特岗教师经费增加，人员经费增加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 卫生健康支出（类）行政事业单位医疗（款）公务员医疗补助（项）</w:t>
      </w:r>
      <w:r>
        <w:rPr>
          <w:rFonts w:hint="eastAsia" w:ascii="仿宋_GB2312" w:hAnsi="黑体" w:eastAsia="仿宋_GB2312" w:cs="仿宋_GB2312"/>
          <w:sz w:val="32"/>
          <w:szCs w:val="32"/>
          <w:lang w:eastAsia="zh-CN"/>
        </w:rPr>
        <w:t>2023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13.02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02</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由于特岗教师经费增加，人员经费增加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r>
        <w:rPr>
          <w:rFonts w:hint="eastAsia"/>
        </w:rPr>
        <w:t xml:space="preserve"> </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eastAsia="zh-CN"/>
        </w:rPr>
        <w:t>2023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15.62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lang w:val="en-US" w:eastAsia="zh-CN"/>
        </w:rPr>
        <w:t>15.62</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由于特岗教师经费增加，人员经费增加</w:t>
      </w:r>
      <w:r>
        <w:rPr>
          <w:rFonts w:hint="eastAsia" w:ascii="仿宋_GB2312" w:hAnsi="黑体"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三亚市育才雅林幼儿园</w:t>
      </w:r>
      <w:r>
        <w:rPr>
          <w:rFonts w:hint="eastAsia" w:ascii="仿宋_GB2312" w:hAnsi="黑体" w:eastAsia="仿宋_GB2312"/>
          <w:sz w:val="32"/>
          <w:szCs w:val="32"/>
          <w:lang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212.31</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203.27</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邮电费、对个人和家庭的补助、奖励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9.04</w:t>
      </w:r>
      <w:r>
        <w:rPr>
          <w:rFonts w:hint="eastAsia" w:ascii="仿宋_GB2312" w:hAnsi="黑体" w:eastAsia="仿宋_GB2312"/>
          <w:sz w:val="32"/>
          <w:szCs w:val="32"/>
        </w:rPr>
        <w:t>万元，主要包括：其他社会保障缴费、办公费、工会经费、福利费、其他商品和服务支出。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三亚市育才雅林幼儿园2023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仿宋_GB2312" w:hAnsi="黑体" w:eastAsia="仿宋_GB2312"/>
          <w:sz w:val="32"/>
          <w:szCs w:val="32"/>
          <w:lang w:eastAsia="zh-CN"/>
        </w:rPr>
        <w:t>上年与本年度</w:t>
      </w:r>
      <w:r>
        <w:rPr>
          <w:rFonts w:hint="eastAsia" w:ascii="仿宋_GB2312" w:hAnsi="黑体" w:eastAsia="仿宋_GB2312"/>
          <w:sz w:val="32"/>
          <w:szCs w:val="32"/>
          <w:lang w:val="en-US" w:eastAsia="zh-CN"/>
        </w:rPr>
        <w:t>均无</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三亚市育才雅林幼儿园</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val="en-US"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仿宋_GB2312" w:hAnsi="黑体" w:eastAsia="仿宋_GB2312"/>
          <w:sz w:val="32"/>
          <w:szCs w:val="32"/>
          <w:lang w:eastAsia="zh-CN"/>
        </w:rPr>
        <w:t>上年与本年度</w:t>
      </w:r>
      <w:r>
        <w:rPr>
          <w:rFonts w:hint="eastAsia" w:ascii="仿宋_GB2312" w:hAnsi="黑体" w:eastAsia="仿宋_GB2312"/>
          <w:sz w:val="32"/>
          <w:szCs w:val="32"/>
          <w:lang w:val="en-US" w:eastAsia="zh-CN"/>
        </w:rPr>
        <w:t>均</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val="en-US" w:eastAsia="zh-CN"/>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三亚市育才雅林幼儿园</w:t>
      </w:r>
      <w:r>
        <w:rPr>
          <w:rFonts w:hint="eastAsia" w:ascii="仿宋_GB2312" w:hAnsi="黑体" w:eastAsia="仿宋_GB2312"/>
          <w:sz w:val="32"/>
          <w:szCs w:val="32"/>
          <w:lang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上年与本年度</w:t>
      </w:r>
      <w:r>
        <w:rPr>
          <w:rFonts w:hint="eastAsia" w:ascii="仿宋_GB2312" w:hAnsi="黑体" w:eastAsia="仿宋_GB2312"/>
          <w:sz w:val="32"/>
          <w:szCs w:val="32"/>
          <w:lang w:val="en-US" w:eastAsia="zh-CN"/>
        </w:rPr>
        <w:t>均无</w:t>
      </w:r>
      <w:r>
        <w:rPr>
          <w:rFonts w:hint="eastAsia" w:ascii="仿宋_GB2312" w:hAnsi="黑体" w:eastAsia="仿宋_GB2312"/>
          <w:sz w:val="32"/>
          <w:szCs w:val="32"/>
        </w:rPr>
        <w:t>政府性基金预算</w:t>
      </w:r>
      <w:r>
        <w:rPr>
          <w:rFonts w:hint="eastAsia" w:ascii="仿宋_GB2312" w:hAnsi="黑体" w:eastAsia="仿宋_GB2312"/>
          <w:sz w:val="32"/>
          <w:szCs w:val="32"/>
          <w:lang w:val="en-US" w:eastAsia="zh-CN"/>
        </w:rPr>
        <w:t>拨款情况</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三亚市育才雅林幼儿园</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支出包括：教育支出、社会保障和就业支出、卫生健康支出、住房保障支出。</w:t>
      </w:r>
      <w:r>
        <w:rPr>
          <w:rFonts w:hint="eastAsia" w:ascii="仿宋_GB2312" w:hAnsi="黑体" w:eastAsia="仿宋_GB2312" w:cs="仿宋_GB2312"/>
          <w:sz w:val="32"/>
          <w:szCs w:val="32"/>
          <w:lang w:eastAsia="zh-CN"/>
        </w:rPr>
        <w:t>三亚市育才雅林幼儿园</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284.89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三亚市育才雅林幼儿园</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284.89</w:t>
      </w:r>
      <w:r>
        <w:rPr>
          <w:rFonts w:hint="eastAsia" w:ascii="仿宋_GB2312" w:hAnsi="黑体" w:eastAsia="仿宋_GB2312"/>
          <w:sz w:val="32"/>
          <w:szCs w:val="32"/>
        </w:rPr>
        <w:t>万元，其中：一般公共预算拨款收入</w:t>
      </w:r>
      <w:r>
        <w:rPr>
          <w:rFonts w:hint="eastAsia" w:ascii="仿宋_GB2312" w:hAnsi="黑体" w:eastAsia="仿宋_GB2312" w:cs="仿宋_GB2312"/>
          <w:sz w:val="32"/>
          <w:szCs w:val="32"/>
          <w:lang w:val="en-US" w:eastAsia="zh-CN"/>
        </w:rPr>
        <w:t>281.05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98.65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上年结转结余</w:t>
      </w:r>
      <w:r>
        <w:rPr>
          <w:rFonts w:hint="eastAsia" w:ascii="仿宋_GB2312" w:hAnsi="黑体" w:eastAsia="仿宋_GB2312"/>
          <w:sz w:val="32"/>
          <w:szCs w:val="32"/>
          <w:lang w:val="en-US" w:eastAsia="zh-CN"/>
        </w:rPr>
        <w:t>3.84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1.35</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三亚市育才雅林幼儿园</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三亚市育才雅林幼儿园2023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284.89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212.31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74.52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72.58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25.48</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258.45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基本和项目支出增加</w:t>
      </w:r>
      <w:r>
        <w:rPr>
          <w:rFonts w:hint="eastAsia" w:ascii="仿宋_GB2312" w:hAnsi="黑体" w:eastAsia="仿宋_GB2312"/>
          <w:sz w:val="32"/>
          <w:szCs w:val="32"/>
        </w:rPr>
        <w:t>了。</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sz w:val="32"/>
          <w:szCs w:val="32"/>
          <w:u w:val="none"/>
          <w:lang w:val="en-US" w:eastAsia="zh-CN"/>
        </w:rPr>
        <w:t>2023年三亚市</w:t>
      </w:r>
      <w:r>
        <w:rPr>
          <w:rFonts w:hint="eastAsia" w:ascii="仿宋_GB2312" w:hAnsi="黑体" w:eastAsia="仿宋_GB2312" w:cs="仿宋_GB2312"/>
          <w:color w:val="000000"/>
          <w:sz w:val="32"/>
          <w:szCs w:val="32"/>
          <w:u w:val="none"/>
          <w:lang w:eastAsia="zh-CN"/>
        </w:rPr>
        <w:t>育才雅林幼儿园单位</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bookmarkStart w:id="0" w:name="_GoBack"/>
      <w:bookmarkEnd w:id="0"/>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color w:val="000000"/>
          <w:sz w:val="32"/>
          <w:szCs w:val="32"/>
          <w:u w:val="none"/>
          <w:lang w:val="en-US" w:eastAsia="zh-CN"/>
        </w:rPr>
        <w:t>2023年三亚市</w:t>
      </w:r>
      <w:r>
        <w:rPr>
          <w:rFonts w:hint="eastAsia" w:ascii="仿宋_GB2312" w:hAnsi="黑体" w:eastAsia="仿宋_GB2312" w:cs="仿宋_GB2312"/>
          <w:color w:val="000000"/>
          <w:sz w:val="32"/>
          <w:szCs w:val="32"/>
          <w:u w:val="none"/>
          <w:lang w:eastAsia="zh-CN"/>
        </w:rPr>
        <w:t>育才雅林幼儿园单位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color w:val="000000"/>
          <w:sz w:val="32"/>
          <w:szCs w:val="32"/>
          <w:u w:val="none"/>
          <w:lang w:val="en-US" w:eastAsia="zh-CN"/>
        </w:rPr>
        <w:t>三亚市</w:t>
      </w:r>
      <w:r>
        <w:rPr>
          <w:rFonts w:hint="eastAsia" w:ascii="仿宋_GB2312" w:hAnsi="黑体" w:eastAsia="仿宋_GB2312" w:cs="仿宋_GB2312"/>
          <w:color w:val="000000"/>
          <w:sz w:val="32"/>
          <w:szCs w:val="32"/>
          <w:u w:val="none"/>
          <w:lang w:eastAsia="zh-CN"/>
        </w:rPr>
        <w:t>育才雅林幼儿园</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sz w:val="32"/>
          <w:szCs w:val="32"/>
          <w:u w:val="none"/>
          <w:lang w:val="en-US" w:eastAsia="zh-CN"/>
        </w:rPr>
        <w:t>2023年三亚市</w:t>
      </w:r>
      <w:r>
        <w:rPr>
          <w:rFonts w:hint="eastAsia" w:ascii="仿宋_GB2312" w:hAnsi="黑体" w:eastAsia="仿宋_GB2312" w:cs="仿宋_GB2312"/>
          <w:color w:val="000000"/>
          <w:sz w:val="32"/>
          <w:szCs w:val="32"/>
          <w:u w:val="none"/>
          <w:lang w:eastAsia="zh-CN"/>
        </w:rPr>
        <w:t>育才雅林幼儿园单位</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u w:val="none"/>
          <w:lang w:val="en-US" w:eastAsia="zh-CN"/>
        </w:rPr>
        <w:t>284.85</w:t>
      </w:r>
      <w:r>
        <w:rPr>
          <w:rFonts w:hint="eastAsia" w:ascii="仿宋_GB2312" w:hAnsi="黑体" w:eastAsia="仿宋_GB2312"/>
          <w:sz w:val="32"/>
          <w:szCs w:val="32"/>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1OTljZTFkNTc5ZmJlZmE3Yzg4NzgyZTk4MzgwMTQifQ=="/>
  </w:docVars>
  <w:rsids>
    <w:rsidRoot w:val="00000000"/>
    <w:rsid w:val="010971D5"/>
    <w:rsid w:val="01A40838"/>
    <w:rsid w:val="01E80646"/>
    <w:rsid w:val="02537A43"/>
    <w:rsid w:val="03763B63"/>
    <w:rsid w:val="04740F22"/>
    <w:rsid w:val="04A1535C"/>
    <w:rsid w:val="0554174D"/>
    <w:rsid w:val="0704238A"/>
    <w:rsid w:val="082C1B98"/>
    <w:rsid w:val="08786ABD"/>
    <w:rsid w:val="087F68A8"/>
    <w:rsid w:val="08F32C3B"/>
    <w:rsid w:val="0D3D4CCF"/>
    <w:rsid w:val="0DAF7689"/>
    <w:rsid w:val="0E55643B"/>
    <w:rsid w:val="10C07D11"/>
    <w:rsid w:val="12BA6D7F"/>
    <w:rsid w:val="12DD6603"/>
    <w:rsid w:val="14A36CE4"/>
    <w:rsid w:val="15AF05F4"/>
    <w:rsid w:val="18896090"/>
    <w:rsid w:val="18D42CE2"/>
    <w:rsid w:val="18E53A6F"/>
    <w:rsid w:val="1BD105F8"/>
    <w:rsid w:val="1C5132C5"/>
    <w:rsid w:val="1C7E49F1"/>
    <w:rsid w:val="1D792EBE"/>
    <w:rsid w:val="1DEE7EB3"/>
    <w:rsid w:val="1E0F3DB9"/>
    <w:rsid w:val="1E2F704F"/>
    <w:rsid w:val="207E16F9"/>
    <w:rsid w:val="22564400"/>
    <w:rsid w:val="26191E97"/>
    <w:rsid w:val="26D52178"/>
    <w:rsid w:val="26E1613B"/>
    <w:rsid w:val="26F46741"/>
    <w:rsid w:val="28106943"/>
    <w:rsid w:val="28D65701"/>
    <w:rsid w:val="2AA66A22"/>
    <w:rsid w:val="2CDA2AED"/>
    <w:rsid w:val="2D7A27E0"/>
    <w:rsid w:val="2E0D314E"/>
    <w:rsid w:val="2E540839"/>
    <w:rsid w:val="2F391E0A"/>
    <w:rsid w:val="2F394D08"/>
    <w:rsid w:val="306E26F8"/>
    <w:rsid w:val="31970894"/>
    <w:rsid w:val="31A95429"/>
    <w:rsid w:val="31DE549C"/>
    <w:rsid w:val="31F637ED"/>
    <w:rsid w:val="3224767A"/>
    <w:rsid w:val="32E22C41"/>
    <w:rsid w:val="365B6913"/>
    <w:rsid w:val="36A70F43"/>
    <w:rsid w:val="36B220B6"/>
    <w:rsid w:val="36CD2E3A"/>
    <w:rsid w:val="38A40C6E"/>
    <w:rsid w:val="38AA1197"/>
    <w:rsid w:val="3BDF1EAE"/>
    <w:rsid w:val="3C301423"/>
    <w:rsid w:val="3CA529AE"/>
    <w:rsid w:val="3CC07773"/>
    <w:rsid w:val="4048255B"/>
    <w:rsid w:val="40522D73"/>
    <w:rsid w:val="40850060"/>
    <w:rsid w:val="40DD711F"/>
    <w:rsid w:val="415E19AD"/>
    <w:rsid w:val="422E7DDE"/>
    <w:rsid w:val="424F31E4"/>
    <w:rsid w:val="43034FFE"/>
    <w:rsid w:val="43741A4B"/>
    <w:rsid w:val="43C25C8E"/>
    <w:rsid w:val="444F14B8"/>
    <w:rsid w:val="447A737D"/>
    <w:rsid w:val="467B6AE9"/>
    <w:rsid w:val="47BB5DF9"/>
    <w:rsid w:val="47F539A0"/>
    <w:rsid w:val="4931743A"/>
    <w:rsid w:val="493E6DDE"/>
    <w:rsid w:val="4B0A5A9B"/>
    <w:rsid w:val="4C285091"/>
    <w:rsid w:val="4D440D08"/>
    <w:rsid w:val="4D6E0B3D"/>
    <w:rsid w:val="4DA23D63"/>
    <w:rsid w:val="4E013DEC"/>
    <w:rsid w:val="4ED26CD2"/>
    <w:rsid w:val="4F4D5536"/>
    <w:rsid w:val="4FA433DF"/>
    <w:rsid w:val="4FB8335B"/>
    <w:rsid w:val="51EE1B15"/>
    <w:rsid w:val="53317FD9"/>
    <w:rsid w:val="54CC6A14"/>
    <w:rsid w:val="552342C2"/>
    <w:rsid w:val="55F226B4"/>
    <w:rsid w:val="57832590"/>
    <w:rsid w:val="57A34514"/>
    <w:rsid w:val="57FF0DA9"/>
    <w:rsid w:val="58E213F3"/>
    <w:rsid w:val="5A55626D"/>
    <w:rsid w:val="5AE60E26"/>
    <w:rsid w:val="5BD31DA2"/>
    <w:rsid w:val="5BDF1BBC"/>
    <w:rsid w:val="5E490090"/>
    <w:rsid w:val="5FAC1C2E"/>
    <w:rsid w:val="610A01FB"/>
    <w:rsid w:val="61112E88"/>
    <w:rsid w:val="61A81484"/>
    <w:rsid w:val="624D461B"/>
    <w:rsid w:val="62644163"/>
    <w:rsid w:val="626B0CDC"/>
    <w:rsid w:val="65044204"/>
    <w:rsid w:val="657E4383"/>
    <w:rsid w:val="65B77A8B"/>
    <w:rsid w:val="65C03095"/>
    <w:rsid w:val="6722040F"/>
    <w:rsid w:val="68F63BAA"/>
    <w:rsid w:val="697732CF"/>
    <w:rsid w:val="6A22629D"/>
    <w:rsid w:val="6AD96E0B"/>
    <w:rsid w:val="6C0D1D96"/>
    <w:rsid w:val="6CAD0F35"/>
    <w:rsid w:val="6DA752C1"/>
    <w:rsid w:val="6FE20640"/>
    <w:rsid w:val="6FE45A6C"/>
    <w:rsid w:val="700F2D97"/>
    <w:rsid w:val="702E0667"/>
    <w:rsid w:val="724401B0"/>
    <w:rsid w:val="74165BAA"/>
    <w:rsid w:val="751E3CBD"/>
    <w:rsid w:val="7570499C"/>
    <w:rsid w:val="75C12BA8"/>
    <w:rsid w:val="76B0799C"/>
    <w:rsid w:val="779C0888"/>
    <w:rsid w:val="783A5340"/>
    <w:rsid w:val="785133A8"/>
    <w:rsid w:val="79E104AA"/>
    <w:rsid w:val="7A1B251A"/>
    <w:rsid w:val="7A985260"/>
    <w:rsid w:val="7AA56A95"/>
    <w:rsid w:val="7AE11CE5"/>
    <w:rsid w:val="7B5D7648"/>
    <w:rsid w:val="7D3F0AC4"/>
    <w:rsid w:val="7DFC66CD"/>
    <w:rsid w:val="7E0E62AE"/>
    <w:rsid w:val="7E3B5801"/>
    <w:rsid w:val="7F200DA8"/>
    <w:rsid w:val="7F743A9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vbc</dc:creator>
  <cp:lastModifiedBy>Administrator</cp:lastModifiedBy>
  <cp:lastPrinted>2023-02-28T07:42:00Z</cp:lastPrinted>
  <dcterms:modified xsi:type="dcterms:W3CDTF">2024-07-19T09:38:20Z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8EFE99D857854119B8C7C9094FA48C5E_12</vt:lpwstr>
  </property>
</Properties>
</file>