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Theme="majorEastAsia" w:hAnsiTheme="majorEastAsia" w:eastAsiaTheme="majorEastAsia" w:cstheme="majorEastAsia"/>
          <w:sz w:val="52"/>
          <w:szCs w:val="52"/>
        </w:rPr>
      </w:pPr>
      <w:r>
        <w:rPr>
          <w:rFonts w:asciiTheme="majorEastAsia" w:hAnsiTheme="majorEastAsia" w:eastAsiaTheme="majorEastAsia" w:cstheme="majorEastAsia"/>
          <w:sz w:val="52"/>
          <w:szCs w:val="52"/>
        </w:rPr>
        <w:t>202</w:t>
      </w:r>
      <w:r>
        <w:rPr>
          <w:rFonts w:hint="eastAsia" w:asciiTheme="majorEastAsia" w:hAnsiTheme="majorEastAsia" w:eastAsiaTheme="majorEastAsia" w:cstheme="majorEastAsia"/>
          <w:sz w:val="52"/>
          <w:szCs w:val="52"/>
        </w:rPr>
        <w:t>3年</w:t>
      </w:r>
      <w:r>
        <w:rPr>
          <w:rFonts w:asciiTheme="majorEastAsia" w:hAnsiTheme="majorEastAsia" w:eastAsiaTheme="majorEastAsia" w:cstheme="majorEastAsia"/>
          <w:sz w:val="52"/>
          <w:szCs w:val="52"/>
        </w:rPr>
        <w:t>三亚市河长制服务中心</w:t>
      </w:r>
      <w:r>
        <w:rPr>
          <w:rFonts w:hint="eastAsia" w:asciiTheme="majorEastAsia" w:hAnsiTheme="majorEastAsia" w:eastAsiaTheme="majorEastAsia" w:cstheme="major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28"/>
          <w:szCs w:val="28"/>
        </w:rPr>
      </w:pPr>
    </w:p>
    <w:p>
      <w:pPr>
        <w:rPr>
          <w:sz w:val="28"/>
          <w:szCs w:val="28"/>
        </w:rPr>
      </w:pPr>
    </w:p>
    <w:p>
      <w:pPr>
        <w:rPr>
          <w:sz w:val="28"/>
          <w:szCs w:val="28"/>
        </w:rPr>
      </w:pPr>
    </w:p>
    <w:p>
      <w:pPr>
        <w:jc w:val="center"/>
        <w:rPr>
          <w:rFonts w:ascii="黑体" w:hAnsi="黑体" w:eastAsia="黑体"/>
          <w:sz w:val="52"/>
          <w:szCs w:val="52"/>
        </w:rPr>
      </w:pPr>
      <w:r>
        <w:rPr>
          <w:rFonts w:hint="eastAsia" w:ascii="黑体" w:hAnsi="黑体" w:eastAsia="黑体"/>
          <w:sz w:val="52"/>
          <w:szCs w:val="52"/>
        </w:rPr>
        <w:t>目录</w:t>
      </w:r>
    </w:p>
    <w:p>
      <w:pPr>
        <w:pStyle w:val="10"/>
        <w:numPr>
          <w:ilvl w:val="0"/>
          <w:numId w:val="1"/>
        </w:numPr>
        <w:ind w:firstLineChars="0"/>
        <w:jc w:val="left"/>
        <w:rPr>
          <w:rFonts w:ascii="黑体" w:hAnsi="黑体" w:eastAsia="黑体"/>
          <w:sz w:val="32"/>
          <w:szCs w:val="32"/>
        </w:rPr>
      </w:pPr>
      <w:r>
        <w:rPr>
          <w:rFonts w:hint="eastAsia" w:ascii="黑体" w:hAnsi="黑体" w:eastAsia="黑体"/>
          <w:sz w:val="32"/>
          <w:szCs w:val="32"/>
        </w:rPr>
        <w:t>三亚市河长制服务中心概况</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10"/>
        <w:numPr>
          <w:ilvl w:val="0"/>
          <w:numId w:val="1"/>
        </w:numPr>
        <w:overflowPunct w:val="0"/>
        <w:spacing w:line="560" w:lineRule="exact"/>
        <w:ind w:left="1320" w:hanging="1320" w:firstLineChars="0"/>
        <w:rPr>
          <w:rFonts w:ascii="黑体" w:hAnsi="黑体" w:eastAsia="黑体"/>
          <w:sz w:val="32"/>
          <w:szCs w:val="32"/>
        </w:rPr>
      </w:pPr>
      <w:r>
        <w:rPr>
          <w:rFonts w:hint="eastAsia" w:ascii="黑体" w:hAnsi="黑体" w:eastAsia="黑体"/>
          <w:sz w:val="32"/>
          <w:szCs w:val="32"/>
        </w:rPr>
        <w:t>三亚市河长制服务中心2023年预算表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10"/>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三亚市河长制服务中心预算情况说明</w:t>
      </w:r>
    </w:p>
    <w:p>
      <w:pPr>
        <w:pStyle w:val="10"/>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名词解释</w:t>
      </w:r>
    </w:p>
    <w:p>
      <w:pPr>
        <w:pStyle w:val="10"/>
        <w:ind w:firstLineChars="0"/>
        <w:jc w:val="left"/>
        <w:rPr>
          <w:rFonts w:ascii="黑体" w:hAnsi="黑体" w:eastAsia="黑体"/>
          <w:sz w:val="32"/>
          <w:szCs w:val="32"/>
        </w:rPr>
      </w:pPr>
    </w:p>
    <w:p>
      <w:pPr>
        <w:pStyle w:val="10"/>
        <w:ind w:firstLineChars="0"/>
        <w:jc w:val="left"/>
        <w:rPr>
          <w:rFonts w:ascii="仿宋_GB2312" w:hAnsi="仿宋_GB2312" w:eastAsia="仿宋_GB2312" w:cs="仿宋_GB2312"/>
          <w:sz w:val="32"/>
          <w:szCs w:val="32"/>
        </w:rPr>
      </w:pPr>
    </w:p>
    <w:p>
      <w:pPr>
        <w:pStyle w:val="10"/>
        <w:ind w:firstLineChars="0"/>
        <w:jc w:val="left"/>
        <w:rPr>
          <w:rFonts w:ascii="仿宋_GB2312" w:hAnsi="仿宋_GB2312" w:eastAsia="仿宋_GB2312" w:cs="仿宋_GB2312"/>
          <w:sz w:val="32"/>
          <w:szCs w:val="32"/>
        </w:rPr>
      </w:pPr>
    </w:p>
    <w:p>
      <w:pPr>
        <w:pStyle w:val="10"/>
        <w:ind w:firstLineChars="0"/>
        <w:jc w:val="left"/>
        <w:rPr>
          <w:rFonts w:hint="eastAsia" w:ascii="仿宋_GB2312" w:hAnsi="仿宋_GB2312" w:eastAsia="仿宋_GB2312" w:cs="仿宋_GB2312"/>
          <w:sz w:val="32"/>
          <w:szCs w:val="32"/>
        </w:rPr>
      </w:pPr>
    </w:p>
    <w:p>
      <w:pPr>
        <w:pStyle w:val="10"/>
        <w:ind w:firstLineChars="0"/>
        <w:jc w:val="left"/>
        <w:rPr>
          <w:rFonts w:ascii="仿宋_GB2312" w:hAnsi="仿宋_GB2312" w:eastAsia="仿宋_GB2312" w:cs="仿宋_GB2312"/>
          <w:sz w:val="32"/>
          <w:szCs w:val="32"/>
        </w:rPr>
      </w:pPr>
    </w:p>
    <w:p>
      <w:pPr>
        <w:pStyle w:val="10"/>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三亚市河长制服务中心概况</w:t>
      </w: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numPr>
          <w:ilvl w:val="0"/>
          <w:numId w:val="6"/>
        </w:numPr>
        <w:overflowPunct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贯彻执行国家、省有关河长制的方针政策、法律法规和有关标准。落实市级河长（市领导）的指示和部署。</w:t>
      </w:r>
    </w:p>
    <w:p>
      <w:pPr>
        <w:pStyle w:val="10"/>
        <w:numPr>
          <w:ilvl w:val="0"/>
          <w:numId w:val="6"/>
        </w:numPr>
        <w:overflowPunct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协助市河长办公室完成市河长制管理工作领导小组的日常工作。</w:t>
      </w:r>
    </w:p>
    <w:p>
      <w:pPr>
        <w:pStyle w:val="10"/>
        <w:numPr>
          <w:ilvl w:val="0"/>
          <w:numId w:val="6"/>
        </w:numPr>
        <w:overflowPunct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协助制定和完善河长制会议制度、信息共享制度、工作督察督办制度、验收制度、信息报送制度等河长制工作制度。</w:t>
      </w:r>
    </w:p>
    <w:p>
      <w:pPr>
        <w:pStyle w:val="10"/>
        <w:numPr>
          <w:ilvl w:val="0"/>
          <w:numId w:val="6"/>
        </w:numPr>
        <w:overflowPunct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组织编制“一河（湖）一策”方案，建立“一河（湖）一档”相关工作台账。</w:t>
      </w:r>
    </w:p>
    <w:p>
      <w:pPr>
        <w:overflowPunct w:val="0"/>
        <w:spacing w:line="560" w:lineRule="exact"/>
        <w:ind w:firstLine="640" w:firstLineChars="200"/>
        <w:rPr>
          <w:rFonts w:ascii="仿宋_GB2312" w:hAnsi="黑体" w:eastAsia="仿宋_GB2312" w:cs="仿宋_GB2312"/>
          <w:sz w:val="32"/>
          <w:szCs w:val="32"/>
        </w:rPr>
      </w:pPr>
      <w:r>
        <w:rPr>
          <w:rFonts w:hint="eastAsia" w:ascii="仿宋_GB2312" w:hAnsi="仿宋_GB2312" w:eastAsia="仿宋_GB2312" w:cs="仿宋_GB2312"/>
          <w:sz w:val="32"/>
          <w:szCs w:val="32"/>
        </w:rPr>
        <w:t>（五）承办上级部门及市河长制工作领导小组交办的其他工作。</w:t>
      </w:r>
    </w:p>
    <w:p>
      <w:pPr>
        <w:pStyle w:val="10"/>
        <w:overflowPunct w:val="0"/>
        <w:spacing w:line="560" w:lineRule="exact"/>
        <w:ind w:firstLine="640"/>
        <w:jc w:val="left"/>
        <w:rPr>
          <w:rFonts w:ascii="黑体" w:hAnsi="黑体" w:eastAsia="黑体"/>
          <w:sz w:val="32"/>
          <w:szCs w:val="32"/>
        </w:rPr>
      </w:pPr>
      <w:r>
        <w:rPr>
          <w:rFonts w:hint="eastAsia" w:ascii="黑体" w:hAnsi="黑体" w:eastAsia="黑体" w:cs="仿宋_GB2312"/>
          <w:sz w:val="32"/>
          <w:szCs w:val="32"/>
        </w:rPr>
        <w:t>二、部门预算单位构成</w:t>
      </w:r>
    </w:p>
    <w:p>
      <w:pPr>
        <w:pStyle w:val="10"/>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三亚市河长制服务中心无内设机构。</w:t>
      </w:r>
      <w:r>
        <w:rPr>
          <w:rFonts w:hint="eastAsia" w:ascii="仿宋_GB2312" w:hAnsi="仿宋_GB2312" w:eastAsia="仿宋_GB2312" w:cs="仿宋_GB2312"/>
          <w:sz w:val="32"/>
          <w:szCs w:val="32"/>
          <w:lang w:eastAsia="zh-CN"/>
        </w:rPr>
        <w:t>（在编在岗</w:t>
      </w:r>
      <w:r>
        <w:rPr>
          <w:rFonts w:hint="eastAsia" w:ascii="仿宋_GB2312" w:hAnsi="仿宋_GB2312" w:eastAsia="仿宋_GB2312" w:cs="仿宋_GB2312"/>
          <w:sz w:val="32"/>
          <w:szCs w:val="32"/>
          <w:lang w:val="en-US" w:eastAsia="zh-CN"/>
        </w:rPr>
        <w:t>5人，无内设机构。</w:t>
      </w:r>
      <w:r>
        <w:rPr>
          <w:rFonts w:hint="eastAsia" w:ascii="仿宋_GB2312" w:hAnsi="仿宋_GB2312" w:eastAsia="仿宋_GB2312" w:cs="仿宋_GB2312"/>
          <w:sz w:val="32"/>
          <w:szCs w:val="32"/>
          <w:lang w:eastAsia="zh-CN"/>
        </w:rPr>
        <w:t>）</w:t>
      </w:r>
    </w:p>
    <w:p>
      <w:pPr>
        <w:pStyle w:val="10"/>
        <w:overflowPunct/>
        <w:spacing w:line="240" w:lineRule="auto"/>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纳入三亚市河长制服务中心预算编制范围的二级预算单位包括：</w:t>
      </w:r>
      <w:r>
        <w:rPr>
          <w:rFonts w:hint="eastAsia" w:ascii="仿宋_GB2312" w:hAnsi="仿宋_GB2312" w:eastAsia="仿宋_GB2312" w:cs="仿宋_GB2312"/>
          <w:sz w:val="32"/>
          <w:szCs w:val="32"/>
          <w:lang w:eastAsia="zh-CN"/>
        </w:rPr>
        <w:t>无。</w:t>
      </w:r>
    </w:p>
    <w:p>
      <w:pPr>
        <w:pStyle w:val="10"/>
        <w:overflowPunct w:val="0"/>
        <w:spacing w:line="560" w:lineRule="exact"/>
        <w:ind w:firstLine="640"/>
        <w:jc w:val="left"/>
        <w:rPr>
          <w:rFonts w:ascii="黑体" w:hAnsi="黑体" w:eastAsia="黑体"/>
          <w:sz w:val="32"/>
          <w:szCs w:val="32"/>
        </w:rPr>
      </w:pPr>
      <w:r>
        <w:rPr>
          <w:rFonts w:hint="eastAsia" w:ascii="黑体" w:hAnsi="黑体" w:eastAsia="黑体"/>
          <w:sz w:val="32"/>
          <w:szCs w:val="32"/>
        </w:rPr>
        <w:t>第二部分 三亚市河长制服务中心2023年预算表</w:t>
      </w:r>
    </w:p>
    <w:p>
      <w:pPr>
        <w:pStyle w:val="10"/>
        <w:overflowPunct w:val="0"/>
        <w:spacing w:line="560" w:lineRule="exact"/>
        <w:ind w:firstLine="0" w:firstLineChars="0"/>
        <w:jc w:val="left"/>
        <w:rPr>
          <w:rFonts w:hint="eastAsia" w:ascii="黑体" w:hAnsi="黑体" w:eastAsia="黑体"/>
          <w:sz w:val="32"/>
          <w:szCs w:val="32"/>
        </w:rPr>
      </w:pPr>
      <w:r>
        <w:rPr>
          <w:rFonts w:hint="eastAsia" w:ascii="黑体" w:hAnsi="黑体" w:eastAsia="黑体"/>
          <w:sz w:val="32"/>
          <w:szCs w:val="32"/>
        </w:rPr>
        <w:t>（此部分内容即为单位预算公开表）</w:t>
      </w:r>
    </w:p>
    <w:p>
      <w:pPr>
        <w:overflowPunct w:val="0"/>
        <w:spacing w:line="560" w:lineRule="exact"/>
        <w:ind w:firstLine="640" w:firstLineChars="200"/>
        <w:jc w:val="left"/>
        <w:rPr>
          <w:rFonts w:ascii="黑体" w:hAnsi="黑体" w:eastAsia="黑体"/>
          <w:sz w:val="32"/>
          <w:szCs w:val="32"/>
        </w:rPr>
      </w:pPr>
      <w:r>
        <w:rPr>
          <w:rFonts w:hint="eastAsia" w:ascii="黑体" w:hAnsi="黑体" w:eastAsia="黑体"/>
          <w:sz w:val="32"/>
          <w:szCs w:val="32"/>
        </w:rPr>
        <w:t>第三部分 三亚市河长制服务中心2023年预算情况说明</w:t>
      </w:r>
    </w:p>
    <w:p>
      <w:pPr>
        <w:overflowPunct w:val="0"/>
        <w:spacing w:line="560" w:lineRule="exact"/>
        <w:ind w:firstLine="640" w:firstLineChars="200"/>
        <w:rPr>
          <w:rFonts w:ascii="黑体" w:hAnsi="黑体" w:eastAsia="黑体"/>
          <w:sz w:val="32"/>
          <w:szCs w:val="32"/>
        </w:rPr>
      </w:pPr>
      <w:r>
        <w:rPr>
          <w:rFonts w:hint="eastAsia" w:ascii="黑体" w:hAnsi="黑体" w:eastAsia="黑体"/>
          <w:sz w:val="32"/>
          <w:szCs w:val="32"/>
        </w:rPr>
        <w:t>一、关于三亚市河长制服务中心2023年财政拨款收支预算情况的总体说明</w:t>
      </w:r>
    </w:p>
    <w:p>
      <w:pPr>
        <w:overflowPunct w:val="0"/>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三亚市河长制服务中心2023年财政拨款收支总预算</w:t>
      </w:r>
      <w:r>
        <w:rPr>
          <w:rFonts w:ascii="仿宋_GB2312" w:hAnsi="黑体" w:eastAsia="仿宋_GB2312"/>
          <w:sz w:val="32"/>
          <w:szCs w:val="32"/>
        </w:rPr>
        <w:t>422.79</w:t>
      </w:r>
      <w:r>
        <w:rPr>
          <w:rFonts w:hint="eastAsia" w:ascii="仿宋_GB2312" w:hAnsi="黑体" w:eastAsia="仿宋_GB2312"/>
          <w:sz w:val="32"/>
          <w:szCs w:val="32"/>
        </w:rPr>
        <w:t>万元。其中，收入总计</w:t>
      </w:r>
      <w:r>
        <w:rPr>
          <w:rFonts w:ascii="仿宋_GB2312" w:hAnsi="黑体" w:eastAsia="仿宋_GB2312"/>
          <w:sz w:val="32"/>
          <w:szCs w:val="32"/>
        </w:rPr>
        <w:t>422.79</w:t>
      </w:r>
      <w:r>
        <w:rPr>
          <w:rFonts w:hint="eastAsia" w:ascii="仿宋_GB2312" w:hAnsi="黑体" w:eastAsia="仿宋_GB2312"/>
          <w:sz w:val="32"/>
          <w:szCs w:val="32"/>
        </w:rPr>
        <w:t>万元，包括一般公共预算本年收入</w:t>
      </w:r>
      <w:r>
        <w:rPr>
          <w:rFonts w:ascii="仿宋_GB2312" w:hAnsi="黑体" w:eastAsia="仿宋_GB2312"/>
          <w:sz w:val="32"/>
          <w:szCs w:val="32"/>
        </w:rPr>
        <w:t>422.79</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万年；支出总计</w:t>
      </w:r>
      <w:r>
        <w:rPr>
          <w:rFonts w:ascii="仿宋_GB2312" w:hAnsi="黑体" w:eastAsia="仿宋_GB2312" w:cs="仿宋_GB2312"/>
          <w:sz w:val="32"/>
          <w:szCs w:val="32"/>
        </w:rPr>
        <w:t>422.79</w:t>
      </w:r>
      <w:r>
        <w:rPr>
          <w:rFonts w:hint="eastAsia" w:ascii="仿宋_GB2312" w:hAnsi="黑体" w:eastAsia="仿宋_GB2312"/>
          <w:sz w:val="32"/>
          <w:szCs w:val="32"/>
        </w:rPr>
        <w:t>万元，包括社会保障和就业支出</w:t>
      </w:r>
      <w:r>
        <w:rPr>
          <w:rFonts w:ascii="仿宋_GB2312" w:hAnsi="黑体" w:eastAsia="仿宋_GB2312"/>
          <w:sz w:val="32"/>
          <w:szCs w:val="32"/>
        </w:rPr>
        <w:t>21.80</w:t>
      </w:r>
      <w:r>
        <w:rPr>
          <w:rFonts w:hint="eastAsia" w:ascii="仿宋_GB2312" w:hAnsi="黑体" w:eastAsia="仿宋_GB2312"/>
          <w:sz w:val="32"/>
          <w:szCs w:val="32"/>
        </w:rPr>
        <w:t>万元，卫生健康支出</w:t>
      </w:r>
      <w:r>
        <w:rPr>
          <w:rFonts w:ascii="仿宋_GB2312" w:hAnsi="黑体" w:eastAsia="仿宋_GB2312"/>
          <w:sz w:val="32"/>
          <w:szCs w:val="32"/>
        </w:rPr>
        <w:t>8.50</w:t>
      </w:r>
      <w:r>
        <w:rPr>
          <w:rFonts w:hint="eastAsia" w:ascii="仿宋_GB2312" w:hAnsi="黑体" w:eastAsia="仿宋_GB2312"/>
          <w:sz w:val="32"/>
          <w:szCs w:val="32"/>
        </w:rPr>
        <w:t>万元，农林水支出</w:t>
      </w:r>
      <w:r>
        <w:rPr>
          <w:rFonts w:ascii="仿宋_GB2312" w:hAnsi="黑体" w:eastAsia="仿宋_GB2312"/>
          <w:sz w:val="32"/>
          <w:szCs w:val="32"/>
        </w:rPr>
        <w:t>386.34</w:t>
      </w:r>
      <w:r>
        <w:rPr>
          <w:rFonts w:hint="eastAsia" w:ascii="仿宋_GB2312" w:hAnsi="黑体" w:eastAsia="仿宋_GB2312"/>
          <w:sz w:val="32"/>
          <w:szCs w:val="32"/>
        </w:rPr>
        <w:t>万元,住房保障支出</w:t>
      </w:r>
      <w:r>
        <w:rPr>
          <w:rFonts w:ascii="仿宋_GB2312" w:hAnsi="黑体" w:eastAsia="仿宋_GB2312"/>
          <w:sz w:val="32"/>
          <w:szCs w:val="32"/>
        </w:rPr>
        <w:t>6.15</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二、关于三亚市河长制服务中心2023年一般公共预算当年拨款情况说明</w:t>
      </w:r>
    </w:p>
    <w:p>
      <w:pPr>
        <w:overflowPunct w:val="0"/>
        <w:spacing w:line="560" w:lineRule="exact"/>
        <w:ind w:firstLine="640"/>
        <w:rPr>
          <w:rFonts w:ascii="楷体_GB2312" w:hAnsi="楷体_GB2312" w:eastAsia="楷体_GB2312" w:cs="楷体_GB2312"/>
          <w:sz w:val="32"/>
          <w:szCs w:val="32"/>
        </w:rPr>
      </w:pPr>
      <w:r>
        <w:rPr>
          <w:rFonts w:hint="eastAsia" w:ascii="楷体_GB2312" w:hAnsi="楷体_GB2312" w:eastAsia="楷体_GB2312" w:cs="楷体_GB2312"/>
          <w:sz w:val="32"/>
          <w:szCs w:val="32"/>
        </w:rPr>
        <w:t>（一）一般公共预算当年规模变化情况</w:t>
      </w:r>
    </w:p>
    <w:p>
      <w:pPr>
        <w:overflowPunct w:val="0"/>
        <w:spacing w:line="560" w:lineRule="exact"/>
        <w:ind w:firstLine="640" w:firstLineChars="200"/>
        <w:rPr>
          <w:rFonts w:ascii="仿宋_GB2312" w:hAnsi="黑体" w:eastAsia="仿宋_GB2312"/>
          <w:sz w:val="32"/>
          <w:szCs w:val="32"/>
          <w:highlight w:val="yellow"/>
        </w:rPr>
      </w:pPr>
      <w:r>
        <w:rPr>
          <w:rFonts w:hint="eastAsia" w:ascii="仿宋_GB2312" w:hAnsi="黑体" w:eastAsia="仿宋_GB2312"/>
          <w:sz w:val="32"/>
          <w:szCs w:val="32"/>
        </w:rPr>
        <w:t>三亚市河长制服务中心</w:t>
      </w:r>
      <w:r>
        <w:rPr>
          <w:rFonts w:hint="eastAsia" w:ascii="仿宋_GB2312" w:hAnsi="黑体" w:eastAsia="仿宋_GB2312" w:cs="仿宋_GB2312"/>
          <w:sz w:val="32"/>
          <w:szCs w:val="32"/>
        </w:rPr>
        <w:t>2023年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rPr>
        <w:t>422.79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减少41.08</w:t>
      </w:r>
      <w:r>
        <w:rPr>
          <w:rFonts w:hint="eastAsia" w:ascii="仿宋_GB2312" w:hAnsi="黑体" w:eastAsia="仿宋_GB2312"/>
          <w:sz w:val="32"/>
          <w:szCs w:val="32"/>
        </w:rPr>
        <w:t>万元，主要是减少项目资金投入。</w:t>
      </w:r>
    </w:p>
    <w:p>
      <w:pPr>
        <w:overflowPunct w:val="0"/>
        <w:spacing w:line="560" w:lineRule="exact"/>
        <w:ind w:firstLine="640"/>
        <w:rPr>
          <w:rFonts w:ascii="楷体_GB2312" w:hAnsi="楷体_GB2312" w:eastAsia="楷体_GB2312" w:cs="楷体_GB2312"/>
          <w:sz w:val="32"/>
          <w:szCs w:val="32"/>
        </w:rPr>
      </w:pPr>
      <w:r>
        <w:rPr>
          <w:rFonts w:hint="eastAsia" w:ascii="楷体_GB2312" w:hAnsi="楷体_GB2312" w:eastAsia="楷体_GB2312" w:cs="楷体_GB2312"/>
          <w:sz w:val="32"/>
          <w:szCs w:val="32"/>
        </w:rPr>
        <w:t>（二）一般公共预算当年拨款结构情况</w:t>
      </w:r>
    </w:p>
    <w:p>
      <w:pPr>
        <w:spacing w:line="560" w:lineRule="exact"/>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社会保障和就业支出21.8万元，占5.16%；卫生健康支出8.5万元，占2.01%；农林水支出386.34万元，占91.38%；住房保障支出6.15万元，占1.45%。</w:t>
      </w:r>
    </w:p>
    <w:p>
      <w:pPr>
        <w:overflowPunct w:val="0"/>
        <w:spacing w:line="560" w:lineRule="exact"/>
        <w:ind w:firstLine="640"/>
        <w:rPr>
          <w:rFonts w:ascii="楷体_GB2312" w:hAnsi="楷体_GB2312" w:eastAsia="楷体_GB2312" w:cs="楷体_GB2312"/>
          <w:sz w:val="32"/>
          <w:szCs w:val="32"/>
        </w:rPr>
      </w:pPr>
      <w:r>
        <w:rPr>
          <w:rFonts w:hint="eastAsia" w:ascii="楷体_GB2312" w:hAnsi="楷体_GB2312" w:eastAsia="楷体_GB2312" w:cs="楷体_GB2312"/>
          <w:sz w:val="32"/>
          <w:szCs w:val="32"/>
        </w:rPr>
        <w:t>（三）一般公共预算当年拨款具体使用情况</w:t>
      </w:r>
    </w:p>
    <w:p>
      <w:pPr>
        <w:spacing w:line="560" w:lineRule="exact"/>
        <w:ind w:firstLine="640" w:firstLineChars="200"/>
        <w:rPr>
          <w:rFonts w:ascii="Times New Roman" w:hAnsi="Times New Roman" w:eastAsia="仿宋_GB2312" w:cs="Times New Roman"/>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社会保障和就业（类）行政事业单位养老支出（款）机关事业单位基本养老保险缴费支出（项）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ascii="仿宋_GB2312" w:hAnsi="黑体" w:eastAsia="仿宋_GB2312"/>
          <w:sz w:val="32"/>
          <w:szCs w:val="32"/>
        </w:rPr>
        <w:t>7.87</w:t>
      </w:r>
      <w:r>
        <w:rPr>
          <w:rFonts w:hint="eastAsia" w:ascii="仿宋_GB2312" w:hAnsi="黑体" w:eastAsia="仿宋_GB2312"/>
          <w:sz w:val="32"/>
          <w:szCs w:val="32"/>
        </w:rPr>
        <w:t>万元，比上年预算数减少0.56万元，主要是人员变动基数减少</w:t>
      </w:r>
      <w:r>
        <w:rPr>
          <w:rFonts w:ascii="Times New Roman" w:hAnsi="Times New Roman" w:eastAsia="仿宋_GB2312" w:cs="Times New Roman"/>
          <w:sz w:val="32"/>
          <w:szCs w:val="32"/>
        </w:rPr>
        <w:t>。</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2</w:t>
      </w:r>
      <w:r>
        <w:rPr>
          <w:rFonts w:ascii="仿宋_GB2312" w:hAnsi="黑体" w:eastAsia="仿宋_GB2312" w:cs="仿宋_GB2312"/>
          <w:sz w:val="32"/>
          <w:szCs w:val="32"/>
        </w:rPr>
        <w:t>.</w:t>
      </w:r>
      <w:r>
        <w:rPr>
          <w:rFonts w:hint="eastAsia" w:ascii="仿宋_GB2312" w:hAnsi="黑体" w:eastAsia="仿宋_GB2312" w:cs="仿宋_GB2312"/>
          <w:sz w:val="32"/>
          <w:szCs w:val="32"/>
        </w:rPr>
        <w:t>社会保障和就业（类）行政事业单位养老支出（款）机关事业单位职业年金缴费支出（项）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ascii="仿宋_GB2312" w:hAnsi="黑体" w:eastAsia="仿宋_GB2312"/>
          <w:sz w:val="32"/>
          <w:szCs w:val="32"/>
        </w:rPr>
        <w:t>13.93</w:t>
      </w:r>
      <w:r>
        <w:rPr>
          <w:rFonts w:hint="eastAsia" w:ascii="仿宋_GB2312" w:hAnsi="黑体" w:eastAsia="仿宋_GB2312"/>
          <w:sz w:val="32"/>
          <w:szCs w:val="32"/>
        </w:rPr>
        <w:t>万元，比上年预算数增加</w:t>
      </w:r>
      <w:r>
        <w:rPr>
          <w:rFonts w:ascii="仿宋_GB2312" w:hAnsi="黑体" w:eastAsia="仿宋_GB2312"/>
          <w:sz w:val="32"/>
          <w:szCs w:val="32"/>
        </w:rPr>
        <w:t>13.93</w:t>
      </w:r>
      <w:r>
        <w:rPr>
          <w:rFonts w:hint="eastAsia" w:ascii="仿宋_GB2312" w:hAnsi="黑体" w:eastAsia="仿宋_GB2312"/>
          <w:sz w:val="32"/>
          <w:szCs w:val="32"/>
        </w:rPr>
        <w:t>万元，主要是从</w:t>
      </w:r>
      <w:r>
        <w:rPr>
          <w:rFonts w:hint="eastAsia" w:ascii="仿宋_GB2312" w:hAnsi="黑体" w:eastAsia="仿宋_GB2312" w:cs="仿宋_GB2312"/>
          <w:sz w:val="32"/>
          <w:szCs w:val="32"/>
        </w:rPr>
        <w:t>机关事业单位基本养老保险缴费中拨离</w:t>
      </w:r>
      <w:r>
        <w:rPr>
          <w:rFonts w:ascii="Times New Roman" w:hAnsi="Times New Roman" w:eastAsia="仿宋_GB2312" w:cs="Times New Roman"/>
          <w:sz w:val="32"/>
          <w:szCs w:val="32"/>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3</w:t>
      </w:r>
      <w:r>
        <w:rPr>
          <w:rFonts w:hint="eastAsia" w:ascii="仿宋_GB2312" w:hAnsi="黑体" w:eastAsia="仿宋_GB2312"/>
          <w:sz w:val="32"/>
          <w:szCs w:val="32"/>
        </w:rPr>
        <w:t>.卫生健康支出（类）行政事业单位医疗（款）事业单位医疗（项）2023年预算数为</w:t>
      </w:r>
      <w:r>
        <w:rPr>
          <w:rFonts w:ascii="仿宋_GB2312" w:hAnsi="黑体" w:eastAsia="仿宋_GB2312"/>
          <w:sz w:val="32"/>
          <w:szCs w:val="32"/>
        </w:rPr>
        <w:t>3.38</w:t>
      </w:r>
      <w:r>
        <w:rPr>
          <w:rFonts w:hint="eastAsia" w:ascii="仿宋_GB2312" w:hAnsi="黑体" w:eastAsia="仿宋_GB2312"/>
          <w:sz w:val="32"/>
          <w:szCs w:val="32"/>
        </w:rPr>
        <w:t>万元，比上年预算数减少1.1万元，主要是人员变动基数减少</w:t>
      </w:r>
      <w:r>
        <w:rPr>
          <w:rFonts w:ascii="Times New Roman" w:hAnsi="Times New Roman" w:eastAsia="仿宋_GB2312" w:cs="Times New Roman"/>
          <w:sz w:val="32"/>
          <w:szCs w:val="32"/>
        </w:rPr>
        <w:t>。</w:t>
      </w:r>
    </w:p>
    <w:p>
      <w:pPr>
        <w:spacing w:line="560" w:lineRule="exact"/>
        <w:ind w:firstLine="640" w:firstLineChars="200"/>
        <w:rPr>
          <w:rFonts w:ascii="Times New Roman" w:hAnsi="Times New Roman" w:eastAsia="仿宋_GB2312" w:cs="Times New Roman"/>
          <w:color w:val="FF0000"/>
          <w:sz w:val="32"/>
          <w:szCs w:val="32"/>
        </w:rPr>
      </w:pPr>
      <w:r>
        <w:rPr>
          <w:rFonts w:hint="eastAsia" w:ascii="仿宋_GB2312" w:hAnsi="黑体" w:eastAsia="仿宋_GB2312"/>
          <w:sz w:val="32"/>
          <w:szCs w:val="32"/>
        </w:rPr>
        <w:t>4.卫生健康支出（类）行政事业单位医疗（款）公务员医疗补助（项）2023年预算数为</w:t>
      </w:r>
      <w:r>
        <w:rPr>
          <w:rFonts w:ascii="仿宋_GB2312" w:hAnsi="黑体" w:eastAsia="仿宋_GB2312"/>
          <w:sz w:val="32"/>
          <w:szCs w:val="32"/>
        </w:rPr>
        <w:t>5.12</w:t>
      </w:r>
      <w:r>
        <w:rPr>
          <w:rFonts w:hint="eastAsia" w:ascii="仿宋_GB2312" w:hAnsi="黑体" w:eastAsia="仿宋_GB2312"/>
          <w:sz w:val="32"/>
          <w:szCs w:val="32"/>
        </w:rPr>
        <w:t>万元，比上年预算数减少0.37万元，主要是人员变动基数减少</w:t>
      </w:r>
      <w:r>
        <w:rPr>
          <w:rFonts w:ascii="Times New Roman" w:hAnsi="Times New Roman" w:eastAsia="仿宋_GB2312" w:cs="Times New Roman"/>
          <w:color w:val="FF0000"/>
          <w:sz w:val="32"/>
          <w:szCs w:val="32"/>
        </w:rPr>
        <w:t>。</w:t>
      </w:r>
    </w:p>
    <w:p>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sz w:val="32"/>
          <w:szCs w:val="32"/>
        </w:rPr>
        <w:t>5</w:t>
      </w:r>
      <w:r>
        <w:rPr>
          <w:rFonts w:ascii="仿宋_GB2312" w:hAnsi="黑体" w:eastAsia="仿宋_GB2312"/>
          <w:sz w:val="32"/>
          <w:szCs w:val="32"/>
        </w:rPr>
        <w:t>.</w:t>
      </w:r>
      <w:r>
        <w:rPr>
          <w:rFonts w:hint="eastAsia" w:ascii="仿宋_GB2312" w:hAnsi="黑体" w:eastAsia="仿宋_GB2312" w:cs="仿宋_GB2312"/>
          <w:sz w:val="32"/>
          <w:szCs w:val="32"/>
        </w:rPr>
        <w:t>农林水（类）水利（款）一般行政管理事务（项）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ascii="仿宋_GB2312" w:hAnsi="黑体" w:eastAsia="仿宋_GB2312" w:cs="仿宋_GB2312"/>
          <w:sz w:val="32"/>
          <w:szCs w:val="32"/>
        </w:rPr>
        <w:t>325</w:t>
      </w:r>
      <w:r>
        <w:rPr>
          <w:rFonts w:hint="eastAsia" w:ascii="仿宋_GB2312" w:hAnsi="黑体" w:eastAsia="仿宋_GB2312"/>
          <w:sz w:val="32"/>
          <w:szCs w:val="32"/>
        </w:rPr>
        <w:t>万元，比上年预算数减少5万元，主要是项目变动所导致</w:t>
      </w:r>
      <w:r>
        <w:rPr>
          <w:rFonts w:hint="eastAsia" w:ascii="仿宋_GB2312" w:hAnsi="黑体" w:eastAsia="仿宋_GB2312" w:cs="仿宋_GB2312"/>
          <w:sz w:val="32"/>
          <w:szCs w:val="32"/>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ascii="仿宋_GB2312" w:hAnsi="黑体" w:eastAsia="仿宋_GB2312"/>
          <w:sz w:val="32"/>
          <w:szCs w:val="32"/>
        </w:rPr>
        <w:t>.</w:t>
      </w:r>
      <w:r>
        <w:rPr>
          <w:rFonts w:hint="eastAsia" w:ascii="仿宋_GB2312" w:hAnsi="黑体" w:eastAsia="仿宋_GB2312" w:cs="仿宋_GB2312"/>
          <w:sz w:val="32"/>
          <w:szCs w:val="32"/>
        </w:rPr>
        <w:t>农林水（类）水利（款）其他水利支出（项）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ascii="仿宋_GB2312" w:hAnsi="黑体" w:eastAsia="仿宋_GB2312" w:cs="仿宋_GB2312"/>
          <w:sz w:val="32"/>
          <w:szCs w:val="32"/>
        </w:rPr>
        <w:t>61.34</w:t>
      </w:r>
      <w:r>
        <w:rPr>
          <w:rFonts w:hint="eastAsia" w:ascii="仿宋_GB2312" w:hAnsi="黑体" w:eastAsia="仿宋_GB2312"/>
          <w:sz w:val="32"/>
          <w:szCs w:val="32"/>
        </w:rPr>
        <w:t>万元，比上年预算数减少27.54万元，主要是项目变动导致</w:t>
      </w:r>
      <w:r>
        <w:rPr>
          <w:rFonts w:hint="eastAsia" w:ascii="仿宋_GB2312" w:hAnsi="黑体" w:eastAsia="仿宋_GB2312" w:cs="仿宋_GB2312"/>
          <w:sz w:val="32"/>
          <w:szCs w:val="32"/>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ascii="仿宋_GB2312" w:hAnsi="黑体" w:eastAsia="仿宋_GB2312" w:cs="仿宋_GB2312"/>
          <w:sz w:val="32"/>
          <w:szCs w:val="32"/>
        </w:rPr>
        <w:t>6.15</w:t>
      </w:r>
      <w:r>
        <w:rPr>
          <w:rFonts w:hint="eastAsia" w:ascii="仿宋_GB2312" w:hAnsi="黑体" w:eastAsia="仿宋_GB2312"/>
          <w:sz w:val="32"/>
          <w:szCs w:val="32"/>
        </w:rPr>
        <w:t>元，比上年预算数减少0.44万元，主要是基数变动导致</w:t>
      </w:r>
      <w:r>
        <w:rPr>
          <w:rFonts w:ascii="Times New Roman" w:hAnsi="Times New Roman" w:eastAsia="仿宋_GB2312" w:cs="Times New Roman"/>
          <w:sz w:val="32"/>
          <w:szCs w:val="32"/>
        </w:rPr>
        <w:t>。</w:t>
      </w:r>
    </w:p>
    <w:p>
      <w:pPr>
        <w:overflowPunct w:val="0"/>
        <w:spacing w:line="560" w:lineRule="exact"/>
        <w:ind w:firstLine="640"/>
        <w:rPr>
          <w:rFonts w:ascii="黑体" w:hAnsi="黑体" w:eastAsia="黑体"/>
          <w:sz w:val="32"/>
          <w:szCs w:val="32"/>
        </w:rPr>
      </w:pPr>
      <w:r>
        <w:rPr>
          <w:rFonts w:hint="eastAsia" w:ascii="黑体" w:hAnsi="黑体" w:eastAsia="黑体"/>
          <w:sz w:val="32"/>
          <w:szCs w:val="32"/>
        </w:rPr>
        <w:t>三、关于三亚市河长制服务中心2023年一般公共预算基本支出情况说明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三亚市河长制服务中心2023年一般公共预算基本支出为</w:t>
      </w:r>
      <w:r>
        <w:rPr>
          <w:rFonts w:ascii="仿宋_GB2312" w:hAnsi="黑体" w:eastAsia="仿宋_GB2312" w:cs="仿宋_GB2312"/>
          <w:sz w:val="32"/>
          <w:szCs w:val="32"/>
        </w:rPr>
        <w:t>97.79</w:t>
      </w:r>
      <w:r>
        <w:rPr>
          <w:rFonts w:hint="eastAsia" w:ascii="仿宋_GB2312" w:hAnsi="黑体" w:eastAsia="仿宋_GB2312"/>
          <w:sz w:val="32"/>
          <w:szCs w:val="32"/>
        </w:rPr>
        <w:t>万元，其中：</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sz w:val="32"/>
          <w:szCs w:val="32"/>
        </w:rPr>
        <w:t>91.54</w:t>
      </w:r>
      <w:r>
        <w:rPr>
          <w:rFonts w:hint="eastAsia" w:ascii="仿宋_GB2312" w:hAnsi="黑体" w:eastAsia="仿宋_GB2312"/>
          <w:sz w:val="32"/>
          <w:szCs w:val="32"/>
        </w:rPr>
        <w:t>万元，主要包括：基本工资、津贴补贴、绩效工资、机关事业单位基本养老保险缴费、职业年金缴费、职工基本医疗保险缴费、公务员医疗补助缴费、其他社会保障缴费、住房公积金、医疗费、其他工资福利支出、邮电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6.25</w:t>
      </w:r>
      <w:r>
        <w:rPr>
          <w:rFonts w:hint="eastAsia" w:ascii="仿宋_GB2312" w:hAnsi="黑体" w:eastAsia="仿宋_GB2312"/>
          <w:sz w:val="32"/>
          <w:szCs w:val="32"/>
        </w:rPr>
        <w:t>万元，主要包括：其他社会保障缴费、办公费、会议费、培训费、工会经费、福利费和其他商品和服务支出。</w:t>
      </w:r>
    </w:p>
    <w:p>
      <w:pPr>
        <w:ind w:firstLine="640" w:firstLineChars="200"/>
        <w:rPr>
          <w:rFonts w:ascii="仿宋_GB2312" w:hAnsi="黑体" w:eastAsia="仿宋_GB2312"/>
          <w:sz w:val="32"/>
          <w:szCs w:val="32"/>
        </w:rPr>
      </w:pPr>
      <w:r>
        <w:rPr>
          <w:rFonts w:hint="eastAsia" w:ascii="黑体" w:hAnsi="黑体" w:eastAsia="黑体" w:cs="Times New Roman"/>
          <w:sz w:val="32"/>
          <w:shd w:val="clear" w:color="auto" w:fill="FFFFFF"/>
        </w:rPr>
        <w:t>四、</w:t>
      </w:r>
      <w:r>
        <w:rPr>
          <w:rFonts w:hint="eastAsia" w:ascii="黑体" w:hAnsi="黑体" w:eastAsia="黑体"/>
          <w:sz w:val="32"/>
          <w:szCs w:val="32"/>
        </w:rPr>
        <w:t>三亚市河长制服务中心2023年“三公”经费</w:t>
      </w:r>
      <w:r>
        <w:rPr>
          <w:rFonts w:ascii="黑体" w:hAnsi="黑体" w:eastAsia="黑体" w:cs="Times New Roman"/>
          <w:sz w:val="32"/>
          <w:shd w:val="clear" w:color="auto" w:fill="FFFFFF"/>
        </w:rPr>
        <w:t>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（一）三亚市河长制服务中心2023年一般公共预算“三公”经费预算数为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ascii="Times New Roman" w:hAnsi="Times New Roman" w:eastAsia="仿宋_GB2312" w:cs="Times New Roman"/>
          <w:sz w:val="32"/>
          <w:szCs w:val="32"/>
          <w:shd w:val="clear" w:color="auto" w:fill="FFFFFF"/>
        </w:rPr>
        <w:t>出国（境）团组：目的地无，人数为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人，天数为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天，主要任务无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历行节约。公务车保有量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（二）三亚市河长制服务中心2023年政府性基金预算“三公”经费预算数为0万元，其中：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2023年无出国计划安排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overflowPunct w:val="0"/>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w:t>
      </w:r>
      <w:r>
        <w:rPr>
          <w:rFonts w:hint="eastAsia" w:ascii="黑体" w:hAnsi="黑体" w:eastAsia="黑体"/>
          <w:sz w:val="32"/>
          <w:szCs w:val="32"/>
        </w:rPr>
        <w:t>于三亚市河长制服务中心2023年政府</w:t>
      </w:r>
      <w:r>
        <w:rPr>
          <w:rFonts w:hint="eastAsia" w:ascii="黑体" w:hAnsi="黑体" w:eastAsia="黑体" w:cs="Times New Roman"/>
          <w:sz w:val="32"/>
          <w:shd w:val="clear" w:color="auto" w:fill="FFFFFF"/>
        </w:rPr>
        <w:t>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三亚市河长制服务中心2023年政府性基金预算当年拨款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69"/>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69" w:firstLineChars="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69"/>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69" w:firstLineChars="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spacing w:line="560" w:lineRule="exact"/>
        <w:ind w:firstLine="640" w:firstLineChars="200"/>
        <w:rPr>
          <w:rFonts w:ascii="黑体" w:hAnsi="黑体" w:eastAsia="黑体"/>
          <w:sz w:val="32"/>
          <w:szCs w:val="32"/>
        </w:rPr>
      </w:pPr>
      <w:r>
        <w:rPr>
          <w:rFonts w:ascii="Times New Roman" w:hAnsi="Times New Roman" w:eastAsia="黑体" w:cs="Times New Roman"/>
          <w:sz w:val="32"/>
          <w:shd w:val="clear" w:color="auto" w:fill="FFFFFF"/>
        </w:rPr>
        <w:t>六、</w:t>
      </w:r>
      <w:r>
        <w:rPr>
          <w:rFonts w:hint="eastAsia" w:ascii="黑体" w:hAnsi="黑体" w:eastAsia="黑体"/>
          <w:sz w:val="32"/>
          <w:szCs w:val="32"/>
        </w:rPr>
        <w:t>关于三亚市河长制</w:t>
      </w:r>
      <w:bookmarkStart w:id="0" w:name="_GoBack"/>
      <w:bookmarkEnd w:id="0"/>
      <w:r>
        <w:rPr>
          <w:rFonts w:hint="eastAsia" w:ascii="黑体" w:hAnsi="黑体" w:eastAsia="黑体"/>
          <w:sz w:val="32"/>
          <w:szCs w:val="32"/>
        </w:rPr>
        <w:t>服务中心2023年收支预算情况的总体说明</w:t>
      </w:r>
    </w:p>
    <w:p>
      <w:pPr>
        <w:overflowPunct w:val="0"/>
        <w:spacing w:line="560" w:lineRule="exact"/>
        <w:ind w:firstLine="640" w:firstLineChars="200"/>
        <w:rPr>
          <w:rFonts w:ascii="楷体" w:hAnsi="楷体" w:eastAsia="楷体"/>
          <w:color w:val="FF0000"/>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三亚市河长制服务中心</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；支出包括：社会保障和就业支出、卫生健康支出、农林水支出、住房保障支出。三亚市河长制服务中心</w:t>
      </w:r>
      <w:r>
        <w:rPr>
          <w:rFonts w:hint="eastAsia" w:ascii="仿宋_GB2312" w:hAnsi="黑体" w:eastAsia="仿宋_GB2312" w:cs="仿宋_GB2312"/>
          <w:sz w:val="32"/>
          <w:szCs w:val="32"/>
        </w:rPr>
        <w:t>2023</w:t>
      </w:r>
      <w:r>
        <w:rPr>
          <w:rFonts w:hint="eastAsia" w:ascii="仿宋_GB2312" w:hAnsi="黑体" w:eastAsia="仿宋_GB2312"/>
          <w:sz w:val="32"/>
          <w:szCs w:val="32"/>
        </w:rPr>
        <w:t>年收支总预算</w:t>
      </w:r>
      <w:r>
        <w:rPr>
          <w:rFonts w:ascii="仿宋_GB2312" w:hAnsi="黑体" w:eastAsia="仿宋_GB2312" w:cs="仿宋_GB2312"/>
          <w:sz w:val="32"/>
          <w:szCs w:val="32"/>
        </w:rPr>
        <w:t>422.79</w:t>
      </w:r>
      <w:r>
        <w:rPr>
          <w:rFonts w:hint="eastAsia" w:ascii="仿宋_GB2312" w:hAnsi="黑体" w:eastAsia="仿宋_GB2312"/>
          <w:sz w:val="32"/>
          <w:szCs w:val="32"/>
        </w:rPr>
        <w:t>万元。</w:t>
      </w:r>
    </w:p>
    <w:p>
      <w:pPr>
        <w:spacing w:line="560" w:lineRule="exact"/>
        <w:ind w:firstLine="640" w:firstLineChars="200"/>
        <w:rPr>
          <w:rFonts w:ascii="Times New Roman" w:hAnsi="Times New Roman"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sz w:val="32"/>
          <w:szCs w:val="32"/>
        </w:rPr>
        <w:t>关于三亚市河长制服务中心2023年收入预</w:t>
      </w:r>
      <w:r>
        <w:rPr>
          <w:rFonts w:ascii="Times New Roman" w:hAnsi="Times New Roman" w:eastAsia="黑体" w:cs="Times New Roman"/>
          <w:sz w:val="32"/>
          <w:shd w:val="clear" w:color="auto" w:fill="FFFFFF"/>
        </w:rPr>
        <w:t>算情况说明</w:t>
      </w:r>
    </w:p>
    <w:p>
      <w:pPr>
        <w:overflowPunct w:val="0"/>
        <w:spacing w:line="560" w:lineRule="exact"/>
        <w:ind w:firstLine="640" w:firstLineChars="200"/>
        <w:rPr>
          <w:rFonts w:ascii="黑体" w:hAnsi="黑体" w:eastAsia="黑体" w:cs="Times New Roman"/>
          <w:sz w:val="32"/>
          <w:shd w:val="clear" w:color="auto" w:fill="FFFFFF"/>
        </w:rPr>
      </w:pPr>
      <w:r>
        <w:rPr>
          <w:rFonts w:hint="eastAsia" w:ascii="仿宋_GB2312" w:hAnsi="黑体" w:eastAsia="仿宋_GB2312"/>
          <w:sz w:val="32"/>
          <w:szCs w:val="32"/>
        </w:rPr>
        <w:t>三亚市河长制服务中心</w:t>
      </w:r>
      <w:r>
        <w:rPr>
          <w:rFonts w:hint="eastAsia" w:ascii="仿宋_GB2312" w:hAnsi="黑体" w:eastAsia="仿宋_GB2312" w:cs="仿宋_GB2312"/>
          <w:sz w:val="32"/>
          <w:szCs w:val="32"/>
        </w:rPr>
        <w:t>2023</w:t>
      </w:r>
      <w:r>
        <w:rPr>
          <w:rFonts w:hint="eastAsia" w:ascii="仿宋_GB2312" w:hAnsi="黑体" w:eastAsia="仿宋_GB2312"/>
          <w:sz w:val="32"/>
          <w:szCs w:val="32"/>
        </w:rPr>
        <w:t>年收入预算</w:t>
      </w:r>
      <w:r>
        <w:rPr>
          <w:rFonts w:ascii="仿宋_GB2312" w:hAnsi="黑体" w:eastAsia="仿宋_GB2312" w:cs="仿宋_GB2312"/>
          <w:sz w:val="32"/>
          <w:szCs w:val="32"/>
        </w:rPr>
        <w:t>422.79</w:t>
      </w:r>
      <w:r>
        <w:rPr>
          <w:rFonts w:hint="eastAsia" w:ascii="仿宋_GB2312" w:hAnsi="黑体" w:eastAsia="仿宋_GB2312"/>
          <w:sz w:val="32"/>
          <w:szCs w:val="32"/>
        </w:rPr>
        <w:t>万元，其中：一般公共预算拨款收入</w:t>
      </w:r>
      <w:r>
        <w:rPr>
          <w:rFonts w:ascii="仿宋_GB2312" w:hAnsi="黑体" w:eastAsia="仿宋_GB2312" w:cs="仿宋_GB2312"/>
          <w:sz w:val="32"/>
          <w:szCs w:val="32"/>
        </w:rPr>
        <w:t>422.79</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减少41.08</w:t>
      </w:r>
      <w:r>
        <w:rPr>
          <w:rFonts w:hint="eastAsia" w:ascii="仿宋_GB2312" w:hAnsi="黑体" w:eastAsia="仿宋_GB2312"/>
          <w:sz w:val="32"/>
          <w:szCs w:val="32"/>
        </w:rPr>
        <w:t>万元，主要是项目资金减少导致。</w:t>
      </w:r>
    </w:p>
    <w:p>
      <w:pPr>
        <w:spacing w:line="560" w:lineRule="exact"/>
        <w:ind w:firstLine="640" w:firstLineChars="200"/>
        <w:rPr>
          <w:rFonts w:ascii="黑体" w:hAnsi="黑体" w:eastAsia="黑体"/>
          <w:sz w:val="32"/>
          <w:szCs w:val="32"/>
        </w:rPr>
      </w:pPr>
      <w:r>
        <w:rPr>
          <w:rFonts w:hint="eastAsia" w:ascii="黑体" w:hAnsi="黑体" w:eastAsia="黑体" w:cs="Times New Roman"/>
          <w:sz w:val="32"/>
          <w:shd w:val="clear" w:color="auto" w:fill="FFFFFF"/>
        </w:rPr>
        <w:t>八、关</w:t>
      </w:r>
      <w:r>
        <w:rPr>
          <w:rFonts w:hint="eastAsia" w:ascii="黑体" w:hAnsi="黑体" w:eastAsia="黑体"/>
          <w:sz w:val="32"/>
          <w:szCs w:val="32"/>
        </w:rPr>
        <w:t>于三亚市河长制服务中心2023年支出预算情况说明</w:t>
      </w:r>
    </w:p>
    <w:p>
      <w:pPr>
        <w:overflowPunct w:val="0"/>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三亚市河长制服务中心</w:t>
      </w:r>
      <w:r>
        <w:rPr>
          <w:rFonts w:hint="eastAsia" w:ascii="仿宋_GB2312" w:hAnsi="黑体" w:eastAsia="仿宋_GB2312" w:cs="仿宋_GB2312"/>
          <w:sz w:val="32"/>
          <w:szCs w:val="32"/>
        </w:rPr>
        <w:t>2023年支出预算</w:t>
      </w:r>
      <w:r>
        <w:rPr>
          <w:rFonts w:ascii="仿宋_GB2312" w:hAnsi="黑体" w:eastAsia="仿宋_GB2312"/>
          <w:sz w:val="32"/>
          <w:szCs w:val="32"/>
        </w:rPr>
        <w:t>422.79</w:t>
      </w:r>
      <w:r>
        <w:rPr>
          <w:rFonts w:hint="eastAsia" w:ascii="仿宋_GB2312" w:hAnsi="黑体" w:eastAsia="仿宋_GB2312" w:cs="仿宋_GB2312"/>
          <w:sz w:val="32"/>
          <w:szCs w:val="32"/>
        </w:rPr>
        <w:t>万元，其中：基本支出</w:t>
      </w:r>
      <w:r>
        <w:rPr>
          <w:rFonts w:ascii="仿宋_GB2312" w:hAnsi="黑体" w:eastAsia="仿宋_GB2312" w:cs="仿宋_GB2312"/>
          <w:sz w:val="32"/>
          <w:szCs w:val="32"/>
        </w:rPr>
        <w:t>97.79</w:t>
      </w:r>
      <w:r>
        <w:rPr>
          <w:rFonts w:hint="eastAsia" w:ascii="仿宋_GB2312" w:hAnsi="黑体" w:eastAsia="仿宋_GB2312"/>
          <w:sz w:val="32"/>
          <w:szCs w:val="32"/>
        </w:rPr>
        <w:t>万元，占</w:t>
      </w:r>
      <w:r>
        <w:rPr>
          <w:rFonts w:hint="eastAsia" w:ascii="仿宋_GB2312" w:hAnsi="黑体" w:eastAsia="仿宋_GB2312" w:cs="仿宋_GB2312"/>
          <w:sz w:val="32"/>
          <w:szCs w:val="32"/>
        </w:rPr>
        <w:t>23.13</w:t>
      </w:r>
      <w:r>
        <w:rPr>
          <w:rFonts w:hint="eastAsia" w:ascii="仿宋_GB2312" w:hAnsi="黑体" w:eastAsia="仿宋_GB2312"/>
          <w:sz w:val="32"/>
          <w:szCs w:val="32"/>
        </w:rPr>
        <w:t>%；项目支出</w:t>
      </w:r>
      <w:r>
        <w:rPr>
          <w:rFonts w:ascii="仿宋_GB2312" w:hAnsi="黑体" w:eastAsia="仿宋_GB2312" w:cs="仿宋_GB2312"/>
          <w:sz w:val="32"/>
          <w:szCs w:val="32"/>
        </w:rPr>
        <w:t>325.00</w:t>
      </w:r>
      <w:r>
        <w:rPr>
          <w:rFonts w:hint="eastAsia" w:ascii="仿宋_GB2312" w:hAnsi="黑体" w:eastAsia="仿宋_GB2312"/>
          <w:sz w:val="32"/>
          <w:szCs w:val="32"/>
        </w:rPr>
        <w:t>万元，占76.87%。比上年预算数</w:t>
      </w:r>
      <w:r>
        <w:rPr>
          <w:rFonts w:hint="eastAsia" w:ascii="仿宋_GB2312" w:hAnsi="黑体" w:eastAsia="仿宋_GB2312" w:cs="仿宋_GB2312"/>
          <w:sz w:val="32"/>
          <w:szCs w:val="32"/>
        </w:rPr>
        <w:t>减少41.08</w:t>
      </w:r>
      <w:r>
        <w:rPr>
          <w:rFonts w:hint="eastAsia" w:ascii="仿宋_GB2312" w:hAnsi="黑体" w:eastAsia="仿宋_GB2312"/>
          <w:sz w:val="32"/>
          <w:szCs w:val="32"/>
        </w:rPr>
        <w:t>万元，主要是项目资金减少导致。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楷体" w:hAnsi="楷体" w:eastAsia="楷体"/>
          <w:sz w:val="32"/>
          <w:szCs w:val="32"/>
        </w:rPr>
      </w:pPr>
      <w:r>
        <w:rPr>
          <w:rFonts w:hint="eastAsia" w:ascii="仿宋_GB2312" w:hAnsi="黑体" w:eastAsia="仿宋_GB2312"/>
          <w:sz w:val="32"/>
          <w:szCs w:val="32"/>
        </w:rPr>
        <w:t>2023年三亚市河长制服务中心的机关运行经费0万元。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2023年三亚市河长制服务中心</w:t>
      </w:r>
      <w:r>
        <w:rPr>
          <w:rFonts w:hint="eastAsia" w:ascii="仿宋_GB2312" w:hAnsi="黑体" w:eastAsia="仿宋_GB2312" w:cs="仿宋_GB2312"/>
          <w:sz w:val="32"/>
          <w:szCs w:val="32"/>
        </w:rPr>
        <w:t>政府采购预算总额0.6</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0.6</w:t>
      </w:r>
      <w:r>
        <w:rPr>
          <w:rFonts w:hint="eastAsia" w:ascii="仿宋_GB2312" w:hAnsi="黑体" w:eastAsia="仿宋_GB2312"/>
          <w:sz w:val="32"/>
          <w:szCs w:val="32"/>
        </w:rPr>
        <w:t>万元，政府采购工程预算0万元，政府采购服务预算0万元。</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（三）国有资产占有使用情况</w:t>
      </w:r>
    </w:p>
    <w:p>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年12月31日，三亚市河长制服务中心</w:t>
      </w:r>
      <w:r>
        <w:rPr>
          <w:rFonts w:hint="eastAsia" w:ascii="仿宋_GB2312" w:hAnsi="黑体" w:eastAsia="仿宋_GB2312" w:cs="仿宋_GB2312"/>
          <w:sz w:val="32"/>
          <w:szCs w:val="32"/>
        </w:rPr>
        <w:t>单位共有车辆0辆，其中，</w:t>
      </w:r>
      <w:r>
        <w:rPr>
          <w:rFonts w:ascii="Times New Roman" w:hAnsi="Times New Roman" w:eastAsia="仿宋_GB2312" w:cs="Times New Roman"/>
          <w:sz w:val="32"/>
          <w:szCs w:val="32"/>
        </w:rPr>
        <w:t>一般公务用车</w:t>
      </w:r>
      <w:r>
        <w:rPr>
          <w:rFonts w:hint="eastAsia" w:ascii="仿宋_GB2312" w:hAnsi="黑体" w:eastAsia="仿宋_GB2312" w:cs="仿宋_GB2312"/>
          <w:sz w:val="32"/>
          <w:szCs w:val="32"/>
        </w:rPr>
        <w:t>0辆。单位价值100万元以上设备0台（套）。</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（四）绩效目标设置情况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2</w:t>
      </w:r>
      <w:r>
        <w:rPr>
          <w:rFonts w:hint="eastAsia" w:ascii="仿宋_GB2312" w:hAnsi="黑体" w:eastAsia="仿宋_GB2312"/>
          <w:sz w:val="32"/>
          <w:szCs w:val="32"/>
        </w:rPr>
        <w:t>023年三亚市河长制服务中心</w:t>
      </w:r>
      <w:r>
        <w:rPr>
          <w:rFonts w:hint="eastAsia" w:ascii="仿宋_GB2312" w:hAnsi="黑体" w:eastAsia="仿宋_GB2312" w:cs="仿宋_GB2312"/>
          <w:sz w:val="32"/>
          <w:szCs w:val="32"/>
        </w:rPr>
        <w:t>11个项目实行绩效目标管理，涉及一般公共预算422.797</w:t>
      </w:r>
      <w:r>
        <w:rPr>
          <w:rFonts w:hint="eastAsia" w:ascii="仿宋_GB2312" w:hAnsi="黑体" w:eastAsia="仿宋_GB2312"/>
          <w:sz w:val="32"/>
          <w:szCs w:val="32"/>
        </w:rPr>
        <w:t>万元、政府性基金0万元。</w:t>
      </w:r>
    </w:p>
    <w:p>
      <w:pPr>
        <w:jc w:val="center"/>
        <w:rPr>
          <w:rFonts w:ascii="黑体" w:hAnsi="黑体" w:eastAsia="黑体"/>
          <w:color w:val="FF0000"/>
          <w:sz w:val="32"/>
          <w:szCs w:val="32"/>
        </w:rPr>
      </w:pPr>
    </w:p>
    <w:p>
      <w:pPr>
        <w:jc w:val="left"/>
        <w:rPr>
          <w:rFonts w:ascii="仿宋_GB2312" w:hAnsi="宋体" w:eastAsia="仿宋_GB2312" w:cs="宋体"/>
          <w:color w:val="FF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kern w:val="0"/>
          <w:sz w:val="32"/>
          <w:szCs w:val="32"/>
          <w:lang w:val="zh-CN"/>
        </w:rPr>
      </w:pP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一、财政拨款收入：指本级财政当年拨付的资金。</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二、事业收入：指事业单位开展专业业务活动及辅助活动取得的收入。</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四、其他收入：指除上述“财政拨款收入”“事业收入”“经营收入”等以外的收入。</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68F5F93"/>
    <w:multiLevelType w:val="singleLevel"/>
    <w:tmpl w:val="668F5F93"/>
    <w:lvl w:ilvl="0" w:tentative="0">
      <w:start w:val="1"/>
      <w:numFmt w:val="chineseCounting"/>
      <w:suff w:val="nothing"/>
      <w:lvlText w:val="（%1）"/>
      <w:lvlJc w:val="left"/>
      <w:rPr>
        <w:rFonts w:hint="eastAsia"/>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M1YTA2NzMzZTk3OWZjNTMxNDMzYmZkODJjNTg3MWIifQ=="/>
  </w:docVars>
  <w:rsids>
    <w:rsidRoot w:val="002922A3"/>
    <w:rsid w:val="000507DA"/>
    <w:rsid w:val="000655C3"/>
    <w:rsid w:val="00091E0A"/>
    <w:rsid w:val="000F40AF"/>
    <w:rsid w:val="00182474"/>
    <w:rsid w:val="001B26E0"/>
    <w:rsid w:val="002922A3"/>
    <w:rsid w:val="002C6D88"/>
    <w:rsid w:val="002C6F40"/>
    <w:rsid w:val="003576CD"/>
    <w:rsid w:val="003B1A0C"/>
    <w:rsid w:val="00426757"/>
    <w:rsid w:val="004617AE"/>
    <w:rsid w:val="00541037"/>
    <w:rsid w:val="00552603"/>
    <w:rsid w:val="00582991"/>
    <w:rsid w:val="00596B11"/>
    <w:rsid w:val="00655B58"/>
    <w:rsid w:val="00660119"/>
    <w:rsid w:val="006826D0"/>
    <w:rsid w:val="006C3303"/>
    <w:rsid w:val="006F1A64"/>
    <w:rsid w:val="00710F6B"/>
    <w:rsid w:val="0072701A"/>
    <w:rsid w:val="007461F2"/>
    <w:rsid w:val="00767EA0"/>
    <w:rsid w:val="00774149"/>
    <w:rsid w:val="007A334D"/>
    <w:rsid w:val="007D71CA"/>
    <w:rsid w:val="00871D57"/>
    <w:rsid w:val="008A07A3"/>
    <w:rsid w:val="008F76D4"/>
    <w:rsid w:val="00905DD8"/>
    <w:rsid w:val="009066DC"/>
    <w:rsid w:val="00925F84"/>
    <w:rsid w:val="00953969"/>
    <w:rsid w:val="0095627B"/>
    <w:rsid w:val="00A23233"/>
    <w:rsid w:val="00A41D87"/>
    <w:rsid w:val="00AA09D4"/>
    <w:rsid w:val="00AA2A91"/>
    <w:rsid w:val="00AA52BD"/>
    <w:rsid w:val="00AB521F"/>
    <w:rsid w:val="00AD1604"/>
    <w:rsid w:val="00AD542F"/>
    <w:rsid w:val="00B21106"/>
    <w:rsid w:val="00B33882"/>
    <w:rsid w:val="00BF733B"/>
    <w:rsid w:val="00C64E7B"/>
    <w:rsid w:val="00C64EF7"/>
    <w:rsid w:val="00CB727A"/>
    <w:rsid w:val="00CE7511"/>
    <w:rsid w:val="00E03010"/>
    <w:rsid w:val="00E64C49"/>
    <w:rsid w:val="00F22177"/>
    <w:rsid w:val="00F312E3"/>
    <w:rsid w:val="00FA5D5D"/>
    <w:rsid w:val="061820F2"/>
    <w:rsid w:val="15E96992"/>
    <w:rsid w:val="2FBA0CF9"/>
    <w:rsid w:val="30864679"/>
    <w:rsid w:val="33BF60F4"/>
    <w:rsid w:val="35F7E8F7"/>
    <w:rsid w:val="45A56630"/>
    <w:rsid w:val="49F56359"/>
    <w:rsid w:val="4F7FF9F2"/>
    <w:rsid w:val="4FED0C6D"/>
    <w:rsid w:val="56EF2F94"/>
    <w:rsid w:val="5CFEE67B"/>
    <w:rsid w:val="5F9D0994"/>
    <w:rsid w:val="6EE44E0B"/>
    <w:rsid w:val="73EFD7BC"/>
    <w:rsid w:val="77F71F22"/>
    <w:rsid w:val="77F74A2F"/>
    <w:rsid w:val="7ABC61F6"/>
    <w:rsid w:val="7D6AFA46"/>
    <w:rsid w:val="7DEBCAFF"/>
    <w:rsid w:val="7F7E2F63"/>
    <w:rsid w:val="8DFF9AE7"/>
    <w:rsid w:val="9EFD80AE"/>
    <w:rsid w:val="9F3EB0E7"/>
    <w:rsid w:val="B2AE0486"/>
    <w:rsid w:val="B8FFA37E"/>
    <w:rsid w:val="DEAFADB4"/>
    <w:rsid w:val="DEFB5ECB"/>
    <w:rsid w:val="DF1F4FF8"/>
    <w:rsid w:val="DF76200A"/>
    <w:rsid w:val="DFBDFD11"/>
    <w:rsid w:val="DFF743A9"/>
    <w:rsid w:val="EB5F46BC"/>
    <w:rsid w:val="EDBDF1AE"/>
    <w:rsid w:val="EF9ED525"/>
    <w:rsid w:val="EFFDB068"/>
    <w:rsid w:val="EFFFF70D"/>
    <w:rsid w:val="FBBFE3B3"/>
    <w:rsid w:val="FE7F52E4"/>
    <w:rsid w:val="FFD53F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0"/>
    <w:pPr>
      <w:jc w:val="left"/>
    </w:pPr>
  </w:style>
  <w:style w:type="paragraph" w:styleId="3">
    <w:name w:val="Balloon Text"/>
    <w:basedOn w:val="1"/>
    <w:link w:val="14"/>
    <w:semiHidden/>
    <w:unhideWhenUsed/>
    <w:qFormat/>
    <w:uiPriority w:val="0"/>
    <w:rPr>
      <w:sz w:val="18"/>
      <w:szCs w:val="18"/>
    </w:r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qFormat/>
    <w:uiPriority w:val="0"/>
    <w:rPr>
      <w:b/>
      <w:bCs/>
    </w:rPr>
  </w:style>
  <w:style w:type="character" w:styleId="9">
    <w:name w:val="annotation reference"/>
    <w:basedOn w:val="8"/>
    <w:semiHidden/>
    <w:unhideWhenUsed/>
    <w:qFormat/>
    <w:uiPriority w:val="0"/>
    <w:rPr>
      <w:sz w:val="21"/>
      <w:szCs w:val="21"/>
    </w:rPr>
  </w:style>
  <w:style w:type="paragraph" w:customStyle="1" w:styleId="10">
    <w:name w:val="列出段落1"/>
    <w:basedOn w:val="1"/>
    <w:qFormat/>
    <w:uiPriority w:val="34"/>
    <w:pPr>
      <w:ind w:firstLine="420" w:firstLineChars="200"/>
    </w:pPr>
  </w:style>
  <w:style w:type="paragraph" w:customStyle="1" w:styleId="11">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2">
    <w:name w:val="页眉 字符"/>
    <w:basedOn w:val="8"/>
    <w:link w:val="5"/>
    <w:semiHidden/>
    <w:qFormat/>
    <w:uiPriority w:val="99"/>
    <w:rPr>
      <w:sz w:val="18"/>
      <w:szCs w:val="18"/>
    </w:rPr>
  </w:style>
  <w:style w:type="character" w:customStyle="1" w:styleId="13">
    <w:name w:val="页脚 字符"/>
    <w:basedOn w:val="8"/>
    <w:link w:val="4"/>
    <w:semiHidden/>
    <w:qFormat/>
    <w:uiPriority w:val="99"/>
    <w:rPr>
      <w:sz w:val="18"/>
      <w:szCs w:val="18"/>
    </w:rPr>
  </w:style>
  <w:style w:type="character" w:customStyle="1" w:styleId="14">
    <w:name w:val="批注框文本 字符"/>
    <w:basedOn w:val="8"/>
    <w:link w:val="3"/>
    <w:semiHidden/>
    <w:qFormat/>
    <w:uiPriority w:val="0"/>
    <w:rPr>
      <w:rFonts w:ascii="Calibri" w:hAnsi="Calibri" w:cs="黑体"/>
      <w:kern w:val="2"/>
      <w:sz w:val="18"/>
      <w:szCs w:val="18"/>
    </w:rPr>
  </w:style>
  <w:style w:type="paragraph" w:customStyle="1" w:styleId="15">
    <w:name w:val="Revision"/>
    <w:hidden/>
    <w:unhideWhenUsed/>
    <w:qFormat/>
    <w:uiPriority w:val="99"/>
    <w:rPr>
      <w:rFonts w:ascii="Calibri" w:hAnsi="Calibri" w:eastAsia="宋体" w:cs="黑体"/>
      <w:kern w:val="2"/>
      <w:sz w:val="21"/>
      <w:szCs w:val="22"/>
      <w:lang w:val="en-US" w:eastAsia="zh-CN" w:bidi="ar-SA"/>
    </w:rPr>
  </w:style>
  <w:style w:type="character" w:customStyle="1" w:styleId="16">
    <w:name w:val="批注文字 字符"/>
    <w:basedOn w:val="8"/>
    <w:link w:val="2"/>
    <w:semiHidden/>
    <w:qFormat/>
    <w:uiPriority w:val="0"/>
    <w:rPr>
      <w:rFonts w:ascii="Calibri" w:hAnsi="Calibri" w:cs="黑体"/>
      <w:kern w:val="2"/>
      <w:sz w:val="21"/>
      <w:szCs w:val="22"/>
    </w:rPr>
  </w:style>
  <w:style w:type="character" w:customStyle="1" w:styleId="17">
    <w:name w:val="批注主题 字符"/>
    <w:basedOn w:val="16"/>
    <w:link w:val="6"/>
    <w:semiHidden/>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3461</Words>
  <Characters>3761</Characters>
  <Lines>29</Lines>
  <Paragraphs>8</Paragraphs>
  <TotalTime>4</TotalTime>
  <ScaleCrop>false</ScaleCrop>
  <LinksUpToDate>false</LinksUpToDate>
  <CharactersWithSpaces>3768</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2024-07-13T03:29:00Z</dcterms:created>
  <dc:creator>null,null,总收发</dc:creator>
  <cp:lastModifiedBy>Administrator</cp:lastModifiedBy>
  <dcterms:modified xsi:type="dcterms:W3CDTF">2024-07-23T08:08:22Z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90E73320610A43BB93DCB38586D97E55_12</vt:lpwstr>
  </property>
</Properties>
</file>