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三亚市人大常委会办公室</w:t>
      </w:r>
    </w:p>
    <w:p>
      <w:pPr>
        <w:jc w:val="center"/>
        <w:rPr>
          <w:sz w:val="52"/>
          <w:szCs w:val="52"/>
        </w:rPr>
      </w:pP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both"/>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三亚市人大常委会办公室</w:t>
      </w:r>
      <w:r>
        <w:rPr>
          <w:rFonts w:hint="eastAsia" w:ascii="黑体" w:hAnsi="黑体" w:eastAsia="黑体"/>
          <w:sz w:val="32"/>
          <w:szCs w:val="32"/>
        </w:rPr>
        <w:t>概况</w:t>
      </w:r>
    </w:p>
    <w:p>
      <w:pPr>
        <w:pStyle w:val="7"/>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rPr>
        <w:t>围绕市人大常委会工作部署，开展调研、收集信息、反映情况、提出建议，当好常委会领导的参谋和助手。</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负责市人民代表大会、常委会会议和主任会议等会议的组织实施工作，对会议决定的实施情况开展监督检查。</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依法对市人民政府、市中级人民法院、市人民检察院开展执法检查、调研、听取专项工作报告等监督工作。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仿宋" w:hAnsi="仿宋" w:eastAsia="仿宋" w:cs="仿宋"/>
          <w:color w:val="000000"/>
          <w:w w:val="96"/>
          <w:sz w:val="32"/>
          <w:szCs w:val="32"/>
          <w:highlight w:val="none"/>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4）</w:t>
      </w:r>
      <w:r>
        <w:rPr>
          <w:rFonts w:hint="eastAsia" w:asciiTheme="minorEastAsia" w:hAnsiTheme="minorEastAsia" w:eastAsiaTheme="minorEastAsia" w:cstheme="minorEastAsia"/>
          <w:sz w:val="32"/>
          <w:szCs w:val="32"/>
        </w:rPr>
        <w:t>在市委领导下，对政府组成人员和市中级人民法院、市人民检察院有关人员开展人事任免工作。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依法对我市重大事项进行讨论研究，并作出有关决议、决定。</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依法组织市人大代表的选举工作，组织代表学习培训工作，组织代表开展闭会期间的履职工作，依法开展对代表的监督工作。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7）</w:t>
      </w:r>
      <w:r>
        <w:rPr>
          <w:rFonts w:hint="eastAsia" w:asciiTheme="minorEastAsia" w:hAnsiTheme="minorEastAsia" w:eastAsiaTheme="minorEastAsia" w:cstheme="minorEastAsia"/>
          <w:sz w:val="32"/>
          <w:szCs w:val="32"/>
        </w:rPr>
        <w:t>负责代表议案、批评、建议和意见的督办工作。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8）</w:t>
      </w:r>
      <w:r>
        <w:rPr>
          <w:rFonts w:hint="eastAsia" w:asciiTheme="minorEastAsia" w:hAnsiTheme="minorEastAsia" w:eastAsiaTheme="minorEastAsia" w:cstheme="minorEastAsia"/>
          <w:sz w:val="32"/>
          <w:szCs w:val="32"/>
        </w:rPr>
        <w:t>负责办理群众来信、来访工作。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9）</w:t>
      </w:r>
      <w:r>
        <w:rPr>
          <w:rFonts w:hint="eastAsia" w:asciiTheme="minorEastAsia" w:hAnsiTheme="minorEastAsia" w:eastAsiaTheme="minorEastAsia" w:cstheme="minorEastAsia"/>
          <w:sz w:val="32"/>
          <w:szCs w:val="32"/>
        </w:rPr>
        <w:t>负责人大宣传工作，并向省人大、市委及时通报人大工作信息。</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10）</w:t>
      </w:r>
      <w:r>
        <w:rPr>
          <w:rFonts w:hint="eastAsia" w:asciiTheme="minorEastAsia" w:hAnsiTheme="minorEastAsia" w:eastAsiaTheme="minorEastAsia" w:cstheme="minorEastAsia"/>
          <w:sz w:val="32"/>
          <w:szCs w:val="32"/>
        </w:rPr>
        <w:t>负责对区人大指导工作。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11）</w:t>
      </w:r>
      <w:r>
        <w:rPr>
          <w:rFonts w:hint="eastAsia" w:asciiTheme="minorEastAsia" w:hAnsiTheme="minorEastAsia" w:eastAsiaTheme="minorEastAsia" w:cstheme="minorEastAsia"/>
          <w:sz w:val="32"/>
          <w:szCs w:val="32"/>
        </w:rPr>
        <w:t>负责市人大常委会的对外交流和接待工作。</w:t>
      </w:r>
    </w:p>
    <w:p>
      <w:pPr>
        <w:pStyle w:val="11"/>
        <w:numPr>
          <w:ilvl w:val="0"/>
          <w:numId w:val="0"/>
        </w:numPr>
        <w:ind w:left="0" w:firstLine="640" w:firstLineChars="0"/>
        <w:jc w:val="left"/>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12）</w:t>
      </w:r>
      <w:r>
        <w:rPr>
          <w:rFonts w:hint="eastAsia" w:asciiTheme="minorEastAsia" w:hAnsiTheme="minorEastAsia" w:eastAsiaTheme="minorEastAsia" w:cstheme="minorEastAsia"/>
          <w:sz w:val="32"/>
          <w:szCs w:val="32"/>
        </w:rPr>
        <w:t>负责立法调研、协调与保障工作。</w:t>
      </w:r>
    </w:p>
    <w:p>
      <w:pPr>
        <w:pStyle w:val="7"/>
        <w:numPr>
          <w:ilvl w:val="0"/>
          <w:numId w:val="0"/>
        </w:numPr>
        <w:ind w:leftChars="0"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机构设置情况</w:t>
      </w:r>
    </w:p>
    <w:p>
      <w:pPr>
        <w:pStyle w:val="11"/>
        <w:numPr>
          <w:ilvl w:val="0"/>
          <w:numId w:val="0"/>
        </w:numPr>
        <w:ind w:left="0" w:firstLine="640" w:firstLineChars="0"/>
        <w:jc w:val="left"/>
        <w:outlineLvl w:val="9"/>
        <w:rPr>
          <w:rFonts w:hint="default" w:ascii="黑体" w:hAnsi="黑体" w:eastAsia="黑体" w:cs="仿宋_GB2312"/>
          <w:sz w:val="32"/>
          <w:szCs w:val="32"/>
          <w:lang w:val="en-US" w:eastAsia="zh-CN"/>
        </w:rPr>
      </w:pPr>
      <w:r>
        <w:rPr>
          <w:rFonts w:hint="eastAsia" w:ascii="楷体_GB2312" w:hAnsi="Arial" w:eastAsia="楷体_GB2312" w:cs="Arial"/>
          <w:kern w:val="0"/>
          <w:sz w:val="28"/>
          <w:szCs w:val="28"/>
          <w:lang w:val="en-US" w:eastAsia="zh-CN"/>
        </w:rPr>
        <w:t xml:space="preserve">  </w:t>
      </w:r>
      <w:r>
        <w:rPr>
          <w:rFonts w:hint="eastAsia" w:asciiTheme="minorEastAsia" w:hAnsiTheme="minorEastAsia" w:eastAsiaTheme="minorEastAsia" w:cstheme="minorEastAsia"/>
          <w:kern w:val="0"/>
          <w:sz w:val="32"/>
          <w:szCs w:val="32"/>
        </w:rPr>
        <w:t>办公室（内设行政科、秘书科、组织人事科、研究室、信访室），法制工作委员会，财经工作委员会，教科文卫工作委员会，民族宗教外事侨务工作委员会，城建环保工作委员会，代表选举联络任免工作室</w:t>
      </w:r>
      <w:r>
        <w:rPr>
          <w:rFonts w:hint="eastAsia" w:asciiTheme="minorEastAsia" w:hAnsiTheme="minorEastAsia" w:eastAsiaTheme="minorEastAsia" w:cstheme="minorEastAsia"/>
          <w:kern w:val="0"/>
          <w:sz w:val="32"/>
          <w:szCs w:val="32"/>
          <w:lang w:eastAsia="zh-CN"/>
        </w:rPr>
        <w:t>，社会建设委员会，政策研究中心</w:t>
      </w:r>
      <w:r>
        <w:rPr>
          <w:rFonts w:hint="eastAsia" w:asciiTheme="minorEastAsia" w:hAnsiTheme="minorEastAsia" w:eastAsiaTheme="minorEastAsia" w:cstheme="minorEastAsia"/>
          <w:kern w:val="0"/>
          <w:sz w:val="32"/>
          <w:szCs w:val="32"/>
        </w:rPr>
        <w:t>。</w:t>
      </w:r>
    </w:p>
    <w:p>
      <w:pPr>
        <w:pStyle w:val="7"/>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pStyle w:val="7"/>
        <w:numPr>
          <w:ilvl w:val="0"/>
          <w:numId w:val="0"/>
        </w:numPr>
        <w:ind w:leftChars="0" w:firstLine="64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三亚市人大常委会办公室无二级预算单位。</w:t>
      </w:r>
    </w:p>
    <w:p>
      <w:pP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一、财政拨款收支总表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二、一般公共预算支出表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三、一般公共预算基本支出表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四、一般公共预算“三公”经费支出表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五、政府性基金预算支出表。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六、政府性基金预算“三公”经费支出表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七、部门收支总表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八、部门收入总表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九、部门支出总表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十、项目支出绩效信息表</w:t>
      </w: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4428.45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34.96</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3625.4</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448.45万元、卫生健康支出261.24万元、住房保障支出128.32</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C00000"/>
          <w:sz w:val="32"/>
          <w:szCs w:val="32"/>
          <w:lang w:eastAsia="zh-CN"/>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1105.13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基本支出的人员类经费和项目支出经费增加。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3625.4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81.22</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448.45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10.05</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261.24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5.85</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128.32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2.87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0000FF"/>
          <w:sz w:val="32"/>
          <w:szCs w:val="32"/>
          <w:lang w:eastAsia="zh-CN"/>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1317.92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112.06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人员类预算经费增加。</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一般公共服务（类）人大事务（款）一般行政管理事务（项）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277</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是宣传、培训、智慧人大系统建设等预算经费增加。</w:t>
      </w:r>
    </w:p>
    <w:p>
      <w:pPr>
        <w:ind w:firstLine="640" w:firstLineChars="200"/>
        <w:rPr>
          <w:rFonts w:hint="eastAsia" w:ascii="仿宋_GB2312" w:hAnsi="黑体" w:eastAsia="仿宋_GB2312" w:cs="仿宋_GB2312"/>
          <w:color w:val="0000FF"/>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 xml:space="preserve"> 一般公共服务（类）人大事务（款）人大会议</w:t>
      </w:r>
      <w:r>
        <w:rPr>
          <w:rFonts w:hint="eastAsia" w:ascii="仿宋_GB2312" w:hAnsi="黑体" w:eastAsia="仿宋_GB2312" w:cs="仿宋_GB2312"/>
          <w:sz w:val="32"/>
          <w:szCs w:val="32"/>
          <w:lang w:val="en-US" w:eastAsia="zh-CN"/>
        </w:rPr>
        <w:t>(项）2023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170万元，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10万元，</w:t>
      </w:r>
      <w:r>
        <w:rPr>
          <w:rFonts w:hint="eastAsia" w:ascii="仿宋_GB2312" w:hAnsi="黑体" w:eastAsia="仿宋_GB2312" w:cs="仿宋_GB2312"/>
          <w:color w:val="000000" w:themeColor="text1"/>
          <w:sz w:val="32"/>
          <w:szCs w:val="32"/>
          <w:lang w:val="en-US" w:eastAsia="zh-CN"/>
          <w14:textFill>
            <w14:solidFill>
              <w14:schemeClr w14:val="tx1"/>
            </w14:solidFill>
          </w14:textFill>
        </w:rPr>
        <w:t>主要是一类会议费减少。</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sz w:val="32"/>
          <w:szCs w:val="32"/>
          <w:lang w:val="en-US" w:eastAsia="zh-CN"/>
        </w:rPr>
        <w:t>4.</w:t>
      </w:r>
      <w:r>
        <w:rPr>
          <w:rFonts w:hint="eastAsia" w:ascii="仿宋_GB2312" w:hAnsi="仿宋_GB2312" w:eastAsia="仿宋_GB2312" w:cs="仿宋_GB2312"/>
          <w:color w:val="000000" w:themeColor="text1"/>
          <w:sz w:val="32"/>
          <w:szCs w:val="32"/>
          <w14:textFill>
            <w14:solidFill>
              <w14:schemeClr w14:val="tx1"/>
            </w14:solidFill>
          </w14:textFill>
        </w:rPr>
        <w:t>一般公共服务（类）人大事务（款）</w:t>
      </w:r>
      <w:r>
        <w:rPr>
          <w:rFonts w:hint="eastAsia" w:ascii="仿宋_GB2312" w:hAnsi="仿宋_GB2312" w:eastAsia="仿宋_GB2312" w:cs="仿宋_GB2312"/>
          <w:color w:val="000000" w:themeColor="text1"/>
          <w:sz w:val="32"/>
          <w:szCs w:val="32"/>
          <w:lang w:eastAsia="zh-CN"/>
          <w14:textFill>
            <w14:solidFill>
              <w14:schemeClr w14:val="tx1"/>
            </w14:solidFill>
          </w14:textFill>
        </w:rPr>
        <w:t>人大立法</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232</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上年拟计划组织开展自贸港立法研讨会，今年未计划开展，因此较上年预算数减少。</w:t>
      </w:r>
    </w:p>
    <w:p>
      <w:pPr>
        <w:numPr>
          <w:ilvl w:val="0"/>
          <w:numId w:val="0"/>
        </w:num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一般公共服务（类）人大事务（款）</w:t>
      </w:r>
      <w:r>
        <w:rPr>
          <w:rFonts w:hint="eastAsia" w:ascii="仿宋_GB2312" w:hAnsi="仿宋_GB2312" w:eastAsia="仿宋_GB2312" w:cs="仿宋_GB2312"/>
          <w:color w:val="000000" w:themeColor="text1"/>
          <w:sz w:val="32"/>
          <w:szCs w:val="32"/>
          <w:lang w:eastAsia="zh-CN"/>
          <w14:textFill>
            <w14:solidFill>
              <w14:schemeClr w14:val="tx1"/>
            </w14:solidFill>
          </w14:textFill>
        </w:rPr>
        <w:t>人大监督（项）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2023年预算数为910万元，比上年预算数增加393万元，主要是专班工作、学习考察、智库建设等预算经费增加。</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一般公共服务（类）人大事务（款）</w:t>
      </w:r>
      <w:r>
        <w:rPr>
          <w:rFonts w:hint="eastAsia" w:ascii="仿宋_GB2312" w:hAnsi="仿宋_GB2312" w:eastAsia="仿宋_GB2312" w:cs="仿宋_GB2312"/>
          <w:color w:val="000000" w:themeColor="text1"/>
          <w:sz w:val="32"/>
          <w:szCs w:val="32"/>
          <w:lang w:eastAsia="zh-CN"/>
          <w14:textFill>
            <w14:solidFill>
              <w14:schemeClr w14:val="tx1"/>
            </w14:solidFill>
          </w14:textFill>
        </w:rPr>
        <w:t>代表工作</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102.48</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3.85</w:t>
      </w:r>
      <w:r>
        <w:rPr>
          <w:rFonts w:hint="eastAsia" w:ascii="仿宋_GB2312" w:hAnsi="仿宋_GB2312" w:eastAsia="仿宋_GB2312" w:cs="仿宋_GB2312"/>
          <w:color w:val="000000" w:themeColor="text1"/>
          <w:sz w:val="32"/>
          <w:szCs w:val="32"/>
          <w14:textFill>
            <w14:solidFill>
              <w14:schemeClr w14:val="tx1"/>
            </w14:solidFill>
          </w14:textFill>
        </w:rPr>
        <w:t>万元，主要</w:t>
      </w:r>
      <w:r>
        <w:rPr>
          <w:rFonts w:hint="eastAsia" w:ascii="仿宋_GB2312" w:hAnsi="仿宋_GB2312" w:eastAsia="仿宋_GB2312" w:cs="仿宋_GB2312"/>
          <w:color w:val="000000" w:themeColor="text1"/>
          <w:sz w:val="32"/>
          <w:szCs w:val="32"/>
          <w:lang w:eastAsia="zh-CN"/>
          <w14:textFill>
            <w14:solidFill>
              <w14:schemeClr w14:val="tx1"/>
            </w14:solidFill>
          </w14:textFill>
        </w:rPr>
        <w:t>是组织开展市人大代表履职能力提升培训经费减少。</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eastAsia="zh-CN"/>
          <w14:textFill>
            <w14:solidFill>
              <w14:schemeClr w14:val="tx1"/>
            </w14:solidFill>
          </w14:textFill>
        </w:rPr>
        <w:t>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行政事业单位养老支出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机关事业单位基本养老保险缴费支出</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142.97</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33.91</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。主要是人员数量增加、基数增加。</w:t>
      </w:r>
    </w:p>
    <w:p>
      <w:pPr>
        <w:numPr>
          <w:ilvl w:val="0"/>
          <w:numId w:val="0"/>
        </w:numPr>
        <w:ind w:firstLine="640" w:firstLineChars="200"/>
        <w:rPr>
          <w:rFonts w:hint="default" w:ascii="仿宋_GB2312" w:hAnsi="仿宋_GB2312" w:eastAsia="仿宋_GB2312" w:cs="仿宋_GB2312"/>
          <w:color w:val="0000FF"/>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eastAsia="zh-CN"/>
          <w14:textFill>
            <w14:solidFill>
              <w14:schemeClr w14:val="tx1"/>
            </w14:solidFill>
          </w14:textFill>
        </w:rPr>
        <w:t>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行政事业单位养老支出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机关事业单位职业年金缴费支出</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305.48</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265.48</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。主要是补做实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2017至2019年单位负担职业年金及当年度职业年金。</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行政事业单位医疗</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行政单位医疗</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64.31</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6.37</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人员数量增加、基数增加。</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行政事业单位医疗</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公务员医疗补助</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196.93</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36.43</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人员数量增加、基数增加。</w:t>
      </w:r>
    </w:p>
    <w:p>
      <w:pPr>
        <w:numPr>
          <w:ilvl w:val="0"/>
          <w:numId w:val="0"/>
        </w:numPr>
        <w:ind w:firstLine="640" w:firstLineChars="200"/>
        <w:rPr>
          <w:rFonts w:hint="default" w:ascii="仿宋_GB2312" w:hAnsi="黑体"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eastAsia="zh-CN"/>
          <w14:textFill>
            <w14:solidFill>
              <w14:schemeClr w14:val="tx1"/>
            </w14:solidFill>
          </w14:textFill>
        </w:rPr>
        <w:t>住房保障支出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住房改革支出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住房公积金</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128.32</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37.72</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人员数量增加、基数增加。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commentRangeStart w:id="0"/>
      <w:r>
        <w:rPr>
          <w:rFonts w:hint="eastAsia" w:ascii="黑体" w:hAnsi="黑体" w:eastAsia="黑体" w:cs="黑体"/>
          <w:sz w:val="32"/>
          <w:szCs w:val="32"/>
        </w:rPr>
        <w:t>年</w:t>
      </w:r>
      <w:commentRangeEnd w:id="0"/>
      <w:r>
        <w:commentReference w:id="0"/>
      </w:r>
      <w:r>
        <w:rPr>
          <w:rFonts w:hint="eastAsia" w:ascii="黑体" w:hAnsi="黑体" w:eastAsia="黑体"/>
          <w:sz w:val="32"/>
          <w:szCs w:val="32"/>
        </w:rPr>
        <w:t>一般公共预算基本支出情况说明</w:t>
      </w:r>
    </w:p>
    <w:p>
      <w:pPr>
        <w:ind w:firstLine="640" w:firstLineChars="200"/>
        <w:rPr>
          <w:rFonts w:hint="default" w:ascii="仿宋_GB2312" w:hAnsi="黑体" w:eastAsia="仿宋_GB2312"/>
          <w:sz w:val="32"/>
          <w:szCs w:val="32"/>
          <w:lang w:val="en-US" w:eastAsia="zh-CN"/>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2125.93</w:t>
      </w:r>
      <w:r>
        <w:rPr>
          <w:rFonts w:hint="eastAsia" w:ascii="仿宋_GB2312" w:hAnsi="黑体" w:eastAsia="仿宋_GB2312"/>
          <w:sz w:val="32"/>
          <w:szCs w:val="32"/>
        </w:rPr>
        <w:t>万元，其中：</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1986.05</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rPr>
        <w:t>奖金</w:t>
      </w:r>
      <w:r>
        <w:rPr>
          <w:rFonts w:hint="eastAsia" w:ascii="仿宋_GB2312" w:hAnsi="黑体" w:eastAsia="仿宋_GB2312"/>
          <w:sz w:val="32"/>
          <w:szCs w:val="32"/>
          <w:lang w:eastAsia="zh-CN"/>
        </w:rPr>
        <w:t>、</w:t>
      </w:r>
      <w:r>
        <w:rPr>
          <w:rFonts w:hint="eastAsia" w:ascii="仿宋_GB2312" w:hAnsi="黑体" w:eastAsia="仿宋_GB2312"/>
          <w:sz w:val="32"/>
          <w:szCs w:val="32"/>
        </w:rPr>
        <w:t>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p>
    <w:p>
      <w:pPr>
        <w:rPr>
          <w:rFonts w:ascii="仿宋_GB2312" w:hAnsi="黑体" w:eastAsia="仿宋_GB2312"/>
          <w:sz w:val="32"/>
          <w:szCs w:val="32"/>
        </w:rPr>
      </w:pP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139.88</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、办公费、会议费、培训费、工会经费、福利费、公务用车运行维护费、其他商品和服务支出、生活补助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cs="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27.8</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C00000"/>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仿宋_GB2312" w:eastAsia="仿宋_GB2312" w:cs="仿宋_GB2312"/>
          <w:sz w:val="32"/>
          <w:szCs w:val="32"/>
          <w:shd w:val="clear" w:color="auto" w:fill="FFFFFF"/>
        </w:rPr>
        <w:t>主要</w:t>
      </w:r>
      <w:r>
        <w:rPr>
          <w:rFonts w:hint="eastAsia" w:ascii="仿宋_GB2312" w:hAnsi="仿宋_GB2312" w:eastAsia="仿宋_GB2312" w:cs="仿宋_GB2312"/>
          <w:sz w:val="32"/>
          <w:szCs w:val="32"/>
          <w:shd w:val="clear" w:color="auto" w:fill="FFFFFF"/>
          <w:lang w:eastAsia="zh-CN"/>
        </w:rPr>
        <w:t>年初</w:t>
      </w:r>
      <w:r>
        <w:rPr>
          <w:rFonts w:hint="eastAsia" w:ascii="仿宋_GB2312" w:hAnsi="仿宋_GB2312" w:eastAsia="仿宋_GB2312" w:cs="仿宋_GB2312"/>
          <w:color w:val="000000" w:themeColor="text1"/>
          <w:sz w:val="32"/>
          <w:szCs w:val="32"/>
          <w14:textFill>
            <w14:solidFill>
              <w14:schemeClr w14:val="tx1"/>
            </w14:solidFill>
          </w14:textFill>
        </w:rPr>
        <w:t>预算未安排出国（境）经费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无出国计划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21.77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21.77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11.11</w:t>
      </w:r>
      <w:r>
        <w:rPr>
          <w:rFonts w:ascii="Times New Roman" w:hAnsi="Times New Roman" w:eastAsia="仿宋_GB2312" w:cs="Times New Roman"/>
          <w:sz w:val="32"/>
          <w:shd w:val="clear" w:color="auto" w:fill="FFFFFF"/>
        </w:rPr>
        <w:t>%。</w:t>
      </w:r>
      <w:r>
        <w:rPr>
          <w:rFonts w:ascii="Times New Roman" w:hAnsi="Times New Roman" w:eastAsia="仿宋_GB2312" w:cs="Times New Roman"/>
          <w:color w:val="000000" w:themeColor="text1"/>
          <w:sz w:val="32"/>
          <w14:textFill>
            <w14:solidFill>
              <w14:schemeClr w14:val="tx1"/>
            </w14:solidFill>
          </w14:textFill>
        </w:rPr>
        <w:t>下降</w:t>
      </w:r>
      <w:r>
        <w:rPr>
          <w:rFonts w:hint="eastAsia" w:ascii="Times New Roman" w:hAnsi="Times New Roman" w:eastAsia="仿宋_GB2312" w:cs="Times New Roman"/>
          <w:color w:val="000000" w:themeColor="text1"/>
          <w:sz w:val="32"/>
          <w:lang w:eastAsia="zh-CN"/>
          <w14:textFill>
            <w14:solidFill>
              <w14:schemeClr w14:val="tx1"/>
            </w14:solidFill>
          </w14:textFill>
        </w:rPr>
        <w:t>主要原因是</w:t>
      </w:r>
      <w:r>
        <w:rPr>
          <w:rFonts w:ascii="Times New Roman" w:hAnsi="Times New Roman" w:eastAsia="仿宋_GB2312" w:cs="Times New Roman"/>
          <w:color w:val="000000" w:themeColor="text1"/>
          <w:sz w:val="32"/>
          <w:shd w:val="clear" w:color="auto" w:fill="FFFFFF"/>
          <w14:textFill>
            <w14:solidFill>
              <w14:schemeClr w14:val="tx1"/>
            </w14:solidFill>
          </w14:textFill>
        </w:rPr>
        <w:t>：</w:t>
      </w:r>
      <w:r>
        <w:rPr>
          <w:rFonts w:hint="eastAsia" w:ascii="Times New Roman" w:hAnsi="Times New Roman" w:eastAsia="仿宋_GB2312" w:cs="Times New Roman"/>
          <w:sz w:val="32"/>
          <w:shd w:val="clear" w:color="auto" w:fill="FFFFFF"/>
          <w:lang w:eastAsia="zh-CN"/>
        </w:rPr>
        <w:t>公务车编制数量减少</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9</w:t>
      </w:r>
      <w:r>
        <w:rPr>
          <w:rFonts w:hint="eastAsia" w:ascii="仿宋_GB2312" w:hAnsi="黑体" w:eastAsia="仿宋_GB2312" w:cs="仿宋_GB2312"/>
          <w:sz w:val="32"/>
          <w:szCs w:val="32"/>
        </w:rPr>
        <w:t>辆，</w:t>
      </w:r>
      <w:r>
        <w:rPr>
          <w:rFonts w:hint="eastAsia" w:ascii="仿宋_GB2312" w:hAnsi="黑体" w:eastAsia="仿宋_GB2312" w:cs="仿宋_GB2312"/>
          <w:color w:val="000000" w:themeColor="text1"/>
          <w:sz w:val="32"/>
          <w:szCs w:val="32"/>
          <w14:textFill>
            <w14:solidFill>
              <w14:schemeClr w14:val="tx1"/>
            </w14:solidFill>
          </w14:textFill>
        </w:rPr>
        <w:t>计划购置</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6.03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计划接待</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85</w:t>
      </w:r>
      <w:r>
        <w:rPr>
          <w:rFonts w:hint="eastAsia" w:ascii="仿宋_GB2312" w:hAnsi="黑体" w:eastAsia="仿宋_GB2312" w:cs="仿宋_GB2312"/>
          <w:color w:val="000000" w:themeColor="text1"/>
          <w:sz w:val="32"/>
          <w:szCs w:val="32"/>
          <w14:textFill>
            <w14:solidFill>
              <w14:schemeClr w14:val="tx1"/>
            </w14:solidFill>
          </w14:textFill>
        </w:rPr>
        <w:t>批</w:t>
      </w:r>
      <w:r>
        <w:rPr>
          <w:rFonts w:hint="eastAsia" w:ascii="仿宋_GB2312" w:hAnsi="黑体" w:eastAsia="仿宋_GB2312" w:cs="仿宋_GB2312"/>
          <w:color w:val="000000" w:themeColor="text1"/>
          <w:sz w:val="32"/>
          <w:szCs w:val="32"/>
          <w:lang w:val="en-US" w:eastAsia="zh-CN"/>
          <w14:textFill>
            <w14:solidFill>
              <w14:schemeClr w14:val="tx1"/>
            </w14:solidFill>
          </w14:textFill>
        </w:rPr>
        <w:t>460</w:t>
      </w:r>
      <w:r>
        <w:rPr>
          <w:rFonts w:hint="eastAsia" w:ascii="仿宋_GB2312" w:hAnsi="黑体" w:eastAsia="仿宋_GB2312" w:cs="仿宋_GB2312"/>
          <w:color w:val="000000" w:themeColor="text1"/>
          <w:sz w:val="32"/>
          <w:szCs w:val="32"/>
          <w14:textFill>
            <w14:solidFill>
              <w14:schemeClr w14:val="tx1"/>
            </w14:solidFill>
          </w14:textFill>
        </w:rPr>
        <w:t>人</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p>
    <w:p>
      <w:pPr>
        <w:numPr>
          <w:ilvl w:val="0"/>
          <w:numId w:val="5"/>
        </w:numPr>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0"/>
          <w:numId w:val="0"/>
        </w:num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lang w:eastAsia="zh-CN"/>
        </w:rPr>
        <w:t>无政府性基金预算“三公”经费。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commentRangeStart w:id="1"/>
      <w:r>
        <w:rPr>
          <w:rFonts w:hint="eastAsia" w:ascii="黑体" w:hAnsi="黑体" w:eastAsia="黑体" w:cs="黑体"/>
          <w:b w:val="0"/>
          <w:bCs w:val="0"/>
          <w:sz w:val="32"/>
          <w:szCs w:val="32"/>
        </w:rPr>
        <w:t>年</w:t>
      </w:r>
      <w:commentRangeEnd w:id="1"/>
      <w:r>
        <w:commentReference w:id="1"/>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仿宋_GB2312" w:hAnsi="黑体" w:eastAsia="仿宋_GB2312" w:cs="仿宋_GB2312"/>
          <w:sz w:val="32"/>
          <w:szCs w:val="32"/>
          <w:lang w:eastAsia="zh-CN"/>
        </w:rPr>
      </w:pPr>
      <w:r>
        <w:rPr>
          <w:rFonts w:hint="eastAsia" w:ascii="仿宋_GB2312" w:hAnsi="仿宋_GB2312" w:eastAsia="仿宋_GB2312" w:cs="仿宋_GB2312"/>
          <w:sz w:val="32"/>
          <w:szCs w:val="32"/>
          <w:lang w:eastAsia="zh-CN"/>
        </w:rPr>
        <w:t>三亚市人大常委会办公室单位</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三亚市人大常委会办公室单位</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numPr>
          <w:ilvl w:val="0"/>
          <w:numId w:val="5"/>
        </w:numPr>
        <w:ind w:left="0" w:leftChars="0" w:firstLine="640" w:firstLineChars="20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jc w:val="left"/>
        <w:rPr>
          <w:rFonts w:hint="eastAsia" w:ascii="仿宋_GB2312" w:hAnsi="黑体" w:eastAsia="仿宋_GB2312" w:cs="仿宋_GB2312"/>
          <w:sz w:val="32"/>
          <w:szCs w:val="32"/>
          <w:lang w:eastAsia="zh-CN"/>
        </w:rPr>
      </w:pPr>
      <w:r>
        <w:rPr>
          <w:rFonts w:hint="eastAsia" w:ascii="仿宋_GB2312" w:hAnsi="仿宋_GB2312" w:eastAsia="仿宋_GB2312" w:cs="仿宋_GB2312"/>
          <w:sz w:val="32"/>
          <w:szCs w:val="32"/>
          <w:lang w:eastAsia="zh-CN"/>
        </w:rPr>
        <w:t>三亚市人大常委会办公室单位</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cs="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bookmarkStart w:id="0" w:name="_GoBack"/>
      <w:r>
        <w:rPr>
          <w:rFonts w:hint="eastAsia" w:ascii="黑体" w:hAnsi="黑体" w:eastAsia="黑体" w:cs="黑体"/>
          <w:sz w:val="32"/>
          <w:szCs w:val="32"/>
        </w:rPr>
        <w:t>年</w:t>
      </w:r>
      <w:bookmarkEnd w:id="0"/>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34.96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0.78</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4428.45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99.22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1105.13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基本支出、项目支出预算经费增加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2125.93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47.63</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2337.48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52.37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1105.13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基本支出、项目支出预算经费增加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90.95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15.73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15.73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000000"/>
          <w:kern w:val="0"/>
          <w:sz w:val="32"/>
          <w:szCs w:val="30"/>
        </w:rPr>
      </w:pP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4428.44</w:t>
      </w:r>
      <w:r>
        <w:rPr>
          <w:rFonts w:hint="eastAsia" w:ascii="仿宋_GB2312" w:hAnsi="黑体" w:eastAsia="仿宋_GB2312"/>
          <w:sz w:val="32"/>
          <w:szCs w:val="32"/>
        </w:rPr>
        <w:t>万元。</w:t>
      </w:r>
    </w:p>
    <w:p>
      <w:pPr>
        <w:jc w:val="both"/>
        <w:rPr>
          <w:rFonts w:ascii="仿宋_GB2312" w:eastAsia="仿宋_GB2312" w:cs="宋体"/>
          <w:bCs/>
          <w:color w:val="000000"/>
          <w:kern w:val="0"/>
          <w:sz w:val="32"/>
          <w:szCs w:val="32"/>
          <w:lang w:val="zh-CN"/>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国库科" w:date="2024-07-12T10:33:42Z" w:initials="国">
    <w:p w14:paraId="B3F3ABCF">
      <w:pPr>
        <w:pStyle w:val="2"/>
        <w:rPr>
          <w:rFonts w:hint="default" w:eastAsia="宋体"/>
          <w:lang w:val="en-US" w:eastAsia="zh-CN"/>
        </w:rPr>
      </w:pPr>
      <w:r>
        <w:rPr>
          <w:rFonts w:hint="eastAsia"/>
          <w:lang w:val="en-US" w:eastAsia="zh-CN"/>
        </w:rPr>
        <w:t>字体不一致</w:t>
      </w:r>
    </w:p>
  </w:comment>
  <w:comment w:id="1" w:author="国库科" w:date="2024-07-11T11:29:54Z" w:initials="国">
    <w:p w14:paraId="77F729F7">
      <w:pPr>
        <w:pStyle w:val="2"/>
      </w:pPr>
      <w:r>
        <w:rPr>
          <w:rFonts w:hint="eastAsia" w:ascii="仿宋" w:hAnsi="仿宋" w:eastAsia="仿宋" w:cs="仿宋"/>
          <w:color w:val="000000"/>
          <w:w w:val="96"/>
          <w:sz w:val="32"/>
          <w:szCs w:val="32"/>
          <w:highlight w:val="none"/>
          <w:lang w:val="en-US" w:eastAsia="zh-CN"/>
        </w:rPr>
        <w:t>字体不一致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B3F3ABCF" w15:done="0"/>
  <w15:commentEx w15:paraId="77F729F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仿宋">
    <w:altName w:val="汉仪仿宋KW"/>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85C5A"/>
    <w:multiLevelType w:val="singleLevel"/>
    <w:tmpl w:val="BFA85C5A"/>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国库科">
    <w15:presenceInfo w15:providerId="None" w15:userId="国库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A6CB6"/>
    <w:rsid w:val="018F7A0C"/>
    <w:rsid w:val="028E60AE"/>
    <w:rsid w:val="049D07DA"/>
    <w:rsid w:val="054A775A"/>
    <w:rsid w:val="06176790"/>
    <w:rsid w:val="07DF4B7D"/>
    <w:rsid w:val="080C3FFC"/>
    <w:rsid w:val="09F01F63"/>
    <w:rsid w:val="0B2657ED"/>
    <w:rsid w:val="19066BB6"/>
    <w:rsid w:val="19D5DA33"/>
    <w:rsid w:val="1B4E52BC"/>
    <w:rsid w:val="1CBC787A"/>
    <w:rsid w:val="1F9E77FF"/>
    <w:rsid w:val="1FBF8E30"/>
    <w:rsid w:val="2033791E"/>
    <w:rsid w:val="209B2FAC"/>
    <w:rsid w:val="24AD2BFA"/>
    <w:rsid w:val="28B354F3"/>
    <w:rsid w:val="2BDF0DC0"/>
    <w:rsid w:val="2FF7110D"/>
    <w:rsid w:val="2FFFCED3"/>
    <w:rsid w:val="32516DC8"/>
    <w:rsid w:val="351D0C3E"/>
    <w:rsid w:val="3BEE0E0B"/>
    <w:rsid w:val="3CD96A06"/>
    <w:rsid w:val="3E97408B"/>
    <w:rsid w:val="3F7FB4B5"/>
    <w:rsid w:val="3FAD4D11"/>
    <w:rsid w:val="43100545"/>
    <w:rsid w:val="47BD1199"/>
    <w:rsid w:val="4A715932"/>
    <w:rsid w:val="4E0F6738"/>
    <w:rsid w:val="4FB80849"/>
    <w:rsid w:val="50082367"/>
    <w:rsid w:val="50BF259C"/>
    <w:rsid w:val="564D16E3"/>
    <w:rsid w:val="578B7B61"/>
    <w:rsid w:val="5BA34F6C"/>
    <w:rsid w:val="5DB7E539"/>
    <w:rsid w:val="64493C8E"/>
    <w:rsid w:val="647D4A37"/>
    <w:rsid w:val="66DACB0B"/>
    <w:rsid w:val="671800F2"/>
    <w:rsid w:val="68D6674E"/>
    <w:rsid w:val="692C0B01"/>
    <w:rsid w:val="697BF56A"/>
    <w:rsid w:val="6A9F0DA1"/>
    <w:rsid w:val="6B6CE30F"/>
    <w:rsid w:val="6C7F1319"/>
    <w:rsid w:val="6DDF74AC"/>
    <w:rsid w:val="6F285B66"/>
    <w:rsid w:val="6F344C21"/>
    <w:rsid w:val="6FAF0D8D"/>
    <w:rsid w:val="6FCFCADC"/>
    <w:rsid w:val="6FFA4FE6"/>
    <w:rsid w:val="74FE4FAE"/>
    <w:rsid w:val="75FB0B04"/>
    <w:rsid w:val="79F7B683"/>
    <w:rsid w:val="7B946088"/>
    <w:rsid w:val="7BAF78D4"/>
    <w:rsid w:val="7D73BCCE"/>
    <w:rsid w:val="7DE79FA0"/>
    <w:rsid w:val="7DEBCAFF"/>
    <w:rsid w:val="7EDD8B29"/>
    <w:rsid w:val="7FA514C2"/>
    <w:rsid w:val="7FF73252"/>
    <w:rsid w:val="7FFDF15C"/>
    <w:rsid w:val="93F36975"/>
    <w:rsid w:val="AADF2E0B"/>
    <w:rsid w:val="AF3F5406"/>
    <w:rsid w:val="B9D2CE32"/>
    <w:rsid w:val="BB7F118A"/>
    <w:rsid w:val="BFBBD4E7"/>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3</TotalTime>
  <ScaleCrop>false</ScaleCrop>
  <LinksUpToDate>false</LinksUpToDate>
  <CharactersWithSpaces>0</CharactersWithSpaces>
  <Application>WPS Office WWO_wpscloud_20240305111834-b523323eda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国库科</cp:lastModifiedBy>
  <dcterms:modified xsi:type="dcterms:W3CDTF">2024-07-30T15:37:25Z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