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三亚市群众艺术馆</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三亚市群众艺术馆</w:t>
      </w:r>
      <w:r>
        <w:rPr>
          <w:rFonts w:hint="eastAsia" w:ascii="黑体" w:hAnsi="黑体" w:eastAsia="黑体"/>
          <w:sz w:val="32"/>
          <w:szCs w:val="32"/>
        </w:rPr>
        <w:t>概况</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主要职能</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部门预算单位构成</w:t>
      </w:r>
    </w:p>
    <w:p>
      <w:pPr>
        <w:pStyle w:val="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三亚市群众艺术馆</w:t>
      </w:r>
      <w:r>
        <w:rPr>
          <w:rFonts w:hint="eastAsia" w:ascii="黑体" w:hAnsi="黑体" w:eastAsia="黑体" w:cs="黑体"/>
          <w:b w:val="0"/>
          <w:bCs w:val="0"/>
          <w:sz w:val="32"/>
          <w:szCs w:val="32"/>
          <w:lang w:val="en-US" w:eastAsia="zh-CN"/>
        </w:rPr>
        <w:t>2023</w:t>
      </w:r>
      <w:r>
        <w:rPr>
          <w:rFonts w:hint="eastAsia" w:ascii="黑体" w:hAnsi="黑体" w:eastAsia="黑体" w:cs="黑体"/>
          <w:b w:val="0"/>
          <w:bCs w:val="0"/>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三亚市群众艺术馆</w:t>
      </w:r>
      <w:r>
        <w:rPr>
          <w:rFonts w:hint="eastAsia" w:ascii="黑体" w:hAnsi="黑体" w:eastAsia="黑体" w:cs="黑体"/>
          <w:b w:val="0"/>
          <w:bCs w:val="0"/>
          <w:sz w:val="32"/>
          <w:szCs w:val="32"/>
          <w:lang w:val="en-US" w:eastAsia="zh-CN"/>
        </w:rPr>
        <w:t>2023</w:t>
      </w:r>
      <w:r>
        <w:rPr>
          <w:rFonts w:hint="eastAsia" w:ascii="黑体" w:hAnsi="黑体" w:eastAsia="黑体"/>
          <w:b w:val="0"/>
          <w:bCs w:val="0"/>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1"/>
          <w:numId w:val="0"/>
        </w:numPr>
        <w:ind w:left="1320" w:firstLine="0" w:firstLineChars="0"/>
        <w:jc w:val="both"/>
        <w:rPr>
          <w:rFonts w:hint="eastAsia" w:ascii="黑体" w:hAnsi="黑体" w:eastAsia="黑体"/>
          <w:sz w:val="32"/>
          <w:szCs w:val="32"/>
        </w:rPr>
      </w:pPr>
    </w:p>
    <w:p>
      <w:pPr>
        <w:pStyle w:val="6"/>
        <w:numPr>
          <w:ilvl w:val="-1"/>
          <w:numId w:val="0"/>
        </w:numPr>
        <w:ind w:left="1320" w:firstLine="0" w:firstLineChars="0"/>
        <w:jc w:val="both"/>
        <w:rPr>
          <w:rFonts w:hint="eastAsia" w:ascii="黑体" w:hAnsi="黑体" w:eastAsia="黑体"/>
          <w:sz w:val="32"/>
          <w:szCs w:val="32"/>
        </w:rPr>
      </w:pPr>
    </w:p>
    <w:p>
      <w:pPr>
        <w:ind w:firstLine="640" w:firstLineChars="200"/>
        <w:rPr>
          <w:rFonts w:hint="eastAsia" w:ascii="黑体" w:hAnsi="黑体" w:eastAsia="黑体" w:cs="黑体"/>
          <w:sz w:val="32"/>
          <w:szCs w:val="32"/>
        </w:rPr>
      </w:pPr>
      <w:r>
        <w:rPr>
          <w:rFonts w:hint="eastAsia" w:ascii="黑体" w:hAnsi="黑体" w:eastAsia="黑体"/>
          <w:sz w:val="32"/>
          <w:szCs w:val="32"/>
        </w:rPr>
        <w:t>第</w:t>
      </w:r>
      <w:r>
        <w:rPr>
          <w:rFonts w:hint="eastAsia" w:ascii="黑体" w:hAnsi="黑体" w:eastAsia="黑体"/>
          <w:sz w:val="32"/>
          <w:szCs w:val="32"/>
          <w:lang w:eastAsia="zh-CN"/>
        </w:rPr>
        <w:t>一</w:t>
      </w:r>
      <w:r>
        <w:rPr>
          <w:rFonts w:hint="eastAsia" w:ascii="黑体" w:hAnsi="黑体" w:eastAsia="黑体"/>
          <w:sz w:val="32"/>
          <w:szCs w:val="32"/>
        </w:rPr>
        <w:t>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三亚市群众艺术馆</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38" w:lineRule="exact"/>
        <w:ind w:left="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负责组织、开展全市的群众文化工作，组织、辅导和研究群众文艺创作，开展群众性文艺创作活动。编印各种文艺材料和刊物。组织、开展群众艺术培训；搜集、整理、完整、保护民族文化艺术遗产</w:t>
      </w:r>
      <w:r>
        <w:rPr>
          <w:rFonts w:hint="default" w:ascii="Times New Roman" w:hAnsi="Times New Roman" w:eastAsia="仿宋_GB2312" w:cs="Times New Roman"/>
          <w:color w:val="auto"/>
          <w:sz w:val="32"/>
          <w:szCs w:val="32"/>
          <w:highlight w:val="none"/>
          <w:lang w:eastAsia="zh-CN"/>
        </w:rPr>
        <w:t>；承担我市美术文化发展规划、对外交流、学术研究、馆藏收集、保存、展览、教育推广等工作</w:t>
      </w:r>
      <w:r>
        <w:rPr>
          <w:rFonts w:hint="default" w:ascii="Times New Roman" w:hAnsi="Times New Roman" w:eastAsia="仿宋_GB2312" w:cs="Times New Roman"/>
          <w:color w:val="auto"/>
          <w:sz w:val="32"/>
          <w:szCs w:val="32"/>
          <w:highlight w:val="none"/>
        </w:rPr>
        <w:t>。</w:t>
      </w:r>
    </w:p>
    <w:p>
      <w:pPr>
        <w:pStyle w:val="6"/>
        <w:numPr>
          <w:ilvl w:val="0"/>
          <w:numId w:val="4"/>
        </w:numPr>
        <w:ind w:firstLineChars="0"/>
        <w:jc w:val="left"/>
        <w:rPr>
          <w:rFonts w:hint="eastAsia" w:ascii="仿宋_GB2312" w:hAnsi="黑体" w:eastAsia="仿宋_GB2312" w:cs="仿宋_GB2312"/>
          <w:color w:val="auto"/>
          <w:sz w:val="32"/>
          <w:szCs w:val="32"/>
          <w:highlight w:val="none"/>
        </w:rPr>
      </w:pPr>
      <w:r>
        <w:rPr>
          <w:rFonts w:hint="eastAsia" w:ascii="黑体" w:hAnsi="黑体" w:eastAsia="黑体" w:cs="仿宋_GB2312"/>
          <w:color w:val="auto"/>
          <w:sz w:val="32"/>
          <w:szCs w:val="32"/>
          <w:highlight w:val="none"/>
          <w:lang w:val="en-US" w:eastAsia="zh-CN"/>
        </w:rPr>
        <w:t>部门</w:t>
      </w:r>
      <w:r>
        <w:rPr>
          <w:rFonts w:hint="eastAsia" w:ascii="黑体" w:hAnsi="黑体" w:eastAsia="黑体" w:cs="仿宋_GB2312"/>
          <w:color w:val="auto"/>
          <w:sz w:val="32"/>
          <w:szCs w:val="32"/>
          <w:highlight w:val="none"/>
        </w:rPr>
        <w:t>预算单位构成</w:t>
      </w:r>
    </w:p>
    <w:p>
      <w:pPr>
        <w:pStyle w:val="6"/>
        <w:numPr>
          <w:ilvl w:val="0"/>
          <w:numId w:val="0"/>
        </w:numPr>
        <w:ind w:leftChars="0" w:firstLine="420" w:firstLineChars="0"/>
        <w:jc w:val="left"/>
        <w:rPr>
          <w:rFonts w:hint="eastAsia" w:ascii="仿宋_GB2312" w:hAnsi="黑体" w:eastAsia="黑体" w:cs="仿宋_GB2312"/>
          <w:color w:val="auto"/>
          <w:sz w:val="32"/>
          <w:szCs w:val="32"/>
          <w:highlight w:val="none"/>
          <w:lang w:val="en-US" w:eastAsia="zh-CN"/>
        </w:rPr>
      </w:pPr>
      <w:r>
        <w:rPr>
          <w:rFonts w:hint="eastAsia" w:ascii="仿宋_GB2312" w:hAnsi="黑体" w:eastAsia="黑体" w:cs="仿宋_GB2312"/>
          <w:color w:val="auto"/>
          <w:sz w:val="32"/>
          <w:szCs w:val="32"/>
          <w:highlight w:val="none"/>
          <w:lang w:val="en-US" w:eastAsia="zh-CN"/>
        </w:rPr>
        <w:t>三亚市群众艺术馆单位有内设科室</w:t>
      </w:r>
      <w:r>
        <w:rPr>
          <w:rFonts w:hint="eastAsia" w:ascii="仿宋_GB2312" w:hAnsi="黑体" w:eastAsia="黑体" w:cs="仿宋_GB2312"/>
          <w:color w:val="auto"/>
          <w:sz w:val="32"/>
          <w:szCs w:val="32"/>
          <w:highlight w:val="none"/>
          <w:lang w:val="en-US" w:eastAsia="zh-CN"/>
          <w:rPrChange w:id="0" w:author="01" w:date="2024-07-24T09:32:55Z">
            <w:rPr>
              <w:rFonts w:hint="eastAsia" w:ascii="仿宋_GB2312" w:hAnsi="黑体" w:eastAsia="黑体" w:cs="仿宋_GB2312"/>
              <w:color w:val="auto"/>
              <w:sz w:val="32"/>
              <w:szCs w:val="32"/>
              <w:highlight w:val="none"/>
              <w:u w:val="single"/>
              <w:lang w:val="en-US" w:eastAsia="zh-CN"/>
            </w:rPr>
          </w:rPrChange>
        </w:rPr>
        <w:t>7</w:t>
      </w:r>
      <w:r>
        <w:rPr>
          <w:rFonts w:hint="eastAsia" w:ascii="仿宋_GB2312" w:hAnsi="黑体" w:eastAsia="黑体" w:cs="仿宋_GB2312"/>
          <w:color w:val="auto"/>
          <w:sz w:val="32"/>
          <w:szCs w:val="32"/>
          <w:highlight w:val="none"/>
          <w:lang w:val="en-US" w:eastAsia="zh-CN"/>
        </w:rPr>
        <w:t>个：</w:t>
      </w:r>
    </w:p>
    <w:p>
      <w:pPr>
        <w:pStyle w:val="6"/>
        <w:numPr>
          <w:ilvl w:val="0"/>
          <w:numId w:val="5"/>
        </w:numPr>
        <w:ind w:leftChars="0" w:firstLine="420" w:firstLineChars="0"/>
        <w:jc w:val="left"/>
        <w:rPr>
          <w:rFonts w:hint="default" w:ascii="仿宋_GB2312" w:hAnsi="黑体" w:eastAsia="黑体" w:cs="仿宋_GB2312"/>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办公室</w:t>
      </w:r>
      <w:r>
        <w:rPr>
          <w:rFonts w:hint="eastAsia" w:ascii="Times New Roman" w:hAnsi="Times New Roman" w:eastAsia="仿宋_GB2312" w:cs="Times New Roman"/>
          <w:color w:val="auto"/>
          <w:sz w:val="32"/>
          <w:szCs w:val="32"/>
          <w:highlight w:val="none"/>
          <w:lang w:val="en-US" w:eastAsia="zh-CN"/>
        </w:rPr>
        <w:t>、2.双拥工作站、3.文艺编辑部、4.培训部、5.群文活动部、6.美术书法摄影部、7.非物质文化遗产保护中心。</w:t>
      </w:r>
    </w:p>
    <w:p>
      <w:pPr>
        <w:spacing w:line="538" w:lineRule="exact"/>
        <w:ind w:left="0" w:firstLine="0" w:firstLineChars="0"/>
        <w:rPr>
          <w:rFonts w:hint="default" w:ascii="Times New Roman" w:hAnsi="Times New Roman" w:eastAsia="仿宋_GB2312" w:cs="Times New Roman"/>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eastAsia="zh-CN"/>
        </w:rPr>
        <w:t>三亚市群众艺术馆</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center"/>
        <w:rPr>
          <w:rFonts w:hint="eastAsia" w:ascii="仿宋_GB2312" w:hAnsi="黑体" w:eastAsia="仿宋_GB2312"/>
          <w:b/>
          <w:sz w:val="32"/>
          <w:szCs w:val="32"/>
        </w:rPr>
      </w:pPr>
    </w:p>
    <w:p>
      <w:pPr>
        <w:ind w:left="0" w:firstLine="0" w:firstLineChars="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ind w:firstLine="480" w:firstLineChars="150"/>
        <w:rPr>
          <w:rFonts w:hint="eastAsia"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三亚市群众艺术馆</w:t>
      </w:r>
      <w:r>
        <w:rPr>
          <w:rFonts w:hint="eastAsia" w:ascii="黑体" w:hAnsi="黑体" w:eastAsia="黑体" w:cs="黑体"/>
          <w:sz w:val="32"/>
          <w:szCs w:val="32"/>
          <w:lang w:val="en-US" w:eastAsia="zh-CN"/>
        </w:rPr>
        <w:t>2023</w:t>
      </w:r>
      <w:r>
        <w:rPr>
          <w:rFonts w:hint="eastAsia" w:ascii="黑体" w:hAnsi="黑体" w:eastAsia="黑体"/>
          <w:sz w:val="32"/>
          <w:szCs w:val="32"/>
        </w:rPr>
        <w:t>年部单位预算情况说明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三亚市群众艺术馆</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三亚市群众艺术馆</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2173.58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1086.79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1037.81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rPr>
        <w:t>48.98</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1086.79</w:t>
      </w:r>
      <w:r>
        <w:rPr>
          <w:rFonts w:hint="eastAsia" w:ascii="仿宋_GB2312" w:hAnsi="黑体" w:eastAsia="仿宋_GB2312"/>
          <w:sz w:val="32"/>
          <w:szCs w:val="32"/>
        </w:rPr>
        <w:t>万元，包括文化旅游体育与传媒支出1012.58</w:t>
      </w:r>
      <w:r>
        <w:rPr>
          <w:rFonts w:hint="eastAsia" w:ascii="仿宋_GB2312" w:hAnsi="黑体" w:eastAsia="仿宋_GB2312"/>
          <w:sz w:val="32"/>
          <w:szCs w:val="32"/>
          <w:lang w:eastAsia="zh-CN"/>
        </w:rPr>
        <w:t>万元， 社会保障和就业支出</w:t>
      </w:r>
      <w:r>
        <w:rPr>
          <w:rFonts w:hint="eastAsia" w:ascii="仿宋_GB2312" w:hAnsi="黑体" w:eastAsia="仿宋_GB2312"/>
          <w:sz w:val="32"/>
          <w:szCs w:val="32"/>
          <w:lang w:val="en-US" w:eastAsia="zh-CN"/>
        </w:rPr>
        <w:t>36.43万元， 卫生健康支出26.42万元，住房保障支出11.36万元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三亚市群众艺术馆</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eastAsia="zh-CN"/>
        </w:rPr>
        <w:t>三亚市群众艺术馆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1086.79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229.09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rPr>
        <w:t>文化旅游体育与传媒支出</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263.41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24.98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 卫生健康支出</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住房保障支</w:t>
      </w:r>
      <w:r>
        <w:rPr>
          <w:rFonts w:hint="eastAsia" w:ascii="Times New Roman" w:hAnsi="Times New Roman" w:eastAsia="仿宋_GB2312" w:cs="Times New Roman"/>
          <w:sz w:val="32"/>
          <w:szCs w:val="32"/>
          <w:lang w:eastAsia="zh-CN"/>
        </w:rPr>
        <w:t>出</w:t>
      </w:r>
      <w:r>
        <w:rPr>
          <w:rFonts w:hint="eastAsia" w:ascii="Times New Roman" w:hAnsi="Times New Roman" w:eastAsia="仿宋_GB2312" w:cs="Times New Roman"/>
          <w:sz w:val="32"/>
          <w:szCs w:val="32"/>
          <w:lang w:val="en-US" w:eastAsia="zh-CN"/>
        </w:rPr>
        <w:t>3.83万元。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bookmarkStart w:id="0" w:name="_GoBack"/>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903.88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83.17</w:t>
      </w:r>
      <w:r>
        <w:rPr>
          <w:rFonts w:hint="default" w:ascii="Times New Roman" w:hAnsi="Times New Roman" w:eastAsia="仿宋_GB2312" w:cs="Times New Roman"/>
          <w:sz w:val="32"/>
          <w:szCs w:val="32"/>
        </w:rPr>
        <w:t>%；基</w:t>
      </w:r>
      <w:bookmarkEnd w:id="0"/>
      <w:r>
        <w:rPr>
          <w:rFonts w:hint="default" w:ascii="Times New Roman" w:hAnsi="Times New Roman" w:eastAsia="仿宋_GB2312" w:cs="Times New Roman"/>
          <w:sz w:val="32"/>
          <w:szCs w:val="32"/>
        </w:rPr>
        <w:t>本支出</w:t>
      </w:r>
      <w:r>
        <w:rPr>
          <w:rFonts w:hint="eastAsia" w:ascii="Times New Roman" w:hAnsi="Times New Roman" w:eastAsia="仿宋_GB2312" w:cs="Times New Roman"/>
          <w:sz w:val="32"/>
          <w:szCs w:val="32"/>
          <w:lang w:val="en-US" w:eastAsia="zh-CN"/>
        </w:rPr>
        <w:t>182.91</w:t>
      </w:r>
      <w:r>
        <w:rPr>
          <w:rFonts w:hint="default"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16.83</w:t>
      </w:r>
      <w:r>
        <w:rPr>
          <w:rFonts w:hint="default" w:ascii="Times New Roman" w:hAnsi="Times New Roman" w:eastAsia="仿宋_GB2312" w:cs="Times New Roman"/>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1.文化旅游体育与传媒支出（类）文化和旅游（款）群众文化（项）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年预算数为1012.58万元，比上年预算数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263.41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疫情耽误活动开展</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导致预算支出进度未达标，</w:t>
      </w:r>
      <w:r>
        <w:rPr>
          <w:rFonts w:hint="default" w:ascii="Times New Roman" w:hAnsi="Times New Roman" w:eastAsia="仿宋_GB2312" w:cs="Times New Roman"/>
          <w:color w:val="auto"/>
          <w:sz w:val="32"/>
          <w:szCs w:val="32"/>
          <w:lang w:eastAsia="zh-CN"/>
        </w:rPr>
        <w:t>活动项目经费</w:t>
      </w:r>
      <w:r>
        <w:rPr>
          <w:rFonts w:hint="eastAsia" w:ascii="Times New Roman" w:hAnsi="Times New Roman" w:eastAsia="仿宋_GB2312" w:cs="Times New Roman"/>
          <w:color w:val="auto"/>
          <w:sz w:val="32"/>
          <w:szCs w:val="32"/>
          <w:lang w:eastAsia="zh-CN"/>
        </w:rPr>
        <w:t>减少</w:t>
      </w:r>
      <w:r>
        <w:rPr>
          <w:rFonts w:hint="default" w:ascii="Times New Roman" w:hAnsi="Times New Roman" w:eastAsia="仿宋_GB2312" w:cs="Times New Roman"/>
          <w:color w:val="auto"/>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2.社会保障和就业支出（类）行政事业单位养老支出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抚恤（款）机关事业单位基本养老保险缴费支出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其他优抚支出（项）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年预算数为36.43万元，比上年预算数增加</w:t>
      </w:r>
      <w:r>
        <w:rPr>
          <w:rFonts w:hint="eastAsia" w:ascii="Times New Roman" w:hAnsi="Times New Roman" w:eastAsia="仿宋_GB2312" w:cs="Times New Roman"/>
          <w:sz w:val="32"/>
          <w:szCs w:val="32"/>
          <w:lang w:val="en-US" w:eastAsia="zh-CN"/>
        </w:rPr>
        <w:t>24.98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2名在编人员和1名遗属的基本支出</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.卫生健康支出（类）行政事业单位医疗（款）事业单位医疗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公务员医疗补助（项）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26.42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2名在编人员的基本支出</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11.36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3.83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2名在编人员的基本支出</w:t>
      </w:r>
      <w:r>
        <w:rPr>
          <w:rFonts w:hint="default" w:ascii="Times New Roman" w:hAnsi="Times New Roman" w:eastAsia="仿宋_GB2312" w:cs="Times New Roman"/>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三亚市群众艺术馆</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三亚市群众艺术馆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182.91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174.31</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、社会保障缴费、其他社会保障缴费</w:t>
      </w:r>
      <w:r>
        <w:rPr>
          <w:rFonts w:hint="eastAsia" w:ascii="仿宋_GB2312" w:hAnsi="黑体" w:eastAsia="仿宋_GB2312"/>
          <w:sz w:val="32"/>
          <w:szCs w:val="32"/>
          <w:lang w:eastAsia="zh-CN"/>
        </w:rPr>
        <w:t>、</w:t>
      </w:r>
      <w:r>
        <w:rPr>
          <w:rFonts w:hint="default" w:ascii="Times New Roman" w:hAnsi="Times New Roman" w:eastAsia="仿宋_GB2312" w:cs="Times New Roman"/>
          <w:sz w:val="32"/>
          <w:szCs w:val="32"/>
        </w:rPr>
        <w:t>住房公积金</w:t>
      </w:r>
      <w:r>
        <w:rPr>
          <w:rFonts w:hint="default" w:ascii="Times New Roman" w:hAnsi="Times New Roman" w:eastAsia="仿宋_GB2312" w:cs="Times New Roman"/>
          <w:sz w:val="32"/>
          <w:szCs w:val="32"/>
          <w:lang w:eastAsia="zh-CN"/>
        </w:rPr>
        <w:t>、医疗费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邮电费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对个人和家庭的补助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生活补助</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8.59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default" w:ascii="Times New Roman" w:hAnsi="Times New Roman" w:eastAsia="仿宋_GB2312" w:cs="Times New Roman"/>
          <w:sz w:val="32"/>
          <w:szCs w:val="32"/>
        </w:rPr>
        <w:t>培训费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工会经费</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福利费、</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三亚市群众艺术馆</w:t>
      </w:r>
      <w:r>
        <w:rPr>
          <w:rFonts w:hint="default"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三亚市群众艺术馆</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年一般公共预算“三公”经费预算数为1.65万元，其中：</w:t>
      </w:r>
    </w:p>
    <w:p>
      <w:pPr>
        <w:ind w:firstLine="630"/>
        <w:rPr>
          <w:rFonts w:ascii="Times New Roman" w:hAnsi="Times New Roman" w:eastAsia="仿宋_GB2312" w:cs="Times New Roman"/>
          <w:color w:val="auto"/>
          <w:sz w:val="32"/>
          <w:highlight w:val="none"/>
          <w:shd w:val="clear" w:color="auto" w:fill="FFFFFF"/>
        </w:rPr>
      </w:pPr>
      <w:r>
        <w:rPr>
          <w:rFonts w:ascii="Times New Roman" w:hAnsi="Times New Roman" w:eastAsia="仿宋_GB2312" w:cs="Times New Roman"/>
          <w:color w:val="auto"/>
          <w:sz w:val="32"/>
          <w:highlight w:val="none"/>
          <w:shd w:val="clear" w:color="auto" w:fill="FFFFFF"/>
        </w:rPr>
        <w:t>因公出国（境）经费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年预算持平。202</w:t>
      </w:r>
      <w:r>
        <w:rPr>
          <w:rFonts w:hint="eastAsia" w:ascii="Times New Roman" w:hAnsi="Times New Roman" w:eastAsia="仿宋_GB2312" w:cs="Times New Roman"/>
          <w:color w:val="auto"/>
          <w:sz w:val="32"/>
          <w:highlight w:val="none"/>
          <w:shd w:val="clear" w:color="auto" w:fill="FFFFFF"/>
          <w:lang w:val="en-US" w:eastAsia="zh-CN"/>
        </w:rPr>
        <w:t>3</w:t>
      </w:r>
      <w:r>
        <w:rPr>
          <w:rFonts w:hint="eastAsia" w:ascii="Times New Roman" w:hAnsi="Times New Roman" w:eastAsia="仿宋_GB2312" w:cs="Times New Roman"/>
          <w:color w:val="auto"/>
          <w:sz w:val="32"/>
          <w:highlight w:val="none"/>
          <w:shd w:val="clear" w:color="auto" w:fill="FFFFFF"/>
        </w:rPr>
        <w:t>年无出国计划</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lang w:val="en-US" w:eastAsia="zh-CN"/>
        </w:rPr>
        <w:t>拟安排出国（境）团（组）0次，出国（境）0人。</w:t>
      </w:r>
      <w:r>
        <w:rPr>
          <w:rFonts w:ascii="Times New Roman" w:hAnsi="Times New Roman" w:eastAsia="仿宋_GB2312" w:cs="Times New Roman"/>
          <w:color w:val="auto"/>
          <w:sz w:val="32"/>
          <w:highlight w:val="none"/>
          <w:shd w:val="clear" w:color="auto" w:fill="FFFFFF"/>
        </w:rPr>
        <w:t>公务用车购置及运行费</w:t>
      </w:r>
      <w:r>
        <w:rPr>
          <w:rFonts w:hint="default" w:ascii="Times New Roman" w:hAnsi="Times New Roman" w:eastAsia="仿宋_GB2312" w:cs="Times New Roman"/>
          <w:color w:val="auto"/>
          <w:sz w:val="32"/>
          <w:szCs w:val="32"/>
          <w:highlight w:val="none"/>
        </w:rPr>
        <w:t>1.65万元（其中，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运行费</w:t>
      </w:r>
      <w:r>
        <w:rPr>
          <w:rFonts w:hint="default" w:ascii="Times New Roman" w:hAnsi="Times New Roman" w:eastAsia="仿宋_GB2312" w:cs="Times New Roman"/>
          <w:color w:val="auto"/>
          <w:sz w:val="32"/>
          <w:szCs w:val="32"/>
          <w:highlight w:val="none"/>
        </w:rPr>
        <w:t>1.65万元）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rPr>
        <w:t>公务车保有量</w:t>
      </w:r>
      <w:r>
        <w:rPr>
          <w:rFonts w:hint="eastAsia" w:ascii="仿宋_GB2312" w:hAnsi="黑体" w:eastAsia="仿宋_GB2312" w:cs="仿宋_GB2312"/>
          <w:color w:val="auto"/>
          <w:sz w:val="32"/>
          <w:szCs w:val="32"/>
          <w:highlight w:val="none"/>
          <w:u w:val="none"/>
          <w:lang w:val="en-US" w:eastAsia="zh-CN"/>
        </w:rPr>
        <w:t>1</w:t>
      </w:r>
      <w:r>
        <w:rPr>
          <w:rFonts w:hint="eastAsia" w:ascii="仿宋_GB2312" w:hAnsi="黑体" w:eastAsia="仿宋_GB2312" w:cs="仿宋_GB2312"/>
          <w:color w:val="auto"/>
          <w:sz w:val="32"/>
          <w:szCs w:val="32"/>
          <w:highlight w:val="none"/>
          <w:u w:val="none"/>
        </w:rPr>
        <w:t>辆，计划购置</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w:t>
      </w:r>
      <w:r>
        <w:rPr>
          <w:rFonts w:hint="eastAsia" w:ascii="Times New Roman" w:hAnsi="Times New Roman" w:eastAsia="仿宋_GB2312" w:cs="Times New Roman"/>
          <w:color w:val="auto"/>
          <w:sz w:val="32"/>
          <w:highlight w:val="none"/>
          <w:u w:val="none"/>
          <w:shd w:val="clear" w:color="auto" w:fill="FFFFFF"/>
        </w:rPr>
        <w:t>；</w:t>
      </w:r>
      <w:r>
        <w:rPr>
          <w:rFonts w:ascii="Times New Roman" w:hAnsi="Times New Roman" w:eastAsia="仿宋_GB2312" w:cs="Times New Roman"/>
          <w:color w:val="auto"/>
          <w:sz w:val="32"/>
          <w:szCs w:val="32"/>
          <w:highlight w:val="none"/>
        </w:rPr>
        <w:t>公务接待费</w:t>
      </w:r>
      <w:r>
        <w:rPr>
          <w:rFonts w:hint="default"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Times New Roman" w:hAnsi="Times New Roman" w:eastAsia="仿宋_GB2312" w:cs="Times New Roman"/>
          <w:color w:val="auto"/>
          <w:sz w:val="32"/>
          <w:highlight w:val="none"/>
          <w:shd w:val="clear" w:color="auto" w:fill="FFFFFF"/>
        </w:rPr>
        <w:t>。</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三亚市群众艺术馆</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年政</w:t>
      </w:r>
      <w:r>
        <w:rPr>
          <w:rFonts w:hint="default" w:ascii="Times New Roman" w:hAnsi="Times New Roman" w:eastAsia="仿宋_GB2312" w:cs="Times New Roman"/>
          <w:color w:val="auto"/>
          <w:sz w:val="32"/>
          <w:szCs w:val="32"/>
          <w:highlight w:val="none"/>
        </w:rPr>
        <w:t>府性基金预算“三公”经费预算数为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w:t>
      </w:r>
    </w:p>
    <w:p>
      <w:pPr>
        <w:ind w:firstLine="640" w:firstLineChars="200"/>
        <w:rPr>
          <w:rFonts w:hint="eastAsia" w:ascii="仿宋_GB2312" w:hAnsi="黑体" w:eastAsia="仿宋_GB2312"/>
          <w:color w:val="auto"/>
          <w:sz w:val="32"/>
          <w:szCs w:val="32"/>
          <w:highlight w:val="none"/>
        </w:rPr>
      </w:pPr>
      <w:r>
        <w:rPr>
          <w:rFonts w:ascii="Times New Roman" w:hAnsi="Times New Roman" w:eastAsia="仿宋_GB2312" w:cs="Times New Roman"/>
          <w:color w:val="auto"/>
          <w:sz w:val="32"/>
          <w:highlight w:val="none"/>
          <w:shd w:val="clear" w:color="auto" w:fill="FFFFFF"/>
        </w:rPr>
        <w:t>因公出国（境）经费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ascii="Times New Roman" w:hAnsi="Times New Roman" w:eastAsia="仿宋_GB2312" w:cs="Times New Roman"/>
          <w:color w:val="auto"/>
          <w:sz w:val="32"/>
          <w:highlight w:val="none"/>
          <w:u w:val="none"/>
          <w:shd w:val="clear" w:color="auto" w:fill="FFFFFF"/>
        </w:rPr>
        <w:t>202</w:t>
      </w:r>
      <w:r>
        <w:rPr>
          <w:rFonts w:hint="eastAsia" w:ascii="Times New Roman" w:hAnsi="Times New Roman" w:eastAsia="仿宋_GB2312" w:cs="Times New Roman"/>
          <w:color w:val="auto"/>
          <w:sz w:val="32"/>
          <w:highlight w:val="none"/>
          <w:u w:val="none"/>
          <w:shd w:val="clear" w:color="auto" w:fill="FFFFFF"/>
          <w:lang w:val="en-US" w:eastAsia="zh-CN"/>
        </w:rPr>
        <w:t>3</w:t>
      </w:r>
      <w:r>
        <w:rPr>
          <w:rFonts w:hint="eastAsia" w:ascii="Times New Roman" w:hAnsi="Times New Roman" w:eastAsia="仿宋_GB2312" w:cs="Times New Roman"/>
          <w:color w:val="auto"/>
          <w:sz w:val="32"/>
          <w:highlight w:val="none"/>
          <w:u w:val="none"/>
          <w:shd w:val="clear" w:color="auto" w:fill="FFFFFF"/>
        </w:rPr>
        <w:t>年无出国计划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ascii="Times New Roman" w:hAnsi="Times New Roman" w:eastAsia="仿宋_GB2312" w:cs="Times New Roman"/>
          <w:color w:val="auto"/>
          <w:sz w:val="32"/>
          <w:highlight w:val="none"/>
          <w:shd w:val="clear" w:color="auto" w:fill="FFFFFF"/>
        </w:rPr>
        <w:t>公务用车购置及运行费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仿宋_GB2312" w:hAnsi="黑体" w:eastAsia="仿宋_GB2312"/>
          <w:color w:val="auto"/>
          <w:sz w:val="32"/>
          <w:szCs w:val="32"/>
          <w:highlight w:val="none"/>
          <w:u w:val="none"/>
        </w:rPr>
        <w:t>（其中，</w:t>
      </w:r>
      <w:r>
        <w:rPr>
          <w:rFonts w:ascii="Times New Roman" w:hAnsi="Times New Roman" w:eastAsia="仿宋_GB2312" w:cs="Times New Roman"/>
          <w:color w:val="auto"/>
          <w:sz w:val="32"/>
          <w:highlight w:val="none"/>
          <w:u w:val="none"/>
          <w:shd w:val="clear" w:color="auto" w:fill="FFFFFF"/>
        </w:rPr>
        <w:t>公务用车购置</w:t>
      </w:r>
      <w:r>
        <w:rPr>
          <w:rFonts w:hint="eastAsia"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Times New Roman" w:hAnsi="Times New Roman" w:eastAsia="仿宋_GB2312" w:cs="Times New Roman"/>
          <w:color w:val="auto"/>
          <w:sz w:val="32"/>
          <w:highlight w:val="none"/>
          <w:u w:val="none"/>
          <w:shd w:val="clear" w:color="auto" w:fill="FFFFFF"/>
        </w:rPr>
        <w:t>，公务用车</w:t>
      </w:r>
      <w:r>
        <w:rPr>
          <w:rFonts w:ascii="Times New Roman" w:hAnsi="Times New Roman" w:eastAsia="仿宋_GB2312" w:cs="Times New Roman"/>
          <w:color w:val="auto"/>
          <w:sz w:val="32"/>
          <w:highlight w:val="none"/>
          <w:u w:val="none"/>
          <w:shd w:val="clear" w:color="auto" w:fill="FFFFFF"/>
        </w:rPr>
        <w:t>运行</w:t>
      </w:r>
      <w:r>
        <w:rPr>
          <w:rFonts w:hint="eastAsia" w:ascii="Times New Roman" w:hAnsi="Times New Roman" w:eastAsia="仿宋_GB2312" w:cs="Times New Roman"/>
          <w:color w:val="auto"/>
          <w:sz w:val="32"/>
          <w:highlight w:val="none"/>
          <w:u w:val="none"/>
          <w:shd w:val="clear" w:color="auto" w:fill="FFFFFF"/>
          <w:lang w:eastAsia="zh-CN"/>
        </w:rPr>
        <w:t>维护</w:t>
      </w:r>
      <w:r>
        <w:rPr>
          <w:rFonts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公务车保有量</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辆，计划购置</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Times New Roman" w:hAnsi="Times New Roman" w:eastAsia="仿宋_GB2312" w:cs="Times New Roman"/>
          <w:color w:val="auto"/>
          <w:sz w:val="32"/>
          <w:szCs w:val="32"/>
          <w:highlight w:val="none"/>
        </w:rPr>
        <w:t>公务接待费</w:t>
      </w:r>
      <w:r>
        <w:rPr>
          <w:rFonts w:hint="default"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Times New Roman" w:hAnsi="Times New Roman" w:eastAsia="仿宋_GB2312" w:cs="Times New Roman"/>
          <w:color w:val="auto"/>
          <w:sz w:val="32"/>
          <w:highlight w:val="none"/>
          <w:shd w:val="clear" w:color="auto" w:fill="FFFFFF"/>
        </w:rPr>
        <w:t>。</w:t>
      </w:r>
    </w:p>
    <w:p>
      <w:pPr>
        <w:ind w:firstLine="0" w:firstLineChars="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三亚市群众艺术馆</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三亚市群众艺术馆</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三亚市群众艺术馆</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三亚市群众艺术馆</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default" w:ascii="Times New Roman" w:hAnsi="Times New Roman" w:eastAsia="仿宋_GB2312" w:cs="Times New Roman"/>
          <w:sz w:val="32"/>
          <w:szCs w:val="32"/>
        </w:rPr>
        <w:t>文化旅游体育与传媒支出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三亚市群众艺术馆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2173.58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三亚市群众艺术馆</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三亚市群众艺术馆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1086.79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48.98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1037.81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229.09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lang w:eastAsia="zh-CN"/>
        </w:rPr>
        <w:t>活动项目经费</w:t>
      </w:r>
      <w:r>
        <w:rPr>
          <w:rFonts w:hint="eastAsia" w:ascii="Times New Roman" w:hAnsi="Times New Roman" w:eastAsia="仿宋_GB2312" w:cs="Times New Roman"/>
          <w:sz w:val="32"/>
          <w:szCs w:val="32"/>
          <w:lang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三亚市群众艺术馆</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三亚市群众艺术馆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1086.79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182.91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903.88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83.17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229.09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rPr>
        <w:t>文化旅游体育与传媒支出</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263.41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24.98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 卫生健康支出</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3.83</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三亚市群众艺术馆</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4.78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4.78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三亚市群众艺术馆</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三亚市群众艺术馆</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1037.81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eastAsia"/>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70445112">
    <w:nsid w:val="CEDACA38"/>
    <w:multiLevelType w:val="singleLevel"/>
    <w:tmpl w:val="CEDACA38"/>
    <w:lvl w:ilvl="0" w:tentative="1">
      <w:start w:val="1"/>
      <w:numFmt w:val="decimal"/>
      <w:suff w:val="space"/>
      <w:lvlText w:val="%1."/>
      <w:lvlJc w:val="left"/>
    </w:lvl>
  </w:abstractNum>
  <w:num w:numId="1">
    <w:abstractNumId w:val="92482439"/>
  </w:num>
  <w:num w:numId="2">
    <w:abstractNumId w:val="1285186183"/>
  </w:num>
  <w:num w:numId="3">
    <w:abstractNumId w:val="1516312359"/>
  </w:num>
  <w:num w:numId="4">
    <w:abstractNumId w:val="906113540"/>
  </w:num>
  <w:num w:numId="5">
    <w:abstractNumId w:val="34704451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zZjQwMjU5MDhhNDk5YzA0MTIzOTJjMWQ1Yjg0YmUifQ=="/>
  </w:docVars>
  <w:rsids>
    <w:rsidRoot w:val="00000000"/>
    <w:rsid w:val="02C87595"/>
    <w:rsid w:val="08D724EF"/>
    <w:rsid w:val="18165CA2"/>
    <w:rsid w:val="19D5DA33"/>
    <w:rsid w:val="1FBF8E30"/>
    <w:rsid w:val="27B14D44"/>
    <w:rsid w:val="2BDF0DC0"/>
    <w:rsid w:val="2C854146"/>
    <w:rsid w:val="2E0470D8"/>
    <w:rsid w:val="2FF7110D"/>
    <w:rsid w:val="2FFFCED3"/>
    <w:rsid w:val="36FD1345"/>
    <w:rsid w:val="3A5E7356"/>
    <w:rsid w:val="3AB064B8"/>
    <w:rsid w:val="3F7FB4B5"/>
    <w:rsid w:val="3FAD4D11"/>
    <w:rsid w:val="4FB80849"/>
    <w:rsid w:val="5DB7E539"/>
    <w:rsid w:val="5F4246AC"/>
    <w:rsid w:val="66DACB0B"/>
    <w:rsid w:val="697BF56A"/>
    <w:rsid w:val="6B6CE30F"/>
    <w:rsid w:val="6C7F1319"/>
    <w:rsid w:val="6DDF74AC"/>
    <w:rsid w:val="6FAF0D8D"/>
    <w:rsid w:val="6FCFCADC"/>
    <w:rsid w:val="6FFA4FE6"/>
    <w:rsid w:val="6FFF44A7"/>
    <w:rsid w:val="74301732"/>
    <w:rsid w:val="75FB0B04"/>
    <w:rsid w:val="771C579E"/>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7FDB2B"/>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3327</Words>
  <Characters>3665</Characters>
  <Lines>27</Lines>
  <Paragraphs>7</Paragraphs>
  <TotalTime>0</TotalTime>
  <ScaleCrop>false</ScaleCrop>
  <LinksUpToDate>false</LinksUpToDate>
  <CharactersWithSpaces>3693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01</cp:lastModifiedBy>
  <dcterms:modified xsi:type="dcterms:W3CDTF">2024-07-24T01:33:35Z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045674D1BB134EB88069E32C6156D257</vt:lpwstr>
  </property>
</Properties>
</file>