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sz w:val="52"/>
          <w:szCs w:val="52"/>
        </w:rPr>
      </w:pPr>
      <w:r>
        <w:rPr>
          <w:rFonts w:hint="eastAsia" w:ascii="宋体" w:hAnsi="宋体" w:cs="宋体"/>
          <w:sz w:val="52"/>
          <w:szCs w:val="52"/>
        </w:rPr>
        <w:t>2023年中国国际贸易促进委员会三亚市委员会部门预算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中国国际贸易促进委员会三亚市委员会概况</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中国国际贸易促进委员会三亚市委员会2023年部门预算表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部门收支总表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部门收入总表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部门支出总表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中国国际贸易促进委员会三亚市委员会2023年部门预算情况说明</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hint="eastAsia" w:ascii="仿宋_GB2312" w:hAnsi="仿宋_GB2312" w:eastAsia="仿宋_GB2312" w:cs="仿宋_GB2312"/>
          <w:sz w:val="32"/>
          <w:szCs w:val="32"/>
        </w:rPr>
      </w:pPr>
    </w:p>
    <w:p>
      <w:pPr>
        <w:pStyle w:val="9"/>
        <w:numPr>
          <w:ilvl w:val="0"/>
          <w:numId w:val="4"/>
        </w:numPr>
        <w:ind w:firstLineChars="0"/>
        <w:jc w:val="center"/>
        <w:rPr>
          <w:rFonts w:hint="eastAsia" w:ascii="仿宋_GB2312" w:hAnsi="仿宋_GB2312" w:eastAsia="仿宋_GB2312" w:cs="仿宋_GB2312"/>
          <w:sz w:val="32"/>
          <w:szCs w:val="32"/>
        </w:rPr>
      </w:pPr>
      <w:r>
        <w:rPr>
          <w:rFonts w:hint="eastAsia" w:ascii="黑体" w:hAnsi="黑体" w:eastAsia="黑体"/>
          <w:sz w:val="32"/>
          <w:szCs w:val="32"/>
        </w:rPr>
        <w:t xml:space="preserve">  中国国际贸易促进委员会三亚市委员会概况</w:t>
      </w:r>
    </w:p>
    <w:p>
      <w:pPr>
        <w:jc w:val="left"/>
        <w:rPr>
          <w:rFonts w:hint="eastAsia" w:ascii="仿宋_GB2312" w:hAnsi="仿宋_GB2312" w:eastAsia="仿宋_GB2312" w:cs="仿宋_GB2312"/>
          <w:sz w:val="32"/>
          <w:szCs w:val="32"/>
        </w:rPr>
      </w:pPr>
    </w:p>
    <w:p>
      <w:pPr>
        <w:pStyle w:val="9"/>
        <w:numPr>
          <w:ilvl w:val="255"/>
          <w:numId w:val="0"/>
        </w:numPr>
        <w:ind w:firstLine="640" w:firstLineChars="200"/>
        <w:jc w:val="left"/>
        <w:rPr>
          <w:rFonts w:hint="eastAsia" w:ascii="黑体" w:hAnsi="黑体" w:eastAsia="黑体" w:cs="仿宋_GB2312"/>
          <w:sz w:val="32"/>
          <w:szCs w:val="32"/>
        </w:rPr>
      </w:pPr>
      <w:r>
        <w:rPr>
          <w:rFonts w:hint="eastAsia" w:ascii="黑体" w:hAnsi="黑体" w:eastAsia="黑体" w:cs="仿宋_GB2312"/>
          <w:sz w:val="32"/>
          <w:szCs w:val="32"/>
        </w:rPr>
        <w:t>一、主要职能</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（一）贯彻执行中央及省有关贸促工作方针、政策：依法拟定并组织实施本市有关贸促工作的规划和措施。</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二）联络世界各国各地区的商协会、企业、团体、有关组织以及经济贸易界、金融界等各界人士，邀请、接待其前来三亚访问与考察；组织三亚企业和有关方面的人员出境出省访问、考察、洽谈、培训及参加各类经济贸易技术（以下简称经贸）交流与合作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（三）在境内外与有关机构、企业合作举办经贸活动或会议；为引进资金、技术、人才服务。</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（四）受理经贸咨询和提供相关服务；调查、收集、研究经贸动态；交换、传递、发布经贸信息；主办、编印有关经贸方面的刊物、资料等。</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（五）沟通政府与企业的联系渠道；反映有关经贸发展的重大情况提出意见和建议。</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六）依照权限组织、承办和指导境内外各类展销、博览、展示、陈列等经贸展览活动，归口管理、上报、组织和管理全市赴境外举办或参加的经贸展览活动；接待、参与、管理境外产品和境内其它地方产品在三亚的经贸展览活动；接待、参与、管理境外产品和境内其它地方产品在三亚的经贸展览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（七）举办、承办、组织和管理市政府交办的展览、洽谈、会议等商务活动。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八）受理有关的经贸法律事务咨询；调解经贸纠纷、争议、代办和参与经贸仲裁、诉讼；为三亚市企业、个人在境外和境外企业、个人在海南代办商标注册、专利申请；代办出口货物原产地证明书、加工装配说明书。</w:t>
      </w:r>
    </w:p>
    <w:p>
      <w:pPr>
        <w:pStyle w:val="9"/>
        <w:numPr>
          <w:ilvl w:val="255"/>
          <w:numId w:val="0"/>
        </w:numPr>
        <w:ind w:firstLine="640"/>
        <w:jc w:val="left"/>
        <w:rPr>
          <w:rFonts w:hint="eastAsia" w:ascii="仿宋_GB2312" w:hAnsi="黑体" w:eastAsia="仿宋_GB2312" w:cs="仿宋_GB2312"/>
          <w:sz w:val="32"/>
          <w:szCs w:val="32"/>
        </w:rPr>
      </w:pPr>
      <w:r>
        <w:rPr>
          <w:rFonts w:hint="eastAsia" w:ascii="仿宋_GB2312" w:eastAsia="仿宋_GB2312"/>
          <w:sz w:val="32"/>
          <w:szCs w:val="32"/>
        </w:rPr>
        <w:t>（九）承办市委、市政府和上级部门交办的工作，指导各区与贸促相关的工作。</w:t>
      </w:r>
    </w:p>
    <w:p>
      <w:pPr>
        <w:pStyle w:val="9"/>
        <w:numPr>
          <w:ilvl w:val="255"/>
          <w:numId w:val="0"/>
        </w:numPr>
        <w:ind w:firstLine="640"/>
        <w:jc w:val="left"/>
        <w:rPr>
          <w:rFonts w:hint="eastAsia" w:ascii="黑体" w:hAnsi="黑体" w:eastAsia="黑体" w:cs="仿宋_GB2312"/>
          <w:sz w:val="32"/>
          <w:szCs w:val="32"/>
        </w:rPr>
      </w:pPr>
      <w:r>
        <w:rPr>
          <w:rFonts w:hint="eastAsia" w:ascii="黑体" w:hAnsi="黑体" w:eastAsia="黑体" w:cs="仿宋_GB2312"/>
          <w:sz w:val="32"/>
          <w:szCs w:val="32"/>
        </w:rPr>
        <w:t>二、部门预算单位构成</w:t>
      </w:r>
    </w:p>
    <w:p>
      <w:pPr>
        <w:spacing w:line="500" w:lineRule="exact"/>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纳入中国国际贸易促进委员会三亚市委员会部门预算编制范围的是中国国际贸易促进委员会三亚市委员会本级,没有二级预算单位。设会长1名，副会长1名，科级领导职数1名，设办公室1个科级内设机构。</w:t>
      </w:r>
    </w:p>
    <w:p>
      <w:pPr>
        <w:jc w:val="left"/>
        <w:rPr>
          <w:rFonts w:hint="eastAsia" w:ascii="仿宋_GB2312" w:hAnsi="黑体" w:eastAsia="仿宋_GB2312" w:cs="仿宋_GB2312"/>
          <w:sz w:val="32"/>
          <w:szCs w:val="32"/>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中国国际贸易促进委员会三亚市委员会2023年部门预算表</w:t>
      </w:r>
    </w:p>
    <w:p>
      <w:pPr>
        <w:ind w:left="800"/>
        <w:jc w:val="left"/>
        <w:rPr>
          <w:rFonts w:hint="eastAsia"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（此部分内容为部门预算公开表）</w:t>
      </w:r>
    </w:p>
    <w:p>
      <w:pPr>
        <w:rPr>
          <w:rFonts w:hint="eastAsia" w:ascii="黑体" w:hAnsi="黑体" w:eastAsia="黑体"/>
          <w:sz w:val="32"/>
          <w:szCs w:val="32"/>
        </w:rPr>
      </w:pPr>
    </w:p>
    <w:p>
      <w:pPr>
        <w:ind w:firstLine="480" w:firstLineChars="150"/>
        <w:rPr>
          <w:rFonts w:hint="eastAsia" w:ascii="黑体" w:hAnsi="黑体" w:eastAsia="黑体"/>
          <w:sz w:val="32"/>
          <w:szCs w:val="32"/>
        </w:rPr>
      </w:pPr>
      <w:r>
        <w:rPr>
          <w:rFonts w:hint="eastAsia" w:ascii="黑体" w:hAnsi="黑体" w:eastAsia="黑体"/>
          <w:sz w:val="32"/>
          <w:szCs w:val="32"/>
        </w:rPr>
        <w:t xml:space="preserve"> 第三部分  中国国际贸易促进委员会三亚市委员会2023年部门预算情况说明</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一、关于中国国际贸易促进委员会三亚市委员会2023年财政拨款收支预算情况的总体说明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中国国际贸易促进委员会三亚市委员会2023年财政拨款收支总预算313.66万元。其中，收入总计313.66万元，包括一般公共预算本年收入313.66万元、上年结转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万元；支出总计313.66万元，包括一般公共服务支出225.28万元、社会保障和就业支出48.87万元、卫生健康支出23.83万元、住房保障支出15.68万元、结转下年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hint="eastAsia" w:ascii="黑体" w:hAnsi="黑体" w:eastAsia="黑体"/>
          <w:sz w:val="32"/>
          <w:szCs w:val="32"/>
        </w:rPr>
      </w:pPr>
      <w:r>
        <w:rPr>
          <w:rFonts w:hint="eastAsia" w:ascii="黑体" w:hAnsi="黑体" w:eastAsia="黑体"/>
          <w:sz w:val="32"/>
          <w:szCs w:val="32"/>
        </w:rPr>
        <w:t>二、关于中国国际贸易促进委员会三亚市委员会2023年一般公共预算当年拨款情况说明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（一）一般公共预算当年规模变化情况</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中国国际贸易促进委员会三亚市委员会 2023年一般公共预算当年拨款313.66万元，比上年预算数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hint="eastAsia"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一般公共服务（类）支出225</w:t>
      </w:r>
      <w:r>
        <w:rPr>
          <w:rFonts w:hint="eastAsia" w:ascii="仿宋_GB2312" w:hAnsi="黑体" w:eastAsia="仿宋_GB2312"/>
          <w:sz w:val="32"/>
          <w:szCs w:val="32"/>
        </w:rPr>
        <w:t>.28万元，占71.82%；社会保障和就业（类）</w:t>
      </w:r>
      <w:r>
        <w:rPr>
          <w:rFonts w:hint="eastAsia" w:ascii="仿宋_GB2312" w:hAnsi="黑体" w:eastAsia="仿宋_GB2312" w:cs="仿宋_GB2312"/>
          <w:sz w:val="32"/>
          <w:szCs w:val="32"/>
        </w:rPr>
        <w:t>支出48.87</w:t>
      </w:r>
      <w:r>
        <w:rPr>
          <w:rFonts w:hint="eastAsia" w:ascii="仿宋_GB2312" w:hAnsi="黑体" w:eastAsia="仿宋_GB2312"/>
          <w:sz w:val="32"/>
          <w:szCs w:val="32"/>
        </w:rPr>
        <w:t>万元，占15.58%；卫生健康（类）</w:t>
      </w:r>
      <w:r>
        <w:rPr>
          <w:rFonts w:hint="eastAsia" w:ascii="仿宋_GB2312" w:hAnsi="黑体" w:eastAsia="仿宋_GB2312" w:cs="仿宋_GB2312"/>
          <w:sz w:val="32"/>
          <w:szCs w:val="32"/>
        </w:rPr>
        <w:t>支出23.83</w:t>
      </w:r>
      <w:r>
        <w:rPr>
          <w:rFonts w:hint="eastAsia" w:ascii="仿宋_GB2312" w:hAnsi="黑体" w:eastAsia="仿宋_GB2312"/>
          <w:sz w:val="32"/>
          <w:szCs w:val="32"/>
        </w:rPr>
        <w:t>万元，占7.6%；住房保障（类）</w:t>
      </w:r>
      <w:r>
        <w:rPr>
          <w:rFonts w:hint="eastAsia" w:ascii="仿宋_GB2312" w:hAnsi="黑体" w:eastAsia="仿宋_GB2312" w:cs="仿宋_GB2312"/>
          <w:sz w:val="32"/>
          <w:szCs w:val="32"/>
        </w:rPr>
        <w:t>支出15.68</w:t>
      </w:r>
      <w:r>
        <w:rPr>
          <w:rFonts w:hint="eastAsia" w:ascii="仿宋_GB2312" w:hAnsi="黑体" w:eastAsia="仿宋_GB2312"/>
          <w:sz w:val="32"/>
          <w:szCs w:val="32"/>
        </w:rPr>
        <w:t>万元，占5.0%。</w:t>
      </w:r>
    </w:p>
    <w:p>
      <w:pPr>
        <w:ind w:firstLine="640"/>
        <w:jc w:val="left"/>
        <w:rPr>
          <w:rFonts w:hint="eastAsia"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rPr>
          <w:rFonts w:hint="eastAsia" w:ascii="仿宋_GB2312" w:hAnsi="黑体" w:eastAsia="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1.一般公共服务（类）商贸事务（款）行政运行（项）2023</w:t>
      </w:r>
      <w:r>
        <w:rPr>
          <w:rFonts w:hint="eastAsia" w:ascii="仿宋_GB2312" w:hAnsi="黑体" w:eastAsia="仿宋_GB2312"/>
          <w:color w:val="000000" w:themeColor="text1"/>
          <w:sz w:val="32"/>
          <w:szCs w:val="32"/>
          <w14:textFill>
            <w14:solidFill>
              <w14:schemeClr w14:val="tx1"/>
            </w14:solidFill>
          </w14:textFill>
        </w:rPr>
        <w:t>年预算数为225.28万元，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减少1.72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主要是减少</w:t>
      </w:r>
      <w:r>
        <w:rPr>
          <w:rFonts w:hint="eastAsia" w:ascii="仿宋_GB2312" w:hAnsi="黑体" w:eastAsia="仿宋_GB2312"/>
          <w:sz w:val="32"/>
          <w:szCs w:val="32"/>
        </w:rPr>
        <w:t>迪拜世博会活动项目经费60万元；增加人员实力</w:t>
      </w:r>
      <w:r>
        <w:rPr>
          <w:rFonts w:hint="eastAsia" w:ascii="仿宋_GB2312" w:hAnsi="黑体" w:eastAsia="仿宋_GB2312" w:cs="仿宋_GB2312"/>
          <w:color w:val="000000" w:themeColor="text1"/>
          <w:sz w:val="32"/>
          <w:szCs w:val="32"/>
          <w14:textFill>
            <w14:solidFill>
              <w14:schemeClr w14:val="tx1"/>
            </w14:solidFill>
          </w14:textFill>
        </w:rPr>
        <w:t>、</w:t>
      </w:r>
      <w:r>
        <w:rPr>
          <w:rFonts w:hint="eastAsia" w:ascii="仿宋_GB2312" w:hAnsi="黑体" w:eastAsia="仿宋_GB2312"/>
          <w:sz w:val="32"/>
          <w:szCs w:val="32"/>
        </w:rPr>
        <w:t>驻国（境）外代表处经费、三亚国际商会改革经费等58.28万元。</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（类）行政事业单位养老支出（款）机关事业单位基本养老保险缴费支出（项）2023</w:t>
      </w:r>
      <w:r>
        <w:rPr>
          <w:rFonts w:hint="eastAsia" w:ascii="仿宋_GB2312" w:hAnsi="黑体" w:eastAsia="仿宋_GB2312"/>
          <w:color w:val="000000" w:themeColor="text1"/>
          <w:sz w:val="32"/>
          <w:szCs w:val="32"/>
          <w14:textFill>
            <w14:solidFill>
              <w14:schemeClr w14:val="tx1"/>
            </w14:solidFill>
          </w14:textFill>
        </w:rPr>
        <w:t>年预算数为16.45万元，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增加5.68</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（类）行政事业单位养老支出（款）机关事业单位职业年金缴费支出（项）2023</w:t>
      </w:r>
      <w:r>
        <w:rPr>
          <w:rFonts w:hint="eastAsia" w:ascii="仿宋_GB2312" w:hAnsi="黑体" w:eastAsia="仿宋_GB2312"/>
          <w:color w:val="000000" w:themeColor="text1"/>
          <w:sz w:val="32"/>
          <w:szCs w:val="32"/>
          <w14:textFill>
            <w14:solidFill>
              <w14:schemeClr w14:val="tx1"/>
            </w14:solidFill>
          </w14:textFill>
        </w:rPr>
        <w:t>年预算数为32.42万元，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增加32.42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w:t>
      </w:r>
      <w:r>
        <w:rPr>
          <w:rFonts w:hint="eastAsia" w:ascii="仿宋_GB2312" w:hAnsi="黑体" w:eastAsia="仿宋_GB2312"/>
          <w:color w:val="000000" w:themeColor="text1"/>
          <w:sz w:val="32"/>
          <w:szCs w:val="32"/>
          <w14:textFill>
            <w14:solidFill>
              <w14:schemeClr w14:val="tx1"/>
            </w14:solidFill>
          </w14:textFill>
        </w:rPr>
        <w:t>。</w:t>
      </w:r>
      <w:bookmarkStart w:id="0" w:name="_GoBack"/>
      <w:bookmarkEnd w:id="0"/>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4.卫生健康支出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（类）行政事业单位医疗（款）行政单位医疗（项）2023</w:t>
      </w:r>
      <w:r>
        <w:rPr>
          <w:rFonts w:hint="eastAsia" w:ascii="仿宋_GB2312" w:hAnsi="黑体" w:eastAsia="仿宋_GB2312"/>
          <w:color w:val="000000" w:themeColor="text1"/>
          <w:sz w:val="32"/>
          <w:szCs w:val="32"/>
          <w14:textFill>
            <w14:solidFill>
              <w14:schemeClr w14:val="tx1"/>
            </w14:solidFill>
          </w14:textFill>
        </w:rPr>
        <w:t>年预算数为6.87万元，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增加1.15</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5.卫生健康支出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（类）行政事业单位医疗（款）公务员医疗补助（项）2023</w:t>
      </w:r>
      <w:r>
        <w:rPr>
          <w:rFonts w:hint="eastAsia" w:ascii="仿宋_GB2312" w:hAnsi="黑体" w:eastAsia="仿宋_GB2312"/>
          <w:color w:val="000000" w:themeColor="text1"/>
          <w:sz w:val="32"/>
          <w:szCs w:val="32"/>
          <w14:textFill>
            <w14:solidFill>
              <w14:schemeClr w14:val="tx1"/>
            </w14:solidFill>
          </w14:textFill>
        </w:rPr>
        <w:t>年预算数为16.96万元，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增加6.87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sz w:val="32"/>
          <w:szCs w:val="32"/>
          <w:lang w:eastAsia="zh-CN"/>
        </w:rPr>
        <w:t>和部分人员正常晋升经费</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6.住房保障支出</w:t>
      </w:r>
      <w:r>
        <w:rPr>
          <w:rFonts w:hint="eastAsia" w:ascii="仿宋_GB2312" w:hAnsi="黑体" w:eastAsia="仿宋_GB2312" w:cs="仿宋_GB2312"/>
          <w:color w:val="000000" w:themeColor="text1"/>
          <w:sz w:val="32"/>
          <w:szCs w:val="32"/>
          <w14:textFill>
            <w14:solidFill>
              <w14:schemeClr w14:val="tx1"/>
            </w14:solidFill>
          </w14:textFill>
        </w:rPr>
        <w:t>（类）住房改革支出（款）住房公积金（项）2023</w:t>
      </w:r>
      <w:r>
        <w:rPr>
          <w:rFonts w:hint="eastAsia" w:ascii="仿宋_GB2312" w:hAnsi="黑体" w:eastAsia="仿宋_GB2312"/>
          <w:color w:val="000000" w:themeColor="text1"/>
          <w:sz w:val="32"/>
          <w:szCs w:val="32"/>
          <w14:textFill>
            <w14:solidFill>
              <w14:schemeClr w14:val="tx1"/>
            </w14:solidFill>
          </w14:textFill>
        </w:rPr>
        <w:t>年预算数为15</w:t>
      </w:r>
      <w:r>
        <w:rPr>
          <w:rFonts w:hint="eastAsia" w:ascii="仿宋_GB2312" w:hAnsi="黑体" w:eastAsia="仿宋_GB2312" w:cs="仿宋_GB2312"/>
          <w:sz w:val="32"/>
          <w:szCs w:val="32"/>
        </w:rPr>
        <w:t>.</w:t>
      </w:r>
      <w:r>
        <w:rPr>
          <w:rFonts w:hint="eastAsia" w:ascii="仿宋_GB2312" w:hAnsi="黑体" w:eastAsia="仿宋_GB2312"/>
          <w:color w:val="000000" w:themeColor="text1"/>
          <w:sz w:val="32"/>
          <w:szCs w:val="32"/>
          <w14:textFill>
            <w14:solidFill>
              <w14:schemeClr w14:val="tx1"/>
            </w14:solidFill>
          </w14:textFill>
        </w:rPr>
        <w:t>68万元，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增加6.57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sz w:val="32"/>
          <w:szCs w:val="32"/>
        </w:rPr>
      </w:pPr>
      <w:r>
        <w:rPr>
          <w:rFonts w:hint="eastAsia" w:ascii="黑体" w:hAnsi="黑体" w:eastAsia="黑体"/>
          <w:sz w:val="32"/>
          <w:szCs w:val="32"/>
        </w:rPr>
        <w:t>三、关于中国国际贸易促进委员会三亚市委员2023年一般公共预算基本支出情况说明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 2023年一般公共预算基本支出为245.66万元，其中：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225.12万元，主要包括：基本工资、津贴补贴、奖金、机关事业单位基本养老保险缴费、职业年金缴费、职工基本医疗保险缴费、公务员医疗补助缴费、其他社会保障缴费、住房公积金、医疗费、其他工资福利支出、邮电费、其他交通费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公用经费20.54万元，主要包括：其他社会保障缴费、办公费、会议费、培训费、工会经费、福利费、公务用车运行维护费、其他商品和服务支出、生活补助、其他对个人和家庭的补助。</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 xml:space="preserve">中国国际贸易促进委员会三亚市委员会 </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s="Times New Roman"/>
          <w:sz w:val="32"/>
          <w:szCs w:val="32"/>
        </w:rPr>
      </w:pPr>
      <w:r>
        <w:rPr>
          <w:rFonts w:hint="eastAsia" w:ascii="仿宋_GB2312" w:hAnsi="黑体" w:eastAsia="仿宋_GB2312"/>
          <w:sz w:val="32"/>
          <w:szCs w:val="32"/>
        </w:rPr>
        <w:t>（一）中国国际贸易促进委员会三亚市委员会 2023年一般公共预算“三公”经费预算数为2.11万元，其中：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rPr>
        <w:t>办</w:t>
      </w:r>
      <w:r>
        <w:rPr>
          <w:rFonts w:ascii="Times New Roman" w:hAnsi="Times New Roman" w:eastAsia="仿宋_GB2312" w:cs="Times New Roman"/>
          <w:sz w:val="32"/>
          <w:shd w:val="clear" w:color="auto" w:fill="FFFFFF"/>
        </w:rPr>
        <w:t>等安排的</w:t>
      </w:r>
      <w:r>
        <w:rPr>
          <w:rFonts w:hint="eastAsia" w:ascii="Times New Roman" w:hAnsi="Times New Roman" w:eastAsia="仿宋_GB2312" w:cs="Times New Roman"/>
          <w:sz w:val="32"/>
          <w:shd w:val="clear" w:color="auto" w:fill="FFFFFF"/>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，计划接待4</w:t>
      </w:r>
      <w:r>
        <w:rPr>
          <w:rFonts w:hint="eastAsia" w:ascii="仿宋_GB2312" w:hAnsi="黑体" w:eastAsia="仿宋_GB2312" w:cs="仿宋_GB2312"/>
          <w:sz w:val="32"/>
          <w:szCs w:val="32"/>
        </w:rPr>
        <w:t>批16人</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rPr>
      </w:pPr>
      <w:r>
        <w:rPr>
          <w:rFonts w:hint="eastAsia" w:ascii="仿宋_GB2312" w:hAnsi="黑体" w:eastAsia="仿宋_GB2312"/>
          <w:sz w:val="32"/>
          <w:szCs w:val="32"/>
        </w:rPr>
        <w:t>（二）中国国际贸易促进委员会三亚市委员会 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rPr>
        <w:t>办</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 xml:space="preserve">中国国际贸易促进委员会三亚市委员会 </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 2023年政府性基金预算当年拨款0万元，与上年预算数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按照综合预算原则，中国国际贸易促进委员会三亚市委员会 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年收支总预算313.66万元。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年收入预算313.66万元，其中：上年结转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%；经费拨款收入313.66万元，占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年支出预算313.66万元，其中：基本支出245.66万元，占78.32%；项目支出68万元，占21.68%。比上年预算数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机关运行经费预算225.28</w:t>
      </w:r>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年12月31日，中国国际贸易促进委员会三亚市委员会</w:t>
      </w:r>
      <w:r>
        <w:rPr>
          <w:rFonts w:hint="eastAsia" w:ascii="仿宋_GB2312" w:hAnsi="黑体" w:eastAsia="仿宋_GB2312" w:cs="仿宋_GB2312"/>
          <w:sz w:val="32"/>
          <w:szCs w:val="32"/>
        </w:rPr>
        <w:t>本级车辆1辆，其中，领导干部用车0辆，机要通信应急用车0辆、一般执法执勤用车0辆、特种专业技术用车0辆、其他用车1辆。单位价值100万元以上设备0台（套）。</w:t>
      </w:r>
    </w:p>
    <w:p>
      <w:pPr>
        <w:ind w:firstLine="640" w:firstLineChars="200"/>
        <w:rPr>
          <w:rFonts w:hint="eastAsia"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 xml:space="preserve"> 11个项目实行绩效目标管理，涉及一般公共预算313.66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jc w:val="left"/>
        <w:rPr>
          <w:rFonts w:hint="eastAsia" w:ascii="仿宋_GB2312" w:hAnsi="宋体" w:eastAsia="仿宋_GB2312" w:cs="宋体"/>
          <w:color w:val="000000"/>
          <w:kern w:val="0"/>
          <w:sz w:val="32"/>
          <w:szCs w:val="30"/>
        </w:rPr>
      </w:pPr>
    </w:p>
    <w:p>
      <w:pPr>
        <w:jc w:val="center"/>
        <w:rPr>
          <w:rFonts w:hint="eastAsia"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hint="eastAsia" w:ascii="仿宋_GB2312" w:hAnsi="宋体" w:eastAsia="仿宋_GB2312" w:cs="宋体"/>
          <w:color w:val="000000"/>
          <w:kern w:val="0"/>
          <w:sz w:val="32"/>
          <w:szCs w:val="30"/>
        </w:rPr>
      </w:pP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F2"/>
    <w:rsid w:val="000150BB"/>
    <w:rsid w:val="000D3C5D"/>
    <w:rsid w:val="00213B4E"/>
    <w:rsid w:val="00341B67"/>
    <w:rsid w:val="003C74F2"/>
    <w:rsid w:val="003D0F79"/>
    <w:rsid w:val="00426400"/>
    <w:rsid w:val="005A755B"/>
    <w:rsid w:val="00677222"/>
    <w:rsid w:val="007D1130"/>
    <w:rsid w:val="00A430D8"/>
    <w:rsid w:val="00D27F02"/>
    <w:rsid w:val="00FE588A"/>
    <w:rsid w:val="010C3318"/>
    <w:rsid w:val="013C4747"/>
    <w:rsid w:val="026B2188"/>
    <w:rsid w:val="04584A94"/>
    <w:rsid w:val="075E598A"/>
    <w:rsid w:val="080F2472"/>
    <w:rsid w:val="0952441D"/>
    <w:rsid w:val="09632850"/>
    <w:rsid w:val="0D856845"/>
    <w:rsid w:val="0E496A91"/>
    <w:rsid w:val="0F7F0646"/>
    <w:rsid w:val="0FAE45CA"/>
    <w:rsid w:val="114A6770"/>
    <w:rsid w:val="14A06FB8"/>
    <w:rsid w:val="16F47E21"/>
    <w:rsid w:val="18285DBE"/>
    <w:rsid w:val="18384F81"/>
    <w:rsid w:val="18A047B1"/>
    <w:rsid w:val="1A212032"/>
    <w:rsid w:val="1AE174B7"/>
    <w:rsid w:val="1D5331FD"/>
    <w:rsid w:val="1D6C1F84"/>
    <w:rsid w:val="1DDA35F8"/>
    <w:rsid w:val="1F0F5ED5"/>
    <w:rsid w:val="1FD30F06"/>
    <w:rsid w:val="2004416A"/>
    <w:rsid w:val="219F621D"/>
    <w:rsid w:val="23983979"/>
    <w:rsid w:val="23F6441E"/>
    <w:rsid w:val="26C539F8"/>
    <w:rsid w:val="279609BB"/>
    <w:rsid w:val="29AD53D9"/>
    <w:rsid w:val="2C3D08FB"/>
    <w:rsid w:val="2CCA78F7"/>
    <w:rsid w:val="2CCB03DD"/>
    <w:rsid w:val="2DB07BAD"/>
    <w:rsid w:val="2DC70B33"/>
    <w:rsid w:val="2DDD7BB4"/>
    <w:rsid w:val="2EDB1D6F"/>
    <w:rsid w:val="300D61AD"/>
    <w:rsid w:val="31BB1A8A"/>
    <w:rsid w:val="3328206C"/>
    <w:rsid w:val="33DC5E81"/>
    <w:rsid w:val="34B723ED"/>
    <w:rsid w:val="350D120E"/>
    <w:rsid w:val="35837B20"/>
    <w:rsid w:val="36367AEA"/>
    <w:rsid w:val="37755748"/>
    <w:rsid w:val="37762BB9"/>
    <w:rsid w:val="3A2B6CFD"/>
    <w:rsid w:val="3B3905EE"/>
    <w:rsid w:val="3BAA6071"/>
    <w:rsid w:val="3F3D690F"/>
    <w:rsid w:val="402317B5"/>
    <w:rsid w:val="40C40448"/>
    <w:rsid w:val="41004161"/>
    <w:rsid w:val="424065B8"/>
    <w:rsid w:val="44860564"/>
    <w:rsid w:val="44B83F25"/>
    <w:rsid w:val="45470979"/>
    <w:rsid w:val="4592025D"/>
    <w:rsid w:val="45C20D7B"/>
    <w:rsid w:val="464B26CF"/>
    <w:rsid w:val="47397FC7"/>
    <w:rsid w:val="479B5E82"/>
    <w:rsid w:val="4C8421D6"/>
    <w:rsid w:val="4D406CE3"/>
    <w:rsid w:val="4F3902DB"/>
    <w:rsid w:val="51B5215E"/>
    <w:rsid w:val="51FB6492"/>
    <w:rsid w:val="528765FF"/>
    <w:rsid w:val="538A0E9C"/>
    <w:rsid w:val="54B40355"/>
    <w:rsid w:val="56904EF3"/>
    <w:rsid w:val="5795457C"/>
    <w:rsid w:val="580B1421"/>
    <w:rsid w:val="58547B6E"/>
    <w:rsid w:val="5ADE6F55"/>
    <w:rsid w:val="5B945454"/>
    <w:rsid w:val="5CEE2262"/>
    <w:rsid w:val="5D603659"/>
    <w:rsid w:val="5E64111A"/>
    <w:rsid w:val="5EB323FD"/>
    <w:rsid w:val="5EFF0F38"/>
    <w:rsid w:val="6023012C"/>
    <w:rsid w:val="60CE73B1"/>
    <w:rsid w:val="61AA3465"/>
    <w:rsid w:val="62953A80"/>
    <w:rsid w:val="65AC5223"/>
    <w:rsid w:val="65F45D05"/>
    <w:rsid w:val="65FD521B"/>
    <w:rsid w:val="66B40343"/>
    <w:rsid w:val="682375B5"/>
    <w:rsid w:val="686B00F3"/>
    <w:rsid w:val="6925406A"/>
    <w:rsid w:val="69A64FBA"/>
    <w:rsid w:val="69C80CF3"/>
    <w:rsid w:val="6C4A2DE8"/>
    <w:rsid w:val="6D0A50C5"/>
    <w:rsid w:val="6E2B4657"/>
    <w:rsid w:val="6E4A01B0"/>
    <w:rsid w:val="70D02A40"/>
    <w:rsid w:val="71366BC0"/>
    <w:rsid w:val="71665866"/>
    <w:rsid w:val="71E75DD8"/>
    <w:rsid w:val="73785341"/>
    <w:rsid w:val="73794CAB"/>
    <w:rsid w:val="74080A0E"/>
    <w:rsid w:val="74281C18"/>
    <w:rsid w:val="74DF2102"/>
    <w:rsid w:val="773212F1"/>
    <w:rsid w:val="775D5456"/>
    <w:rsid w:val="776C4BE8"/>
    <w:rsid w:val="794A238E"/>
    <w:rsid w:val="7B0A0D5F"/>
    <w:rsid w:val="7B712207"/>
    <w:rsid w:val="7C87398E"/>
    <w:rsid w:val="7DEBCAFF"/>
    <w:rsid w:val="7F036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3"/>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character" w:customStyle="1" w:styleId="13">
    <w:name w:val="批注文字 字符"/>
    <w:basedOn w:val="7"/>
    <w:link w:val="2"/>
    <w:semiHidden/>
    <w:qFormat/>
    <w:uiPriority w:val="0"/>
    <w:rPr>
      <w:rFonts w:ascii="Calibri" w:hAnsi="Calibri" w:cs="黑体"/>
      <w:kern w:val="2"/>
      <w:sz w:val="21"/>
      <w:szCs w:val="22"/>
    </w:rPr>
  </w:style>
  <w:style w:type="character" w:customStyle="1" w:styleId="14">
    <w:name w:val="批注主题 字符"/>
    <w:basedOn w:val="13"/>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786</Words>
  <Characters>4483</Characters>
  <Lines>37</Lines>
  <Paragraphs>10</Paragraphs>
  <TotalTime>5</TotalTime>
  <ScaleCrop>false</ScaleCrop>
  <LinksUpToDate>false</LinksUpToDate>
  <CharactersWithSpaces>5259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公文收发员</cp:lastModifiedBy>
  <dcterms:modified xsi:type="dcterms:W3CDTF">2024-07-16T08:12:09Z</dcterms:modified>
  <dc:title>××年××部门（单位）预算</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34B24134A97D4AF59264FBCD47597BA5_13</vt:lpwstr>
  </property>
</Properties>
</file>