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sz w:val="52"/>
          <w:szCs w:val="52"/>
        </w:rPr>
      </w:pPr>
      <w:r>
        <w:rPr>
          <w:sz w:val="52"/>
          <w:szCs w:val="52"/>
        </w:rPr>
        <w:t>2023</w:t>
      </w:r>
      <w:r>
        <w:rPr>
          <w:rFonts w:hint="eastAsia"/>
          <w:sz w:val="52"/>
          <w:szCs w:val="52"/>
        </w:rPr>
        <w:t>年三亚市第二中学预算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9"/>
        <w:numPr>
          <w:ilvl w:val="0"/>
          <w:numId w:val="1"/>
        </w:numPr>
      </w:pPr>
      <w:r>
        <w:t xml:space="preserve">  </w:t>
      </w:r>
      <w:r>
        <w:rPr>
          <w:rFonts w:hint="eastAsia"/>
        </w:rPr>
        <w:t>三亚市第二中学单位概况</w:t>
      </w:r>
    </w:p>
    <w:p>
      <w:pPr>
        <w:pStyle w:val="9"/>
      </w:pPr>
      <w:r>
        <w:rPr>
          <w:rFonts w:hint="eastAsia"/>
        </w:rPr>
        <w:t>1、主要职能</w:t>
      </w:r>
    </w:p>
    <w:p>
      <w:pPr>
        <w:pStyle w:val="9"/>
        <w:numPr>
          <w:ilvl w:val="0"/>
          <w:numId w:val="1"/>
        </w:numPr>
      </w:pPr>
      <w:r>
        <w:t xml:space="preserve"> </w:t>
      </w:r>
      <w:r>
        <w:rPr>
          <w:rFonts w:hint="eastAsia"/>
        </w:rPr>
        <w:t>三亚市第二中学</w:t>
      </w:r>
      <w:r>
        <w:t>2023</w:t>
      </w:r>
      <w:r>
        <w:rPr>
          <w:rFonts w:hint="eastAsia"/>
        </w:rPr>
        <w:t>年单位预算表</w:t>
      </w:r>
    </w:p>
    <w:p>
      <w:pPr>
        <w:pStyle w:val="9"/>
        <w:rPr>
          <w:rFonts w:ascii="??_GB2312" w:hAnsi="??_GB2312" w:eastAsia="Times New Roman" w:cs="??_GB2312"/>
        </w:rPr>
      </w:pPr>
      <w:r>
        <w:rPr>
          <w:rFonts w:hint="eastAsia"/>
        </w:rPr>
        <w:t>1、财政拨款收支总表</w:t>
      </w:r>
    </w:p>
    <w:p>
      <w:pPr>
        <w:pStyle w:val="9"/>
        <w:rPr>
          <w:rFonts w:ascii="??_GB2312" w:hAnsi="??_GB2312" w:eastAsia="Times New Roman" w:cs="??_GB2312"/>
        </w:rPr>
      </w:pPr>
      <w:r>
        <w:rPr>
          <w:rFonts w:hint="eastAsia"/>
        </w:rPr>
        <w:t>2、一般公共预算支出表</w:t>
      </w:r>
    </w:p>
    <w:p>
      <w:pPr>
        <w:pStyle w:val="9"/>
        <w:rPr>
          <w:rFonts w:ascii="??_GB2312" w:hAnsi="??_GB2312" w:eastAsia="Times New Roman" w:cs="??_GB2312"/>
        </w:rPr>
      </w:pPr>
      <w:r>
        <w:rPr>
          <w:rFonts w:hint="eastAsia"/>
        </w:rPr>
        <w:t>3、一般公共预算基本支出表</w:t>
      </w:r>
    </w:p>
    <w:p>
      <w:pPr>
        <w:pStyle w:val="9"/>
        <w:rPr>
          <w:rFonts w:ascii="??_GB2312" w:hAnsi="??_GB2312" w:eastAsia="Times New Roman" w:cs="??_GB2312"/>
        </w:rPr>
      </w:pPr>
      <w:r>
        <w:rPr>
          <w:rFonts w:hint="eastAsia"/>
        </w:rPr>
        <w:t>4、一般公共预算</w:t>
      </w:r>
      <w:r>
        <w:rPr>
          <w:rFonts w:ascii="??_GB2312" w:hAnsi="??_GB2312" w:eastAsia="Times New Roman" w:cs="??_GB2312"/>
        </w:rPr>
        <w:t>“</w:t>
      </w:r>
      <w:r>
        <w:rPr>
          <w:rFonts w:hint="eastAsia"/>
        </w:rPr>
        <w:t>三公</w:t>
      </w:r>
      <w:r>
        <w:rPr>
          <w:rFonts w:ascii="??_GB2312" w:hAnsi="??_GB2312" w:eastAsia="Times New Roman" w:cs="??_GB2312"/>
        </w:rPr>
        <w:t>”</w:t>
      </w:r>
      <w:r>
        <w:rPr>
          <w:rFonts w:hint="eastAsia"/>
        </w:rPr>
        <w:t>经费支出表</w:t>
      </w:r>
    </w:p>
    <w:p>
      <w:pPr>
        <w:pStyle w:val="9"/>
        <w:rPr>
          <w:rFonts w:ascii="??_GB2312" w:hAnsi="??_GB2312" w:eastAsia="Times New Roman" w:cs="??_GB2312"/>
        </w:rPr>
      </w:pPr>
      <w:r>
        <w:rPr>
          <w:rFonts w:hint="eastAsia"/>
        </w:rPr>
        <w:t>5、政府性基金预算支出表。</w:t>
      </w:r>
    </w:p>
    <w:p>
      <w:pPr>
        <w:pStyle w:val="9"/>
        <w:rPr>
          <w:rFonts w:ascii="??_GB2312" w:hAnsi="??_GB2312" w:eastAsia="Times New Roman" w:cs="??_GB2312"/>
        </w:rPr>
      </w:pPr>
      <w:r>
        <w:rPr>
          <w:rFonts w:hint="eastAsia"/>
        </w:rPr>
        <w:t>6、政府性基金预算</w:t>
      </w:r>
      <w:r>
        <w:rPr>
          <w:rFonts w:ascii="??_GB2312" w:hAnsi="??_GB2312" w:eastAsia="Times New Roman" w:cs="??_GB2312"/>
        </w:rPr>
        <w:t>“</w:t>
      </w:r>
      <w:r>
        <w:rPr>
          <w:rFonts w:hint="eastAsia"/>
        </w:rPr>
        <w:t>三公</w:t>
      </w:r>
      <w:r>
        <w:rPr>
          <w:rFonts w:ascii="??_GB2312" w:hAnsi="??_GB2312" w:eastAsia="Times New Roman" w:cs="??_GB2312"/>
        </w:rPr>
        <w:t>”</w:t>
      </w:r>
      <w:r>
        <w:rPr>
          <w:rFonts w:hint="eastAsia"/>
        </w:rPr>
        <w:t>经费支出表</w:t>
      </w:r>
    </w:p>
    <w:p>
      <w:pPr>
        <w:pStyle w:val="9"/>
      </w:pPr>
      <w:r>
        <w:rPr>
          <w:rFonts w:hint="eastAsia"/>
        </w:rPr>
        <w:t>7、单位收支总表</w:t>
      </w:r>
    </w:p>
    <w:p>
      <w:pPr>
        <w:pStyle w:val="9"/>
      </w:pPr>
      <w:r>
        <w:rPr>
          <w:rFonts w:hint="eastAsia"/>
        </w:rPr>
        <w:t>8、单位收入总表</w:t>
      </w:r>
    </w:p>
    <w:p>
      <w:pPr>
        <w:pStyle w:val="9"/>
      </w:pPr>
      <w:r>
        <w:rPr>
          <w:rFonts w:hint="eastAsia"/>
        </w:rPr>
        <w:t>9、单位支出总表</w:t>
      </w:r>
    </w:p>
    <w:p>
      <w:pPr>
        <w:pStyle w:val="9"/>
        <w:rPr>
          <w:rFonts w:hint="eastAsia"/>
        </w:rPr>
      </w:pPr>
      <w:r>
        <w:rPr>
          <w:rFonts w:hint="eastAsia"/>
        </w:rPr>
        <w:t>10、项目支出绩效信息表</w:t>
      </w:r>
    </w:p>
    <w:p>
      <w:pPr>
        <w:pStyle w:val="9"/>
      </w:pPr>
      <w:r>
        <w:t>第</w:t>
      </w:r>
      <w:r>
        <w:rPr>
          <w:rFonts w:hint="eastAsia"/>
          <w:lang w:val="en-US" w:eastAsia="zh-CN"/>
        </w:rPr>
        <w:t>三</w:t>
      </w:r>
      <w:r>
        <w:rPr>
          <w:rFonts w:hint="eastAsia"/>
        </w:rPr>
        <w:t>部分</w:t>
      </w:r>
      <w:r>
        <w:t xml:space="preserve"> </w:t>
      </w:r>
      <w:r>
        <w:rPr>
          <w:rFonts w:hint="eastAsia"/>
        </w:rPr>
        <w:t>三亚市第二中学</w:t>
      </w:r>
      <w:r>
        <w:t>2023</w:t>
      </w:r>
      <w:r>
        <w:rPr>
          <w:rFonts w:hint="eastAsia"/>
        </w:rPr>
        <w:t>年单位预算情况说明</w:t>
      </w:r>
    </w:p>
    <w:p>
      <w:pPr>
        <w:pStyle w:val="9"/>
        <w:rPr>
          <w:rFonts w:ascii="??_GB2312" w:hAnsi="??_GB2312" w:eastAsia="Times New Roman" w:cs="??_GB2312"/>
        </w:rPr>
      </w:pPr>
      <w:r>
        <w:t>第</w:t>
      </w:r>
      <w:r>
        <w:rPr>
          <w:rFonts w:hint="eastAsia"/>
          <w:lang w:val="en-US" w:eastAsia="zh-CN"/>
        </w:rPr>
        <w:t>四</w:t>
      </w:r>
      <w:r>
        <w:rPr>
          <w:rFonts w:hint="eastAsia"/>
        </w:rPr>
        <w:t>部分</w:t>
      </w:r>
      <w:r>
        <w:rPr>
          <w:rFonts w:hint="eastAsia"/>
          <w:lang w:val="en-US" w:eastAsia="zh-CN"/>
        </w:rPr>
        <w:t xml:space="preserve"> </w:t>
      </w:r>
      <w:r>
        <w:rPr>
          <w:rFonts w:hint="eastAsia"/>
        </w:rPr>
        <w:t>名词解释</w:t>
      </w:r>
    </w:p>
    <w:p>
      <w:pPr>
        <w:pStyle w:val="9"/>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9"/>
        <w:numPr>
          <w:ilvl w:val="0"/>
          <w:numId w:val="2"/>
        </w:numPr>
        <w:rPr>
          <w:rFonts w:ascii="??_GB2312" w:hAnsi="??_GB2312" w:eastAsia="Times New Roman" w:cs="??_GB2312"/>
        </w:rPr>
      </w:pPr>
      <w:r>
        <w:rPr>
          <w:rFonts w:hint="eastAsia"/>
        </w:rPr>
        <w:t xml:space="preserve">   三亚市第二中学单位概况</w:t>
      </w:r>
    </w:p>
    <w:p>
      <w:pPr>
        <w:jc w:val="left"/>
        <w:rPr>
          <w:rFonts w:ascii="??_GB2312" w:hAnsi="??_GB2312" w:eastAsia="Times New Roman" w:cs="??_GB2312"/>
          <w:sz w:val="32"/>
          <w:szCs w:val="32"/>
        </w:rPr>
      </w:pPr>
    </w:p>
    <w:p>
      <w:pPr>
        <w:pStyle w:val="9"/>
      </w:pPr>
      <w:r>
        <w:rPr>
          <w:rFonts w:hint="eastAsia"/>
        </w:rPr>
        <w:t>1、主要职能</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rPr>
        <w:t>普通初中高中教育教学，促进基础教育发展。</w:t>
      </w:r>
    </w:p>
    <w:p>
      <w:pPr>
        <w:ind w:firstLine="640" w:firstLineChars="200"/>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2、单位内部构成</w:t>
      </w:r>
    </w:p>
    <w:p>
      <w:pPr>
        <w:ind w:firstLine="640" w:firstLineChars="200"/>
        <w:rPr>
          <w:rFonts w:hint="eastAsia" w:ascii="仿宋_GB2312" w:hAnsi="黑体" w:eastAsia="仿宋_GB2312"/>
          <w:sz w:val="32"/>
          <w:szCs w:val="32"/>
        </w:rPr>
      </w:pPr>
      <w:r>
        <w:rPr>
          <w:rFonts w:hint="default" w:ascii="仿宋_GB2312" w:hAnsi="ˎ̥" w:eastAsia="仿宋_GB2312" w:cs="仿宋_GB2312"/>
          <w:kern w:val="0"/>
          <w:sz w:val="32"/>
          <w:szCs w:val="32"/>
          <w:shd w:val="clear" w:fill="FFFFFF"/>
        </w:rPr>
        <w:t>学校下设党总支办公室、行政办公室、德育处、教学处、教研室、总务处、信息中心、体卫艺、工会、妇委会、团委等11个部门。</w:t>
      </w:r>
      <w:r>
        <w:rPr>
          <w:rFonts w:hint="eastAsia" w:ascii="仿宋_GB2312" w:hAnsi="黑体" w:eastAsia="仿宋_GB2312"/>
          <w:sz w:val="32"/>
          <w:szCs w:val="32"/>
        </w:rPr>
        <w:t xml:space="preserve"> </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rPr>
        <w:t>事业编制</w:t>
      </w:r>
      <w:r>
        <w:rPr>
          <w:rFonts w:hint="eastAsia" w:ascii="仿宋_GB2312" w:hAnsi="黑体" w:eastAsia="仿宋_GB2312"/>
          <w:sz w:val="32"/>
          <w:szCs w:val="32"/>
          <w:lang w:val="en-US" w:eastAsia="zh-CN"/>
        </w:rPr>
        <w:t>211</w:t>
      </w:r>
      <w:r>
        <w:rPr>
          <w:rFonts w:hint="eastAsia" w:ascii="仿宋_GB2312" w:hAnsi="黑体" w:eastAsia="仿宋_GB2312"/>
          <w:sz w:val="32"/>
          <w:szCs w:val="32"/>
        </w:rPr>
        <w:t>人，校长1名，副校长3名。</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rPr>
        <w:t>纳入三亚市教育局部门202</w:t>
      </w:r>
      <w:r>
        <w:rPr>
          <w:rFonts w:hint="eastAsia" w:ascii="仿宋_GB2312" w:hAnsi="黑体" w:eastAsia="仿宋_GB2312"/>
          <w:sz w:val="32"/>
          <w:szCs w:val="32"/>
          <w:lang w:val="en-US" w:eastAsia="zh-CN"/>
        </w:rPr>
        <w:t>3</w:t>
      </w:r>
      <w:r>
        <w:rPr>
          <w:rFonts w:hint="eastAsia" w:ascii="仿宋_GB2312" w:hAnsi="黑体" w:eastAsia="仿宋_GB2312"/>
          <w:sz w:val="32"/>
          <w:szCs w:val="32"/>
        </w:rPr>
        <w:t>年部门预算编制范围的预算单位为三亚市第二中学。</w:t>
      </w:r>
    </w:p>
    <w:p>
      <w:pPr>
        <w:ind w:firstLine="640" w:firstLineChars="200"/>
        <w:rPr>
          <w:rFonts w:ascii="黑体" w:hAnsi="黑体" w:eastAsia="黑体"/>
          <w:sz w:val="32"/>
          <w:szCs w:val="32"/>
        </w:rPr>
      </w:pPr>
      <w:r>
        <w:rPr>
          <w:rFonts w:hint="eastAsia" w:ascii="黑体" w:hAnsi="黑体" w:eastAsia="黑体"/>
          <w:sz w:val="32"/>
          <w:szCs w:val="32"/>
        </w:rPr>
        <w:t>第二部分</w:t>
      </w:r>
      <w:r>
        <w:rPr>
          <w:rFonts w:ascii="黑体" w:hAnsi="黑体" w:eastAsia="黑体"/>
          <w:sz w:val="32"/>
          <w:szCs w:val="32"/>
        </w:rPr>
        <w:t xml:space="preserve"> </w:t>
      </w:r>
      <w:r>
        <w:rPr>
          <w:rFonts w:hint="eastAsia" w:ascii="黑体" w:hAnsi="黑体" w:eastAsia="黑体"/>
          <w:sz w:val="32"/>
          <w:szCs w:val="32"/>
        </w:rPr>
        <w:t>三亚市第二中学单位预算表</w:t>
      </w:r>
    </w:p>
    <w:p>
      <w:pPr>
        <w:ind w:firstLine="640" w:firstLineChars="200"/>
        <w:rPr>
          <w:rFonts w:hint="eastAsia" w:ascii="仿宋_GB2312" w:hAnsi="黑体" w:eastAsia="仿宋_GB2312"/>
          <w:sz w:val="32"/>
          <w:szCs w:val="32"/>
        </w:rPr>
      </w:pPr>
    </w:p>
    <w:p>
      <w:pPr>
        <w:ind w:firstLine="480" w:firstLineChars="150"/>
        <w:rPr>
          <w:rFonts w:ascii="黑体" w:hAnsi="黑体" w:eastAsia="黑体"/>
          <w:sz w:val="32"/>
          <w:szCs w:val="32"/>
        </w:rPr>
      </w:pPr>
      <w:r>
        <w:rPr>
          <w:rFonts w:hint="eastAsia" w:ascii="黑体" w:hAnsi="黑体" w:eastAsia="黑体"/>
          <w:sz w:val="32"/>
          <w:szCs w:val="32"/>
        </w:rPr>
        <w:t>第三部分</w:t>
      </w:r>
      <w:r>
        <w:rPr>
          <w:rFonts w:ascii="黑体" w:hAnsi="黑体" w:eastAsia="黑体"/>
          <w:sz w:val="32"/>
          <w:szCs w:val="32"/>
        </w:rPr>
        <w:t xml:space="preserve"> </w:t>
      </w:r>
      <w:r>
        <w:rPr>
          <w:rFonts w:hint="eastAsia" w:ascii="黑体" w:hAnsi="黑体" w:eastAsia="黑体"/>
          <w:sz w:val="32"/>
          <w:szCs w:val="32"/>
        </w:rPr>
        <w:t>三亚市第二中学</w:t>
      </w:r>
      <w:r>
        <w:rPr>
          <w:rFonts w:ascii="黑体" w:hAnsi="黑体" w:eastAsia="黑体"/>
          <w:sz w:val="32"/>
          <w:szCs w:val="32"/>
        </w:rPr>
        <w:t>2023</w:t>
      </w:r>
      <w:r>
        <w:rPr>
          <w:rFonts w:hint="eastAsia" w:ascii="黑体" w:hAnsi="黑体" w:eastAsia="黑体"/>
          <w:sz w:val="32"/>
          <w:szCs w:val="32"/>
        </w:rPr>
        <w:t>年单位预算情况说明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一、关于三亚市第二中学</w:t>
      </w:r>
      <w:r>
        <w:rPr>
          <w:rFonts w:ascii="黑体" w:hAnsi="黑体" w:eastAsia="黑体"/>
          <w:sz w:val="32"/>
          <w:szCs w:val="32"/>
        </w:rPr>
        <w:t>2023</w:t>
      </w:r>
      <w:r>
        <w:rPr>
          <w:rFonts w:hint="eastAsia" w:ascii="黑体" w:hAnsi="黑体" w:eastAsia="黑体"/>
          <w:sz w:val="32"/>
          <w:szCs w:val="32"/>
        </w:rPr>
        <w:t>年财政拨款收支预算情况的总体说明</w:t>
      </w:r>
    </w:p>
    <w:p>
      <w:pPr>
        <w:ind w:firstLine="640" w:firstLineChars="200"/>
        <w:jc w:val="left"/>
        <w:rPr>
          <w:rFonts w:hint="eastAsia" w:ascii="仿宋_GB2312" w:hAnsi="黑体" w:eastAsia="仿宋_GB2312"/>
          <w:sz w:val="32"/>
          <w:szCs w:val="32"/>
        </w:rPr>
      </w:pPr>
      <w:r>
        <w:rPr>
          <w:rFonts w:hint="eastAsia" w:ascii="仿宋_GB2312" w:hAnsi="黑体" w:eastAsia="仿宋_GB2312"/>
          <w:sz w:val="32"/>
          <w:szCs w:val="32"/>
        </w:rPr>
        <w:t>三亚市第二中学2023年财政拨款收支总预算</w:t>
      </w:r>
      <w:r>
        <w:rPr>
          <w:rFonts w:hint="eastAsia" w:ascii="仿宋_GB2312" w:hAnsi="黑体" w:eastAsia="仿宋_GB2312" w:cs="??_GB2312"/>
          <w:sz w:val="32"/>
          <w:szCs w:val="32"/>
        </w:rPr>
        <w:t>6409.80</w:t>
      </w:r>
      <w:r>
        <w:rPr>
          <w:rFonts w:hint="eastAsia" w:ascii="仿宋_GB2312" w:hAnsi="黑体" w:eastAsia="仿宋_GB2312"/>
          <w:sz w:val="32"/>
          <w:szCs w:val="32"/>
        </w:rPr>
        <w:t>万元。其中，收入总计</w:t>
      </w:r>
      <w:r>
        <w:rPr>
          <w:rFonts w:hint="eastAsia" w:ascii="仿宋_GB2312" w:hAnsi="黑体" w:eastAsia="仿宋_GB2312" w:cs="??_GB2312"/>
          <w:sz w:val="32"/>
          <w:szCs w:val="32"/>
        </w:rPr>
        <w:t>6409.80</w:t>
      </w:r>
      <w:r>
        <w:rPr>
          <w:rFonts w:hint="eastAsia" w:ascii="仿宋_GB2312" w:hAnsi="黑体" w:eastAsia="仿宋_GB2312"/>
          <w:sz w:val="32"/>
          <w:szCs w:val="32"/>
        </w:rPr>
        <w:t>万元，包括一般公共预算本年收入</w:t>
      </w:r>
      <w:r>
        <w:rPr>
          <w:rFonts w:hint="eastAsia" w:ascii="仿宋_GB2312" w:hAnsi="黑体" w:eastAsia="仿宋_GB2312" w:cs="??_GB2312"/>
          <w:sz w:val="32"/>
          <w:szCs w:val="32"/>
        </w:rPr>
        <w:t>6409.65</w:t>
      </w:r>
      <w:r>
        <w:rPr>
          <w:rFonts w:hint="eastAsia" w:ascii="仿宋_GB2312" w:hAnsi="黑体" w:eastAsia="仿宋_GB2312"/>
          <w:sz w:val="32"/>
          <w:szCs w:val="32"/>
        </w:rPr>
        <w:t>万元、上年结转</w:t>
      </w:r>
      <w:r>
        <w:rPr>
          <w:rFonts w:hint="eastAsia" w:ascii="仿宋_GB2312" w:hAnsi="黑体" w:eastAsia="仿宋_GB2312" w:cs="??_GB2312"/>
          <w:sz w:val="32"/>
          <w:szCs w:val="32"/>
        </w:rPr>
        <w:t>0.15</w:t>
      </w:r>
      <w:r>
        <w:rPr>
          <w:rFonts w:hint="eastAsia" w:ascii="仿宋_GB2312" w:hAnsi="黑体" w:eastAsia="仿宋_GB2312"/>
          <w:sz w:val="32"/>
          <w:szCs w:val="32"/>
        </w:rPr>
        <w:t>万元；支出总计</w:t>
      </w:r>
      <w:r>
        <w:rPr>
          <w:rFonts w:hint="eastAsia" w:ascii="仿宋_GB2312" w:hAnsi="黑体" w:eastAsia="仿宋_GB2312" w:cs="??_GB2312"/>
          <w:sz w:val="32"/>
          <w:szCs w:val="32"/>
        </w:rPr>
        <w:t>6409.80</w:t>
      </w:r>
      <w:r>
        <w:rPr>
          <w:rFonts w:hint="eastAsia" w:ascii="仿宋_GB2312" w:hAnsi="黑体" w:eastAsia="仿宋_GB2312"/>
          <w:sz w:val="32"/>
          <w:szCs w:val="32"/>
        </w:rPr>
        <w:t>万元，包括教育支出</w:t>
      </w:r>
      <w:r>
        <w:rPr>
          <w:rFonts w:hint="eastAsia" w:ascii="仿宋_GB2312" w:hAnsi="黑体" w:eastAsia="仿宋_GB2312" w:cs="??_GB2312"/>
          <w:sz w:val="32"/>
          <w:szCs w:val="32"/>
        </w:rPr>
        <w:t>3690.08</w:t>
      </w:r>
      <w:r>
        <w:rPr>
          <w:rFonts w:hint="eastAsia" w:ascii="仿宋_GB2312" w:hAnsi="黑体" w:eastAsia="仿宋_GB2312"/>
          <w:sz w:val="32"/>
          <w:szCs w:val="32"/>
        </w:rPr>
        <w:t>万元、社会保障和就业支出</w:t>
      </w:r>
      <w:r>
        <w:rPr>
          <w:rFonts w:hint="eastAsia" w:ascii="仿宋_GB2312" w:hAnsi="黑体" w:eastAsia="仿宋_GB2312" w:cs="??_GB2312"/>
          <w:sz w:val="32"/>
          <w:szCs w:val="32"/>
        </w:rPr>
        <w:t>1655.15</w:t>
      </w:r>
      <w:r>
        <w:rPr>
          <w:rFonts w:hint="eastAsia" w:ascii="仿宋_GB2312" w:hAnsi="黑体" w:eastAsia="仿宋_GB2312"/>
          <w:sz w:val="32"/>
          <w:szCs w:val="32"/>
        </w:rPr>
        <w:t>万元、卫生健康支出</w:t>
      </w:r>
      <w:r>
        <w:rPr>
          <w:rFonts w:hint="eastAsia" w:ascii="仿宋_GB2312" w:hAnsi="黑体" w:eastAsia="仿宋_GB2312" w:cs="??_GB2312"/>
          <w:sz w:val="32"/>
          <w:szCs w:val="32"/>
        </w:rPr>
        <w:t>691.67</w:t>
      </w:r>
      <w:r>
        <w:rPr>
          <w:rFonts w:hint="eastAsia" w:ascii="仿宋_GB2312" w:hAnsi="黑体" w:eastAsia="仿宋_GB2312"/>
          <w:sz w:val="32"/>
          <w:szCs w:val="32"/>
        </w:rPr>
        <w:t>万元、住房保障支出372.90万元。</w:t>
      </w:r>
    </w:p>
    <w:p>
      <w:pPr>
        <w:ind w:firstLine="640"/>
        <w:jc w:val="left"/>
        <w:rPr>
          <w:rFonts w:ascii="黑体" w:hAnsi="黑体" w:eastAsia="黑体"/>
          <w:sz w:val="32"/>
          <w:szCs w:val="32"/>
        </w:rPr>
      </w:pPr>
      <w:r>
        <w:rPr>
          <w:rFonts w:hint="eastAsia" w:ascii="黑体" w:hAnsi="黑体" w:eastAsia="黑体"/>
          <w:sz w:val="32"/>
          <w:szCs w:val="32"/>
        </w:rPr>
        <w:t>二、关于三亚市第二中学</w:t>
      </w:r>
      <w:r>
        <w:rPr>
          <w:rFonts w:ascii="黑体" w:hAnsi="黑体" w:eastAsia="黑体"/>
          <w:sz w:val="32"/>
          <w:szCs w:val="32"/>
        </w:rPr>
        <w:t>2023</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rPr>
        <w:t>三亚市第二中学2023年一般公共预算当年拨款</w:t>
      </w:r>
      <w:r>
        <w:rPr>
          <w:rFonts w:hint="eastAsia" w:ascii="仿宋_GB2312" w:hAnsi="黑体" w:eastAsia="仿宋_GB2312" w:cs="??_GB2312"/>
          <w:sz w:val="32"/>
          <w:szCs w:val="32"/>
        </w:rPr>
        <w:t>6409.80</w:t>
      </w:r>
      <w:r>
        <w:rPr>
          <w:rFonts w:hint="eastAsia" w:ascii="仿宋_GB2312" w:hAnsi="黑体" w:eastAsia="仿宋_GB2312"/>
          <w:sz w:val="32"/>
          <w:szCs w:val="32"/>
        </w:rPr>
        <w:t>万元，比上年预算数</w:t>
      </w:r>
      <w:r>
        <w:rPr>
          <w:rFonts w:hint="eastAsia" w:ascii="仿宋_GB2312" w:hAnsi="黑体" w:eastAsia="仿宋_GB2312" w:cs="??_GB2312"/>
          <w:sz w:val="32"/>
          <w:szCs w:val="32"/>
        </w:rPr>
        <w:t>增加1847.98</w:t>
      </w:r>
      <w:r>
        <w:rPr>
          <w:rFonts w:hint="eastAsia" w:ascii="仿宋_GB2312" w:hAnsi="黑体" w:eastAsia="仿宋_GB2312"/>
          <w:sz w:val="32"/>
          <w:szCs w:val="32"/>
        </w:rPr>
        <w:t>万元，主要是教育支出增加311.36万元、社会保障和就业支出增加1251.18万元、卫生健康支出减少162.50万元、住房保障支出增加122.94万元。</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640"/>
        <w:jc w:val="left"/>
        <w:rPr>
          <w:rFonts w:hint="eastAsia" w:ascii="仿宋_GB2312" w:hAnsi="黑体" w:eastAsia="仿宋_GB2312"/>
          <w:sz w:val="32"/>
          <w:szCs w:val="32"/>
        </w:rPr>
      </w:pPr>
      <w:r>
        <w:rPr>
          <w:rFonts w:hint="eastAsia" w:ascii="仿宋_GB2312" w:hAnsi="黑体" w:eastAsia="仿宋_GB2312"/>
          <w:sz w:val="32"/>
          <w:szCs w:val="32"/>
        </w:rPr>
        <w:t>教育支出</w:t>
      </w:r>
      <w:r>
        <w:rPr>
          <w:rFonts w:hint="eastAsia" w:ascii="仿宋_GB2312" w:hAnsi="黑体" w:eastAsia="仿宋_GB2312" w:cs="??_GB2312"/>
          <w:sz w:val="32"/>
          <w:szCs w:val="32"/>
        </w:rPr>
        <w:t>3690.08</w:t>
      </w:r>
      <w:r>
        <w:rPr>
          <w:rFonts w:hint="eastAsia" w:ascii="仿宋_GB2312" w:hAnsi="黑体" w:eastAsia="仿宋_GB2312"/>
          <w:sz w:val="32"/>
          <w:szCs w:val="32"/>
        </w:rPr>
        <w:t>万元，占</w:t>
      </w:r>
      <w:r>
        <w:rPr>
          <w:rFonts w:hint="eastAsia" w:ascii="仿宋_GB2312" w:hAnsi="黑体" w:eastAsia="仿宋_GB2312" w:cs="??_GB2312"/>
          <w:sz w:val="32"/>
          <w:szCs w:val="32"/>
        </w:rPr>
        <w:t>57.57</w:t>
      </w:r>
      <w:r>
        <w:rPr>
          <w:rFonts w:hint="eastAsia" w:ascii="仿宋_GB2312" w:hAnsi="黑体" w:eastAsia="仿宋_GB2312"/>
          <w:sz w:val="32"/>
          <w:szCs w:val="32"/>
        </w:rPr>
        <w:t>%；社会保障和就业支出</w:t>
      </w:r>
      <w:r>
        <w:rPr>
          <w:rFonts w:hint="eastAsia" w:ascii="仿宋_GB2312" w:hAnsi="黑体" w:eastAsia="仿宋_GB2312" w:cs="??_GB2312"/>
          <w:sz w:val="32"/>
          <w:szCs w:val="32"/>
        </w:rPr>
        <w:t>1655.15</w:t>
      </w:r>
      <w:r>
        <w:rPr>
          <w:rFonts w:hint="eastAsia" w:ascii="仿宋_GB2312" w:hAnsi="黑体" w:eastAsia="仿宋_GB2312"/>
          <w:sz w:val="32"/>
          <w:szCs w:val="32"/>
        </w:rPr>
        <w:t>万元，占</w:t>
      </w:r>
      <w:r>
        <w:rPr>
          <w:rFonts w:hint="eastAsia" w:ascii="仿宋_GB2312" w:hAnsi="黑体" w:eastAsia="仿宋_GB2312" w:cs="??_GB2312"/>
          <w:sz w:val="32"/>
          <w:szCs w:val="32"/>
        </w:rPr>
        <w:t>25.82</w:t>
      </w:r>
      <w:r>
        <w:rPr>
          <w:rFonts w:hint="eastAsia" w:ascii="仿宋_GB2312" w:hAnsi="黑体" w:eastAsia="仿宋_GB2312"/>
          <w:sz w:val="32"/>
          <w:szCs w:val="32"/>
        </w:rPr>
        <w:t>%；卫生健康支出</w:t>
      </w:r>
      <w:r>
        <w:rPr>
          <w:rFonts w:hint="eastAsia" w:ascii="仿宋_GB2312" w:hAnsi="黑体" w:eastAsia="仿宋_GB2312" w:cs="??_GB2312"/>
          <w:sz w:val="32"/>
          <w:szCs w:val="32"/>
        </w:rPr>
        <w:t>691.67</w:t>
      </w:r>
      <w:r>
        <w:rPr>
          <w:rFonts w:hint="eastAsia" w:ascii="仿宋_GB2312" w:hAnsi="黑体" w:eastAsia="仿宋_GB2312"/>
          <w:sz w:val="32"/>
          <w:szCs w:val="32"/>
        </w:rPr>
        <w:t>万元，占</w:t>
      </w:r>
      <w:r>
        <w:rPr>
          <w:rFonts w:hint="eastAsia" w:ascii="仿宋_GB2312" w:hAnsi="黑体" w:eastAsia="仿宋_GB2312" w:cs="??_GB2312"/>
          <w:sz w:val="32"/>
          <w:szCs w:val="32"/>
        </w:rPr>
        <w:t>10.79</w:t>
      </w:r>
      <w:r>
        <w:rPr>
          <w:rFonts w:hint="eastAsia" w:ascii="仿宋_GB2312" w:hAnsi="黑体" w:eastAsia="仿宋_GB2312"/>
          <w:sz w:val="32"/>
          <w:szCs w:val="32"/>
        </w:rPr>
        <w:t>%；住房保障支出372.90万元，占</w:t>
      </w:r>
      <w:r>
        <w:rPr>
          <w:rFonts w:hint="eastAsia" w:ascii="仿宋_GB2312" w:hAnsi="黑体" w:eastAsia="仿宋_GB2312" w:cs="??_GB2312"/>
          <w:sz w:val="32"/>
          <w:szCs w:val="32"/>
        </w:rPr>
        <w:t>5.82</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hint="eastAsia" w:ascii="仿宋_GB2312" w:hAnsi="Times New Roman" w:eastAsia="仿宋_GB2312" w:cs="Times New Roman"/>
          <w:color w:val="000000"/>
          <w:sz w:val="32"/>
          <w:szCs w:val="32"/>
          <w:highlight w:val="none"/>
        </w:rPr>
      </w:pPr>
      <w:r>
        <w:rPr>
          <w:rFonts w:hint="eastAsia" w:ascii="仿宋_GB2312" w:hAnsi="Times New Roman" w:eastAsia="仿宋_GB2312" w:cs="Times New Roman"/>
          <w:color w:val="000000"/>
          <w:sz w:val="32"/>
          <w:szCs w:val="32"/>
        </w:rPr>
        <w:t>1.</w:t>
      </w:r>
      <w:r>
        <w:rPr>
          <w:rFonts w:hint="eastAsia" w:ascii="仿宋_GB2312" w:hAnsi="宋体" w:eastAsia="仿宋_GB2312" w:cs="宋体"/>
          <w:color w:val="000000"/>
          <w:sz w:val="32"/>
          <w:szCs w:val="32"/>
        </w:rPr>
        <w:t>教育支出（类）普通教育（款）初中教育（项）</w:t>
      </w:r>
      <w:r>
        <w:rPr>
          <w:rFonts w:hint="eastAsia" w:ascii="仿宋_GB2312" w:hAnsi="Times New Roman" w:eastAsia="仿宋_GB2312" w:cs="Times New Roman"/>
          <w:color w:val="000000"/>
          <w:sz w:val="32"/>
          <w:szCs w:val="32"/>
        </w:rPr>
        <w:t>2023</w:t>
      </w:r>
      <w:r>
        <w:rPr>
          <w:rFonts w:hint="eastAsia" w:ascii="仿宋_GB2312" w:hAnsi="宋体" w:eastAsia="仿宋_GB2312" w:cs="宋体"/>
          <w:color w:val="000000"/>
          <w:sz w:val="32"/>
          <w:szCs w:val="32"/>
        </w:rPr>
        <w:t>年预算数为</w:t>
      </w:r>
      <w:r>
        <w:rPr>
          <w:rFonts w:hint="eastAsia" w:ascii="仿宋_GB2312" w:hAnsi="黑体" w:eastAsia="仿宋_GB2312" w:cs="??_GB2312"/>
          <w:sz w:val="32"/>
          <w:szCs w:val="32"/>
        </w:rPr>
        <w:t>3690.08</w:t>
      </w:r>
      <w:r>
        <w:rPr>
          <w:rFonts w:hint="eastAsia" w:ascii="仿宋_GB2312" w:hAnsi="宋体" w:eastAsia="仿宋_GB2312" w:cs="宋体"/>
          <w:color w:val="000000"/>
          <w:sz w:val="32"/>
          <w:szCs w:val="32"/>
        </w:rPr>
        <w:t>万元，比上年预算数增加</w:t>
      </w:r>
      <w:r>
        <w:rPr>
          <w:rFonts w:hint="eastAsia" w:ascii="仿宋_GB2312" w:hAnsi="黑体" w:eastAsia="仿宋_GB2312"/>
          <w:sz w:val="32"/>
          <w:szCs w:val="32"/>
        </w:rPr>
        <w:t>311.36</w:t>
      </w:r>
      <w:r>
        <w:rPr>
          <w:rFonts w:hint="eastAsia" w:ascii="仿宋_GB2312" w:hAnsi="宋体" w:eastAsia="仿宋_GB2312" w:cs="宋体"/>
          <w:color w:val="000000"/>
          <w:sz w:val="32"/>
          <w:szCs w:val="32"/>
        </w:rPr>
        <w:t>万元，主要是</w:t>
      </w:r>
      <w:r>
        <w:rPr>
          <w:rFonts w:hint="eastAsia" w:ascii="仿宋_GB2312" w:hAnsi="宋体" w:eastAsia="仿宋_GB2312" w:cs="宋体"/>
          <w:color w:val="000000"/>
          <w:sz w:val="32"/>
          <w:szCs w:val="32"/>
          <w:highlight w:val="none"/>
          <w:lang w:val="en-US" w:eastAsia="zh-CN"/>
        </w:rPr>
        <w:t>人员经费增加</w:t>
      </w:r>
      <w:r>
        <w:rPr>
          <w:rFonts w:hint="eastAsia" w:ascii="仿宋_GB2312" w:hAnsi="宋体" w:eastAsia="仿宋_GB2312" w:cs="宋体"/>
          <w:color w:val="000000"/>
          <w:sz w:val="32"/>
          <w:szCs w:val="32"/>
          <w:highlight w:val="none"/>
        </w:rPr>
        <w:t>。</w:t>
      </w:r>
    </w:p>
    <w:p>
      <w:pPr>
        <w:ind w:firstLine="640" w:firstLineChars="200"/>
        <w:rPr>
          <w:rFonts w:hint="eastAsia" w:ascii="仿宋_GB2312" w:hAnsi="Times New Roman" w:eastAsia="仿宋_GB2312" w:cs="Times New Roman"/>
          <w:color w:val="000000"/>
          <w:sz w:val="32"/>
          <w:szCs w:val="32"/>
        </w:rPr>
      </w:pPr>
      <w:r>
        <w:rPr>
          <w:rFonts w:hint="eastAsia" w:ascii="仿宋_GB2312" w:hAnsi="Times New Roman" w:eastAsia="仿宋_GB2312" w:cs="Times New Roman"/>
          <w:color w:val="000000"/>
          <w:sz w:val="32"/>
          <w:szCs w:val="32"/>
        </w:rPr>
        <w:t>2.</w:t>
      </w:r>
      <w:r>
        <w:rPr>
          <w:rFonts w:hint="eastAsia" w:ascii="仿宋_GB2312" w:hAnsi="宋体" w:eastAsia="仿宋_GB2312" w:cs="宋体"/>
          <w:color w:val="000000"/>
          <w:sz w:val="32"/>
          <w:szCs w:val="32"/>
        </w:rPr>
        <w:t>社会保障和就业支出（类）行政事业单位养老支出（款）机关事业单位基本养老保险缴费支出（项）</w:t>
      </w:r>
      <w:r>
        <w:rPr>
          <w:rFonts w:hint="eastAsia" w:ascii="仿宋_GB2312" w:hAnsi="Times New Roman" w:eastAsia="仿宋_GB2312" w:cs="Times New Roman"/>
          <w:color w:val="000000"/>
          <w:sz w:val="32"/>
          <w:szCs w:val="32"/>
        </w:rPr>
        <w:t>2023</w:t>
      </w:r>
      <w:r>
        <w:rPr>
          <w:rFonts w:hint="eastAsia" w:ascii="仿宋_GB2312" w:hAnsi="宋体" w:eastAsia="仿宋_GB2312" w:cs="宋体"/>
          <w:color w:val="000000"/>
          <w:sz w:val="32"/>
          <w:szCs w:val="32"/>
        </w:rPr>
        <w:t>年预算数为</w:t>
      </w:r>
      <w:r>
        <w:rPr>
          <w:rFonts w:hint="eastAsia" w:ascii="仿宋_GB2312" w:hAnsi="黑体" w:eastAsia="仿宋_GB2312" w:cs="??_GB2312"/>
          <w:sz w:val="32"/>
          <w:szCs w:val="32"/>
        </w:rPr>
        <w:t>437.48</w:t>
      </w:r>
      <w:r>
        <w:rPr>
          <w:rFonts w:hint="eastAsia" w:ascii="仿宋_GB2312" w:hAnsi="宋体" w:eastAsia="仿宋_GB2312" w:cs="宋体"/>
          <w:color w:val="000000"/>
          <w:sz w:val="32"/>
          <w:szCs w:val="32"/>
        </w:rPr>
        <w:t>万元，比上年预算增加</w:t>
      </w:r>
      <w:r>
        <w:rPr>
          <w:rFonts w:hint="eastAsia" w:ascii="仿宋_GB2312" w:hAnsi="黑体" w:eastAsia="仿宋_GB2312"/>
          <w:sz w:val="32"/>
          <w:szCs w:val="32"/>
        </w:rPr>
        <w:t>115.85</w:t>
      </w:r>
      <w:r>
        <w:rPr>
          <w:rFonts w:hint="eastAsia" w:ascii="仿宋_GB2312" w:hAnsi="宋体" w:eastAsia="仿宋_GB2312" w:cs="宋体"/>
          <w:color w:val="000000"/>
          <w:sz w:val="32"/>
          <w:szCs w:val="32"/>
        </w:rPr>
        <w:t>万元</w:t>
      </w:r>
      <w:bookmarkStart w:id="0" w:name="_Hlk66778615"/>
      <w:r>
        <w:rPr>
          <w:rFonts w:hint="eastAsia" w:ascii="仿宋_GB2312" w:hAnsi="宋体" w:eastAsia="仿宋_GB2312" w:cs="宋体"/>
          <w:color w:val="000000"/>
          <w:sz w:val="32"/>
          <w:szCs w:val="32"/>
        </w:rPr>
        <w:t>，主要是新进人员和岗位晋升及绩效考核纳入养老基数。</w:t>
      </w:r>
      <w:bookmarkEnd w:id="0"/>
    </w:p>
    <w:p>
      <w:pPr>
        <w:ind w:firstLine="640" w:firstLineChars="200"/>
        <w:rPr>
          <w:rFonts w:hint="eastAsia" w:ascii="仿宋_GB2312" w:hAnsi="Times New Roman" w:eastAsia="仿宋_GB2312" w:cs="Times New Roman"/>
          <w:color w:val="000000"/>
          <w:sz w:val="32"/>
          <w:szCs w:val="32"/>
        </w:rPr>
      </w:pPr>
      <w:r>
        <w:rPr>
          <w:rFonts w:hint="eastAsia" w:ascii="仿宋_GB2312" w:hAnsi="Times New Roman" w:eastAsia="仿宋_GB2312" w:cs="Times New Roman"/>
          <w:color w:val="000000"/>
          <w:sz w:val="32"/>
          <w:szCs w:val="32"/>
        </w:rPr>
        <w:t>3.</w:t>
      </w:r>
      <w:r>
        <w:rPr>
          <w:rFonts w:hint="eastAsia" w:ascii="仿宋_GB2312" w:hAnsi="宋体" w:eastAsia="仿宋_GB2312" w:cs="宋体"/>
          <w:color w:val="000000"/>
          <w:sz w:val="32"/>
          <w:szCs w:val="32"/>
        </w:rPr>
        <w:t>社会保障和就业支出（类）行政事业单位养老支出（款）机关事业单位职业年金缴费支出（项）</w:t>
      </w:r>
      <w:r>
        <w:rPr>
          <w:rFonts w:hint="eastAsia" w:ascii="仿宋_GB2312" w:hAnsi="Times New Roman" w:eastAsia="仿宋_GB2312" w:cs="Times New Roman"/>
          <w:color w:val="000000"/>
          <w:sz w:val="32"/>
          <w:szCs w:val="32"/>
        </w:rPr>
        <w:t>2023</w:t>
      </w:r>
      <w:r>
        <w:rPr>
          <w:rFonts w:hint="eastAsia" w:ascii="仿宋_GB2312" w:hAnsi="宋体" w:eastAsia="仿宋_GB2312" w:cs="宋体"/>
          <w:color w:val="000000"/>
          <w:sz w:val="32"/>
          <w:szCs w:val="32"/>
        </w:rPr>
        <w:t>年预算数为</w:t>
      </w:r>
      <w:r>
        <w:rPr>
          <w:rFonts w:hint="eastAsia" w:ascii="仿宋_GB2312" w:hAnsi="Times New Roman" w:eastAsia="仿宋_GB2312" w:cs="Times New Roman"/>
          <w:color w:val="000000"/>
          <w:sz w:val="32"/>
          <w:szCs w:val="32"/>
        </w:rPr>
        <w:t>1203.32</w:t>
      </w:r>
      <w:r>
        <w:rPr>
          <w:rFonts w:hint="eastAsia" w:ascii="仿宋_GB2312" w:hAnsi="宋体" w:eastAsia="仿宋_GB2312" w:cs="宋体"/>
          <w:color w:val="000000"/>
          <w:sz w:val="32"/>
          <w:szCs w:val="32"/>
        </w:rPr>
        <w:t>万元，比上年预算增加</w:t>
      </w:r>
      <w:r>
        <w:rPr>
          <w:rFonts w:hint="eastAsia" w:ascii="仿宋_GB2312" w:hAnsi="Times New Roman" w:eastAsia="仿宋_GB2312" w:cs="Times New Roman"/>
          <w:color w:val="000000"/>
          <w:sz w:val="32"/>
          <w:szCs w:val="32"/>
        </w:rPr>
        <w:t>1133.32</w:t>
      </w:r>
      <w:r>
        <w:rPr>
          <w:rFonts w:hint="eastAsia" w:ascii="仿宋_GB2312" w:hAnsi="宋体" w:eastAsia="仿宋_GB2312" w:cs="宋体"/>
          <w:color w:val="000000"/>
          <w:sz w:val="32"/>
          <w:szCs w:val="32"/>
        </w:rPr>
        <w:t>万元，主要是退休人员记实和职业年金做实。</w:t>
      </w:r>
    </w:p>
    <w:p>
      <w:pPr>
        <w:ind w:firstLine="640" w:firstLineChars="200"/>
        <w:rPr>
          <w:rFonts w:hint="eastAsia" w:ascii="仿宋_GB2312" w:hAnsi="Times New Roman" w:eastAsia="仿宋_GB2312" w:cs="Times New Roman"/>
          <w:color w:val="000000"/>
          <w:sz w:val="32"/>
          <w:szCs w:val="32"/>
        </w:rPr>
      </w:pPr>
      <w:r>
        <w:rPr>
          <w:rFonts w:hint="eastAsia" w:ascii="仿宋_GB2312" w:hAnsi="Times New Roman" w:eastAsia="仿宋_GB2312" w:cs="Times New Roman"/>
          <w:color w:val="000000"/>
          <w:sz w:val="32"/>
          <w:szCs w:val="32"/>
        </w:rPr>
        <w:t>4.</w:t>
      </w:r>
      <w:r>
        <w:rPr>
          <w:rFonts w:hint="eastAsia" w:ascii="仿宋_GB2312" w:hAnsi="宋体" w:eastAsia="仿宋_GB2312" w:cs="宋体"/>
          <w:color w:val="000000"/>
          <w:sz w:val="32"/>
          <w:szCs w:val="32"/>
        </w:rPr>
        <w:t>社会保障和就业支出（类）抚恤（款）其他优抚支出支出（项）</w:t>
      </w:r>
      <w:r>
        <w:rPr>
          <w:rFonts w:hint="eastAsia" w:ascii="仿宋_GB2312" w:hAnsi="Times New Roman" w:eastAsia="仿宋_GB2312" w:cs="Times New Roman"/>
          <w:color w:val="000000"/>
          <w:sz w:val="32"/>
          <w:szCs w:val="32"/>
        </w:rPr>
        <w:t>2023</w:t>
      </w:r>
      <w:r>
        <w:rPr>
          <w:rFonts w:hint="eastAsia" w:ascii="仿宋_GB2312" w:hAnsi="宋体" w:eastAsia="仿宋_GB2312" w:cs="宋体"/>
          <w:color w:val="000000"/>
          <w:sz w:val="32"/>
          <w:szCs w:val="32"/>
        </w:rPr>
        <w:t>年预算数为</w:t>
      </w:r>
      <w:r>
        <w:rPr>
          <w:rFonts w:hint="eastAsia" w:ascii="仿宋_GB2312" w:hAnsi="Times New Roman" w:eastAsia="仿宋_GB2312" w:cs="Times New Roman"/>
          <w:color w:val="000000"/>
          <w:sz w:val="32"/>
          <w:szCs w:val="32"/>
        </w:rPr>
        <w:t>14.36</w:t>
      </w:r>
      <w:r>
        <w:rPr>
          <w:rFonts w:hint="eastAsia" w:ascii="仿宋_GB2312" w:hAnsi="宋体" w:eastAsia="仿宋_GB2312" w:cs="宋体"/>
          <w:color w:val="000000"/>
          <w:sz w:val="32"/>
          <w:szCs w:val="32"/>
        </w:rPr>
        <w:t>万元，比上年预算增加</w:t>
      </w:r>
      <w:r>
        <w:rPr>
          <w:rFonts w:hint="eastAsia" w:ascii="仿宋_GB2312" w:hAnsi="Times New Roman" w:eastAsia="仿宋_GB2312" w:cs="Times New Roman"/>
          <w:color w:val="000000"/>
          <w:sz w:val="32"/>
          <w:szCs w:val="32"/>
        </w:rPr>
        <w:t>2.03</w:t>
      </w:r>
      <w:r>
        <w:rPr>
          <w:rFonts w:hint="eastAsia" w:ascii="仿宋_GB2312" w:hAnsi="宋体" w:eastAsia="仿宋_GB2312" w:cs="宋体"/>
          <w:color w:val="000000"/>
          <w:sz w:val="32"/>
          <w:szCs w:val="32"/>
        </w:rPr>
        <w:t>万元，主要是遗属人员待遇提高。</w:t>
      </w:r>
    </w:p>
    <w:p>
      <w:pPr>
        <w:ind w:firstLine="640" w:firstLineChars="200"/>
        <w:rPr>
          <w:rFonts w:hint="eastAsia" w:ascii="仿宋_GB2312" w:hAnsi="Times New Roman" w:eastAsia="仿宋_GB2312" w:cs="Times New Roman"/>
          <w:color w:val="000000"/>
          <w:sz w:val="32"/>
          <w:szCs w:val="32"/>
        </w:rPr>
      </w:pPr>
      <w:r>
        <w:rPr>
          <w:rFonts w:hint="eastAsia" w:ascii="仿宋_GB2312" w:hAnsi="Times New Roman" w:eastAsia="仿宋_GB2312" w:cs="Times New Roman"/>
          <w:color w:val="000000"/>
          <w:sz w:val="32"/>
          <w:szCs w:val="32"/>
        </w:rPr>
        <w:t>5.</w:t>
      </w:r>
      <w:r>
        <w:rPr>
          <w:rFonts w:hint="eastAsia" w:ascii="仿宋_GB2312" w:hAnsi="宋体" w:eastAsia="仿宋_GB2312" w:cs="宋体"/>
          <w:color w:val="000000"/>
          <w:sz w:val="32"/>
          <w:szCs w:val="32"/>
        </w:rPr>
        <w:t>卫生健康支出（类）行政事业单位医疗（款）事业单位医疗（项）</w:t>
      </w:r>
      <w:r>
        <w:rPr>
          <w:rFonts w:hint="eastAsia" w:ascii="仿宋_GB2312" w:hAnsi="Times New Roman" w:eastAsia="仿宋_GB2312" w:cs="Times New Roman"/>
          <w:color w:val="000000"/>
          <w:sz w:val="32"/>
          <w:szCs w:val="32"/>
        </w:rPr>
        <w:t>2023</w:t>
      </w:r>
      <w:r>
        <w:rPr>
          <w:rFonts w:hint="eastAsia" w:ascii="仿宋_GB2312" w:hAnsi="宋体" w:eastAsia="仿宋_GB2312" w:cs="宋体"/>
          <w:color w:val="000000"/>
          <w:sz w:val="32"/>
          <w:szCs w:val="32"/>
        </w:rPr>
        <w:t>年预算数为</w:t>
      </w:r>
      <w:r>
        <w:rPr>
          <w:rFonts w:hint="eastAsia" w:ascii="仿宋_GB2312" w:hAnsi="Times New Roman" w:eastAsia="仿宋_GB2312" w:cs="Times New Roman"/>
          <w:color w:val="000000"/>
          <w:sz w:val="32"/>
          <w:szCs w:val="32"/>
        </w:rPr>
        <w:t>180.92</w:t>
      </w:r>
      <w:r>
        <w:rPr>
          <w:rFonts w:hint="eastAsia" w:ascii="仿宋_GB2312" w:hAnsi="宋体" w:eastAsia="仿宋_GB2312" w:cs="宋体"/>
          <w:color w:val="000000"/>
          <w:sz w:val="32"/>
          <w:szCs w:val="32"/>
        </w:rPr>
        <w:t>万元，比上年度增加</w:t>
      </w:r>
      <w:r>
        <w:rPr>
          <w:rFonts w:hint="eastAsia" w:ascii="仿宋_GB2312" w:hAnsi="Times New Roman" w:eastAsia="仿宋_GB2312" w:cs="Times New Roman"/>
          <w:color w:val="000000"/>
          <w:sz w:val="32"/>
          <w:szCs w:val="32"/>
        </w:rPr>
        <w:t>10.05</w:t>
      </w:r>
      <w:r>
        <w:rPr>
          <w:rFonts w:hint="eastAsia" w:ascii="仿宋_GB2312" w:hAnsi="宋体" w:eastAsia="仿宋_GB2312" w:cs="宋体"/>
          <w:color w:val="000000"/>
          <w:sz w:val="32"/>
          <w:szCs w:val="32"/>
        </w:rPr>
        <w:t>万元，主要是新进人员和岗位晋升。</w:t>
      </w:r>
    </w:p>
    <w:p>
      <w:pPr>
        <w:ind w:firstLine="640" w:firstLineChars="200"/>
        <w:rPr>
          <w:rFonts w:hint="eastAsia" w:ascii="仿宋_GB2312" w:hAnsi="Times New Roman" w:eastAsia="仿宋_GB2312" w:cs="Times New Roman"/>
          <w:color w:val="000000"/>
          <w:sz w:val="32"/>
          <w:szCs w:val="32"/>
        </w:rPr>
      </w:pPr>
      <w:r>
        <w:rPr>
          <w:rFonts w:hint="eastAsia" w:ascii="仿宋_GB2312" w:hAnsi="Times New Roman" w:eastAsia="仿宋_GB2312" w:cs="Times New Roman"/>
          <w:color w:val="000000"/>
          <w:sz w:val="32"/>
          <w:szCs w:val="32"/>
        </w:rPr>
        <w:t>6.</w:t>
      </w:r>
      <w:r>
        <w:rPr>
          <w:rFonts w:hint="eastAsia" w:ascii="仿宋_GB2312" w:hAnsi="宋体" w:eastAsia="仿宋_GB2312" w:cs="宋体"/>
          <w:color w:val="000000"/>
          <w:sz w:val="32"/>
          <w:szCs w:val="32"/>
        </w:rPr>
        <w:t>卫生健康支出（类）行政事业单位医疗（款）公务员医疗补助（项）</w:t>
      </w:r>
      <w:r>
        <w:rPr>
          <w:rFonts w:hint="eastAsia" w:ascii="仿宋_GB2312" w:hAnsi="Times New Roman" w:eastAsia="仿宋_GB2312" w:cs="Times New Roman"/>
          <w:color w:val="000000"/>
          <w:sz w:val="32"/>
          <w:szCs w:val="32"/>
        </w:rPr>
        <w:t>2023</w:t>
      </w:r>
      <w:r>
        <w:rPr>
          <w:rFonts w:hint="eastAsia" w:ascii="仿宋_GB2312" w:hAnsi="宋体" w:eastAsia="仿宋_GB2312" w:cs="宋体"/>
          <w:color w:val="000000"/>
          <w:sz w:val="32"/>
          <w:szCs w:val="32"/>
        </w:rPr>
        <w:t>年预算数为</w:t>
      </w:r>
      <w:r>
        <w:rPr>
          <w:rFonts w:hint="eastAsia" w:ascii="仿宋_GB2312" w:hAnsi="Times New Roman" w:eastAsia="仿宋_GB2312" w:cs="Times New Roman"/>
          <w:color w:val="000000"/>
          <w:sz w:val="32"/>
          <w:szCs w:val="32"/>
        </w:rPr>
        <w:t>510.75</w:t>
      </w:r>
      <w:r>
        <w:rPr>
          <w:rFonts w:hint="eastAsia" w:ascii="仿宋_GB2312" w:hAnsi="宋体" w:eastAsia="仿宋_GB2312" w:cs="宋体"/>
          <w:color w:val="000000"/>
          <w:sz w:val="32"/>
          <w:szCs w:val="32"/>
        </w:rPr>
        <w:t>万元，比上年度增加</w:t>
      </w:r>
      <w:r>
        <w:rPr>
          <w:rFonts w:hint="eastAsia" w:ascii="仿宋_GB2312" w:hAnsi="Times New Roman" w:eastAsia="仿宋_GB2312" w:cs="Times New Roman"/>
          <w:color w:val="000000"/>
          <w:sz w:val="32"/>
          <w:szCs w:val="32"/>
        </w:rPr>
        <w:t>152.45</w:t>
      </w:r>
      <w:r>
        <w:rPr>
          <w:rFonts w:hint="eastAsia" w:ascii="仿宋_GB2312" w:hAnsi="宋体" w:eastAsia="仿宋_GB2312" w:cs="宋体"/>
          <w:color w:val="000000"/>
          <w:sz w:val="32"/>
          <w:szCs w:val="32"/>
        </w:rPr>
        <w:t>万元，主要是新进人员和岗位晋升及绩效考核纳入公补基数。</w:t>
      </w:r>
    </w:p>
    <w:p>
      <w:pPr>
        <w:ind w:firstLine="640" w:firstLineChars="200"/>
        <w:rPr>
          <w:rFonts w:hint="eastAsia" w:ascii="仿宋_GB2312" w:hAnsi="Times New Roman" w:eastAsia="仿宋_GB2312" w:cs="Times New Roman"/>
          <w:color w:val="000000"/>
          <w:sz w:val="32"/>
          <w:szCs w:val="32"/>
        </w:rPr>
      </w:pPr>
      <w:r>
        <w:rPr>
          <w:rFonts w:hint="eastAsia" w:ascii="仿宋_GB2312" w:hAnsi="Times New Roman" w:eastAsia="仿宋_GB2312" w:cs="Times New Roman"/>
          <w:color w:val="000000"/>
          <w:sz w:val="32"/>
          <w:szCs w:val="32"/>
        </w:rPr>
        <w:t>7.</w:t>
      </w:r>
      <w:r>
        <w:rPr>
          <w:rFonts w:hint="eastAsia" w:ascii="仿宋_GB2312" w:hAnsi="宋体" w:eastAsia="仿宋_GB2312" w:cs="宋体"/>
          <w:color w:val="000000"/>
          <w:sz w:val="32"/>
          <w:szCs w:val="32"/>
        </w:rPr>
        <w:t>住房保障支出（类）住房改革支出（款）住房公积金（项）</w:t>
      </w:r>
      <w:r>
        <w:rPr>
          <w:rFonts w:hint="eastAsia" w:ascii="仿宋_GB2312" w:hAnsi="Times New Roman" w:eastAsia="仿宋_GB2312" w:cs="Times New Roman"/>
          <w:color w:val="000000"/>
          <w:sz w:val="32"/>
          <w:szCs w:val="32"/>
        </w:rPr>
        <w:t>2023</w:t>
      </w:r>
      <w:r>
        <w:rPr>
          <w:rFonts w:hint="eastAsia" w:ascii="仿宋_GB2312" w:hAnsi="宋体" w:eastAsia="仿宋_GB2312" w:cs="宋体"/>
          <w:color w:val="000000"/>
          <w:sz w:val="32"/>
          <w:szCs w:val="32"/>
        </w:rPr>
        <w:t>年预算数为</w:t>
      </w:r>
      <w:r>
        <w:rPr>
          <w:rFonts w:hint="eastAsia" w:ascii="仿宋_GB2312" w:hAnsi="Times New Roman" w:eastAsia="仿宋_GB2312" w:cs="Times New Roman"/>
          <w:color w:val="000000"/>
          <w:sz w:val="32"/>
          <w:szCs w:val="32"/>
        </w:rPr>
        <w:t>372.90</w:t>
      </w:r>
      <w:r>
        <w:rPr>
          <w:rFonts w:hint="eastAsia" w:ascii="仿宋_GB2312" w:hAnsi="宋体" w:eastAsia="仿宋_GB2312" w:cs="宋体"/>
          <w:color w:val="000000"/>
          <w:sz w:val="32"/>
          <w:szCs w:val="32"/>
        </w:rPr>
        <w:t>万元，比上年度增加</w:t>
      </w:r>
      <w:r>
        <w:rPr>
          <w:rFonts w:hint="eastAsia" w:ascii="仿宋_GB2312" w:hAnsi="Times New Roman" w:eastAsia="仿宋_GB2312" w:cs="Times New Roman"/>
          <w:color w:val="000000"/>
          <w:sz w:val="32"/>
          <w:szCs w:val="32"/>
        </w:rPr>
        <w:t>128.12</w:t>
      </w:r>
      <w:r>
        <w:rPr>
          <w:rFonts w:hint="eastAsia" w:ascii="仿宋_GB2312" w:hAnsi="宋体" w:eastAsia="仿宋_GB2312" w:cs="宋体"/>
          <w:color w:val="000000"/>
          <w:sz w:val="32"/>
          <w:szCs w:val="32"/>
        </w:rPr>
        <w:t>万元，主要是新进人员和岗位晋升及绩效考核纳入公积金基数。</w:t>
      </w:r>
    </w:p>
    <w:p>
      <w:pPr>
        <w:ind w:firstLine="640"/>
        <w:rPr>
          <w:rFonts w:ascii="黑体" w:hAnsi="黑体" w:eastAsia="黑体"/>
          <w:sz w:val="32"/>
          <w:szCs w:val="32"/>
        </w:rPr>
      </w:pPr>
      <w:r>
        <w:rPr>
          <w:rFonts w:hint="eastAsia" w:ascii="黑体" w:hAnsi="黑体" w:eastAsia="黑体"/>
          <w:sz w:val="32"/>
          <w:szCs w:val="32"/>
        </w:rPr>
        <w:t>三、关于三亚市第二中学</w:t>
      </w:r>
      <w:r>
        <w:rPr>
          <w:rFonts w:ascii="黑体" w:hAnsi="黑体" w:eastAsia="黑体"/>
          <w:sz w:val="32"/>
          <w:szCs w:val="32"/>
        </w:rPr>
        <w:t>2023</w:t>
      </w:r>
      <w:r>
        <w:rPr>
          <w:rFonts w:hint="eastAsia" w:ascii="黑体" w:hAnsi="黑体" w:eastAsia="黑体"/>
          <w:sz w:val="32"/>
          <w:szCs w:val="32"/>
        </w:rPr>
        <w:t>年一般公共预算基本支出情况说明</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rPr>
        <w:t>三亚市第二中学2023年一般公共预算基本支出为</w:t>
      </w:r>
      <w:r>
        <w:rPr>
          <w:rFonts w:hint="eastAsia" w:ascii="仿宋_GB2312" w:hAnsi="黑体" w:eastAsia="仿宋_GB2312" w:cs="??_GB2312"/>
          <w:sz w:val="32"/>
          <w:szCs w:val="32"/>
        </w:rPr>
        <w:t>6349.65</w:t>
      </w:r>
      <w:r>
        <w:rPr>
          <w:rFonts w:hint="eastAsia" w:ascii="仿宋_GB2312" w:hAnsi="黑体" w:eastAsia="仿宋_GB2312"/>
          <w:sz w:val="32"/>
          <w:szCs w:val="32"/>
        </w:rPr>
        <w:t>万元，其中：</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_GB2312"/>
          <w:sz w:val="32"/>
          <w:szCs w:val="32"/>
        </w:rPr>
        <w:t>6122.19</w:t>
      </w:r>
      <w:r>
        <w:rPr>
          <w:rFonts w:hint="eastAsia" w:ascii="仿宋_GB2312" w:hAnsi="黑体" w:eastAsia="仿宋_GB2312"/>
          <w:sz w:val="32"/>
          <w:szCs w:val="32"/>
        </w:rPr>
        <w:t>万元，主要包括：基本工资、津贴补贴、绩效工资、机关事业单位基本养老保险缴费、职业年金缴费、职工基本医疗保险缴费、公务员医疗补助缴费、其他社会保障缴费、住房公积金、医疗费、其他工资福利支出、生活补助、奖励金。</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cs="??_GB2312"/>
          <w:sz w:val="32"/>
          <w:szCs w:val="32"/>
        </w:rPr>
        <w:t>227.46</w:t>
      </w:r>
      <w:r>
        <w:rPr>
          <w:rFonts w:hint="eastAsia" w:ascii="仿宋_GB2312" w:hAnsi="黑体" w:eastAsia="仿宋_GB2312"/>
          <w:sz w:val="32"/>
          <w:szCs w:val="32"/>
        </w:rPr>
        <w:t>万元，主要包括：办公费、邮电费、工会经费、福利费、公务用车运行维护费、其他商品和服务支出、其他社会保障缴费。</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sz w:val="32"/>
          <w:szCs w:val="32"/>
        </w:rPr>
        <w:t>三亚市第二中学</w:t>
      </w:r>
      <w:r>
        <w:rPr>
          <w:rFonts w:ascii="黑体" w:hAnsi="黑体" w:eastAsia="黑体"/>
          <w:sz w:val="32"/>
          <w:szCs w:val="32"/>
        </w:rPr>
        <w:t>2023</w:t>
      </w:r>
      <w:r>
        <w:rPr>
          <w:rFonts w:hint="eastAsia" w:ascii="黑体" w:hAnsi="黑体" w:eastAsia="黑体" w:cs="Times New Roman"/>
          <w:sz w:val="32"/>
          <w:shd w:val="clear" w:color="auto" w:fill="FFFFFF"/>
        </w:rPr>
        <w:t>年“三公”经费预算情况说明</w:t>
      </w:r>
    </w:p>
    <w:p>
      <w:pPr>
        <w:ind w:firstLine="640" w:firstLineChars="200"/>
        <w:rPr>
          <w:rFonts w:hint="eastAsia" w:ascii="??_GB2312" w:hAnsi="黑体" w:eastAsiaTheme="minorEastAsia"/>
          <w:sz w:val="32"/>
          <w:szCs w:val="32"/>
        </w:rPr>
      </w:pPr>
      <w:r>
        <w:rPr>
          <w:rFonts w:ascii="??_GB2312" w:hAnsi="黑体" w:eastAsia="Times New Roman"/>
          <w:sz w:val="32"/>
          <w:szCs w:val="32"/>
        </w:rPr>
        <w:t>（一）三亚市第二中学2023年一般公共预算“三公”经费预算数为</w:t>
      </w:r>
      <w:r>
        <w:rPr>
          <w:rFonts w:ascii="??_GB2312" w:hAnsi="黑体" w:eastAsia="Times New Roman" w:cs="??_GB2312"/>
          <w:sz w:val="32"/>
          <w:szCs w:val="32"/>
        </w:rPr>
        <w:t>1.65</w:t>
      </w:r>
      <w:r>
        <w:rPr>
          <w:rFonts w:ascii="??_GB2312" w:hAnsi="黑体" w:eastAsia="Times New Roman"/>
          <w:sz w:val="32"/>
          <w:szCs w:val="32"/>
        </w:rPr>
        <w:t>万元</w:t>
      </w:r>
      <w:r>
        <w:rPr>
          <w:rFonts w:hint="eastAsia" w:asciiTheme="minorEastAsia" w:hAnsiTheme="minorEastAsia" w:eastAsiaTheme="minorEastAsia"/>
          <w:sz w:val="32"/>
          <w:szCs w:val="32"/>
        </w:rPr>
        <w:t>，</w:t>
      </w:r>
      <w:r>
        <w:rPr>
          <w:rFonts w:ascii="??_GB2312" w:hAnsi="黑体" w:eastAsia="Times New Roman"/>
          <w:sz w:val="32"/>
          <w:szCs w:val="32"/>
        </w:rPr>
        <w:t>其中</w:t>
      </w:r>
      <w:r>
        <w:rPr>
          <w:rFonts w:hint="eastAsia" w:asciiTheme="minorEastAsia" w:hAnsiTheme="minorEastAsia" w:eastAsiaTheme="minorEastAsia"/>
          <w:sz w:val="32"/>
          <w:szCs w:val="32"/>
        </w:rPr>
        <w:t>：</w:t>
      </w:r>
    </w:p>
    <w:p>
      <w:pPr>
        <w:ind w:firstLine="640" w:firstLineChars="200"/>
        <w:rPr>
          <w:rFonts w:ascii="??_GB2312" w:hAnsi="黑体" w:eastAsia="Times New Roman" w:cs="Times New Roman"/>
          <w:sz w:val="32"/>
          <w:szCs w:val="32"/>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年预算持平。公务用车购置及运行费</w:t>
      </w:r>
      <w:r>
        <w:rPr>
          <w:rFonts w:hint="eastAsia" w:ascii="仿宋_GB2312" w:hAnsi="黑体" w:eastAsia="仿宋_GB2312" w:cs="仿宋_GB2312"/>
          <w:sz w:val="32"/>
          <w:szCs w:val="32"/>
        </w:rPr>
        <w:t>1.65</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w:t>
      </w:r>
      <w:r>
        <w:rPr>
          <w:rFonts w:hint="eastAsia" w:ascii="Times New Roman" w:hAnsi="Times New Roman" w:eastAsia="仿宋_GB2312" w:cs="Times New Roman"/>
          <w:sz w:val="32"/>
          <w:shd w:val="clear" w:color="auto" w:fill="FFFFFF"/>
        </w:rPr>
        <w:t>维护</w:t>
      </w:r>
      <w:r>
        <w:rPr>
          <w:rFonts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rPr>
        <w:t>1.65</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ascii="??_GB2312" w:hAnsi="黑体" w:eastAsia="Times New Roman"/>
          <w:sz w:val="32"/>
          <w:szCs w:val="32"/>
        </w:rPr>
        <w:t>。</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rPr>
        <w:t>1辆，计划购置0辆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p>
    <w:p>
      <w:pPr>
        <w:ind w:firstLine="640" w:firstLineChars="200"/>
        <w:rPr>
          <w:rFonts w:ascii="仿宋_GB2312" w:hAnsi="黑体" w:eastAsia="仿宋_GB2312" w:cs="Times New Roman"/>
          <w:sz w:val="32"/>
          <w:szCs w:val="32"/>
        </w:rPr>
      </w:pPr>
      <w:r>
        <w:rPr>
          <w:rFonts w:ascii="??_GB2312" w:hAnsi="黑体" w:eastAsia="Times New Roman"/>
          <w:sz w:val="32"/>
          <w:szCs w:val="32"/>
        </w:rPr>
        <w:t>（二）三亚市第二中学2023年政府性基金预算“三公”经费预算数为</w:t>
      </w:r>
      <w:r>
        <w:rPr>
          <w:rFonts w:ascii="??_GB2312" w:hAnsi="黑体" w:eastAsia="Times New Roman" w:cs="??_GB2312"/>
          <w:sz w:val="32"/>
          <w:szCs w:val="32"/>
        </w:rPr>
        <w:t>0</w:t>
      </w:r>
      <w:r>
        <w:rPr>
          <w:rFonts w:ascii="??_GB2312" w:hAnsi="黑体" w:eastAsia="Times New Roman"/>
          <w:sz w:val="32"/>
          <w:szCs w:val="32"/>
        </w:rPr>
        <w:t>万元。</w:t>
      </w:r>
      <w:r>
        <w:rPr>
          <w:rFonts w:hint="eastAsia" w:ascii="仿宋_GB2312" w:hAnsi="黑体" w:eastAsia="仿宋_GB2312"/>
          <w:sz w:val="32"/>
          <w:szCs w:val="32"/>
        </w:rPr>
        <w:t>其中：</w:t>
      </w:r>
    </w:p>
    <w:p>
      <w:pPr>
        <w:rPr>
          <w:rFonts w:hint="eastAsia"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 xml:space="preserve">    因公出国（境）经费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年预算持平。公务用车购置及运行费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highlight w:val="none"/>
          <w:shd w:val="clear" w:color="auto" w:fill="FFFFFF"/>
        </w:rPr>
        <w:t>公务车保有量</w:t>
      </w:r>
      <w:r>
        <w:rPr>
          <w:rFonts w:hint="eastAsia" w:ascii="仿宋_GB2312" w:hAnsi="黑体" w:eastAsia="仿宋_GB2312" w:cs="仿宋_GB2312"/>
          <w:sz w:val="32"/>
          <w:szCs w:val="32"/>
          <w:highlight w:val="none"/>
        </w:rPr>
        <w:t>0辆</w:t>
      </w:r>
      <w:r>
        <w:rPr>
          <w:rFonts w:hint="eastAsia" w:ascii="仿宋_GB2312" w:hAnsi="黑体" w:eastAsia="仿宋_GB2312" w:cs="仿宋_GB2312"/>
          <w:sz w:val="32"/>
          <w:szCs w:val="32"/>
        </w:rPr>
        <w:t>，计划购置0辆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sz w:val="32"/>
          <w:szCs w:val="32"/>
        </w:rPr>
        <w:t>三亚市第二中学</w:t>
      </w:r>
      <w:r>
        <w:rPr>
          <w:rFonts w:ascii="黑体" w:hAnsi="黑体" w:eastAsia="黑体"/>
          <w:sz w:val="32"/>
          <w:szCs w:val="32"/>
        </w:rPr>
        <w:t>2023</w:t>
      </w:r>
      <w:r>
        <w:rPr>
          <w:rFonts w:hint="eastAsia" w:ascii="黑体" w:hAnsi="黑体" w:eastAsia="黑体" w:cs="Times New Roman"/>
          <w:sz w:val="32"/>
          <w:shd w:val="clear" w:color="auto" w:fill="FFFFFF"/>
        </w:rPr>
        <w:t>年政府性基金预算当年拨款情况说明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rPr>
        <w:t>三亚市第二中学2023年政府性基金预算当年拨款</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科学技术支出（类）支出0</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sz w:val="32"/>
          <w:szCs w:val="32"/>
        </w:rPr>
        <w:t>%；文化体育与传媒支出（类）</w:t>
      </w:r>
      <w:r>
        <w:rPr>
          <w:rFonts w:hint="eastAsia" w:ascii="仿宋_GB2312" w:hAnsi="黑体" w:eastAsia="仿宋_GB2312" w:cs="仿宋_GB2312"/>
          <w:sz w:val="32"/>
          <w:szCs w:val="32"/>
        </w:rPr>
        <w:t>支出0</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sz w:val="32"/>
          <w:szCs w:val="32"/>
        </w:rPr>
        <w:t>%；社会保障和就业支出（类）</w:t>
      </w:r>
      <w:r>
        <w:rPr>
          <w:rFonts w:hint="eastAsia" w:ascii="仿宋_GB2312" w:hAnsi="黑体" w:eastAsia="仿宋_GB2312" w:cs="仿宋_GB2312"/>
          <w:sz w:val="32"/>
          <w:szCs w:val="32"/>
        </w:rPr>
        <w:t>支出0</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sz w:val="32"/>
          <w:szCs w:val="32"/>
        </w:rPr>
        <w:t>%；节能环保（类）</w:t>
      </w:r>
      <w:r>
        <w:rPr>
          <w:rFonts w:hint="eastAsia" w:ascii="仿宋_GB2312" w:hAnsi="黑体" w:eastAsia="仿宋_GB2312" w:cs="仿宋_GB2312"/>
          <w:sz w:val="32"/>
          <w:szCs w:val="32"/>
        </w:rPr>
        <w:t>支出0</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hint="eastAsia" w:ascii="Times New Roman" w:hAnsi="Times New Roman" w:eastAsia="仿宋_GB2312" w:cs="Times New Roman"/>
          <w:sz w:val="32"/>
          <w:shd w:val="clear" w:color="auto" w:fill="FFFFFF"/>
        </w:rPr>
      </w:pPr>
      <w:r>
        <w:rPr>
          <w:rFonts w:hint="eastAsia" w:ascii="仿宋_GB2312" w:hAnsi="黑体" w:eastAsia="仿宋_GB2312" w:cs="仿宋_GB2312"/>
          <w:sz w:val="32"/>
          <w:szCs w:val="32"/>
        </w:rPr>
        <w:t>1. 科学技术支出（类）核电站乏燃料处理处置基金支出（款）乏燃料运输（项）2023</w:t>
      </w:r>
      <w:r>
        <w:rPr>
          <w:rFonts w:hint="eastAsia" w:ascii="仿宋_GB2312" w:hAnsi="黑体" w:eastAsia="仿宋_GB2312"/>
          <w:sz w:val="32"/>
          <w:szCs w:val="32"/>
        </w:rPr>
        <w:t>年预算数为</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p>
    <w:p>
      <w:pPr>
        <w:ind w:firstLine="640" w:firstLineChars="200"/>
        <w:rPr>
          <w:rFonts w:ascii="仿宋" w:hAnsi="仿宋" w:eastAsia="仿宋" w:cs="仿宋"/>
          <w:sz w:val="32"/>
          <w:shd w:val="clear" w:color="auto" w:fill="FFFFFF"/>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科学技术支出（类）核电站乏燃料处理处置基金支出（款）乏燃料离堆贮存（项）2023</w:t>
      </w:r>
      <w:r>
        <w:rPr>
          <w:rFonts w:hint="eastAsia" w:ascii="仿宋_GB2312" w:hAnsi="黑体" w:eastAsia="仿宋_GB2312"/>
          <w:sz w:val="32"/>
          <w:szCs w:val="32"/>
        </w:rPr>
        <w:t>年预算数为</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sz w:val="32"/>
          <w:szCs w:val="32"/>
        </w:rPr>
        <w:t>三亚市第二中学</w:t>
      </w:r>
      <w:r>
        <w:rPr>
          <w:rFonts w:ascii="黑体" w:hAnsi="黑体" w:eastAsia="黑体"/>
          <w:sz w:val="32"/>
          <w:szCs w:val="32"/>
        </w:rPr>
        <w:t>2023</w:t>
      </w:r>
      <w:r>
        <w:rPr>
          <w:rFonts w:hint="eastAsia" w:ascii="黑体" w:hAnsi="黑体" w:eastAsia="黑体" w:cs="Times New Roman"/>
          <w:sz w:val="32"/>
          <w:shd w:val="clear" w:color="auto" w:fill="FFFFFF"/>
        </w:rPr>
        <w:t>年收支预算情况的总体说明</w:t>
      </w:r>
    </w:p>
    <w:p>
      <w:pPr>
        <w:ind w:firstLine="640" w:firstLineChars="200"/>
        <w:rPr>
          <w:rFonts w:hint="eastAsia" w:ascii="仿宋_GB2312" w:hAnsi="仿宋" w:eastAsia="仿宋_GB2312"/>
          <w:sz w:val="32"/>
          <w:szCs w:val="32"/>
        </w:rPr>
      </w:pPr>
      <w:r>
        <w:rPr>
          <w:rFonts w:hint="eastAsia" w:ascii="仿宋_GB2312" w:hAnsi="仿宋" w:eastAsia="仿宋_GB2312" w:cs="??_GB2312"/>
          <w:sz w:val="32"/>
          <w:szCs w:val="32"/>
        </w:rPr>
        <w:t>按照综合预算原则，三亚市第二中学所有收入和支出均纳入部门预算管理。收入包括：一般公共预算拨款收入、财政专户管理资金收入、上年结转</w:t>
      </w:r>
      <w:r>
        <w:rPr>
          <w:rFonts w:hint="eastAsia" w:ascii="仿宋_GB2312" w:hAnsi="仿宋" w:eastAsia="仿宋_GB2312"/>
          <w:sz w:val="32"/>
          <w:szCs w:val="32"/>
        </w:rPr>
        <w:t>；支出包括：教育支出、社会保障和就业支出、卫生健康支出、住房保障支出。</w:t>
      </w:r>
      <w:r>
        <w:rPr>
          <w:rFonts w:hint="eastAsia" w:ascii="仿宋_GB2312" w:hAnsi="仿宋" w:eastAsia="仿宋_GB2312" w:cs="??_GB2312"/>
          <w:sz w:val="32"/>
          <w:szCs w:val="32"/>
        </w:rPr>
        <w:t>三亚市第二中学2023年</w:t>
      </w:r>
      <w:r>
        <w:rPr>
          <w:rFonts w:hint="eastAsia" w:ascii="仿宋_GB2312" w:hAnsi="仿宋" w:eastAsia="仿宋_GB2312"/>
          <w:sz w:val="32"/>
          <w:szCs w:val="32"/>
        </w:rPr>
        <w:t>收支总预算</w:t>
      </w:r>
      <w:r>
        <w:rPr>
          <w:rFonts w:hint="eastAsia" w:ascii="仿宋_GB2312" w:hAnsi="仿宋" w:eastAsia="仿宋_GB2312" w:cs="??_GB2312"/>
          <w:sz w:val="32"/>
          <w:szCs w:val="32"/>
        </w:rPr>
        <w:t>6520.00</w:t>
      </w:r>
      <w:r>
        <w:rPr>
          <w:rFonts w:hint="eastAsia" w:ascii="仿宋_GB2312" w:hAnsi="仿宋"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sz w:val="32"/>
          <w:szCs w:val="32"/>
        </w:rPr>
        <w:t>三亚市第二中学</w:t>
      </w:r>
      <w:r>
        <w:rPr>
          <w:rFonts w:ascii="黑体" w:hAnsi="黑体" w:eastAsia="黑体"/>
          <w:sz w:val="32"/>
          <w:szCs w:val="32"/>
        </w:rPr>
        <w:t>2023</w:t>
      </w:r>
      <w:r>
        <w:rPr>
          <w:rFonts w:hint="eastAsia" w:ascii="黑体" w:hAnsi="黑体" w:eastAsia="黑体"/>
          <w:sz w:val="32"/>
          <w:szCs w:val="32"/>
        </w:rPr>
        <w:t>年</w:t>
      </w:r>
      <w:r>
        <w:rPr>
          <w:rFonts w:hint="eastAsia" w:ascii="黑体" w:hAnsi="黑体" w:eastAsia="黑体" w:cs="Times New Roman"/>
          <w:sz w:val="32"/>
          <w:shd w:val="clear" w:color="auto" w:fill="FFFFFF"/>
        </w:rPr>
        <w:t>收入预算情况说明</w:t>
      </w:r>
    </w:p>
    <w:p>
      <w:pPr>
        <w:ind w:firstLine="640" w:firstLineChars="200"/>
        <w:rPr>
          <w:rFonts w:hint="eastAsia" w:ascii="仿宋_GB2312" w:hAnsi="黑体" w:eastAsia="仿宋_GB2312"/>
          <w:sz w:val="32"/>
          <w:szCs w:val="32"/>
          <w:highlight w:val="none"/>
        </w:rPr>
      </w:pPr>
      <w:r>
        <w:rPr>
          <w:rFonts w:hint="eastAsia" w:ascii="仿宋_GB2312" w:hAnsi="黑体" w:eastAsia="仿宋_GB2312" w:cs="??_GB2312"/>
          <w:sz w:val="32"/>
          <w:szCs w:val="32"/>
        </w:rPr>
        <w:t>三亚市第二中学2023年</w:t>
      </w:r>
      <w:r>
        <w:rPr>
          <w:rFonts w:hint="eastAsia" w:ascii="仿宋_GB2312" w:hAnsi="黑体" w:eastAsia="仿宋_GB2312"/>
          <w:sz w:val="32"/>
          <w:szCs w:val="32"/>
        </w:rPr>
        <w:t>收入预算</w:t>
      </w:r>
      <w:r>
        <w:rPr>
          <w:rFonts w:hint="eastAsia" w:ascii="仿宋_GB2312" w:hAnsi="黑体" w:eastAsia="仿宋_GB2312" w:cs="??_GB2312"/>
          <w:sz w:val="32"/>
          <w:szCs w:val="32"/>
        </w:rPr>
        <w:t>6520.00</w:t>
      </w:r>
      <w:r>
        <w:rPr>
          <w:rFonts w:hint="eastAsia" w:ascii="仿宋_GB2312" w:hAnsi="黑体" w:eastAsia="仿宋_GB2312"/>
          <w:sz w:val="32"/>
          <w:szCs w:val="32"/>
        </w:rPr>
        <w:t>万元，其中：上年结转</w:t>
      </w:r>
      <w:r>
        <w:rPr>
          <w:rFonts w:hint="eastAsia" w:ascii="仿宋_GB2312" w:hAnsi="黑体" w:eastAsia="仿宋_GB2312" w:cs="??_GB2312"/>
          <w:sz w:val="32"/>
          <w:szCs w:val="32"/>
        </w:rPr>
        <w:t>88.35</w:t>
      </w:r>
      <w:r>
        <w:rPr>
          <w:rFonts w:hint="eastAsia" w:ascii="仿宋_GB2312" w:hAnsi="黑体" w:eastAsia="仿宋_GB2312"/>
          <w:sz w:val="32"/>
          <w:szCs w:val="32"/>
        </w:rPr>
        <w:t>万元，占</w:t>
      </w:r>
      <w:r>
        <w:rPr>
          <w:rFonts w:hint="eastAsia" w:ascii="仿宋_GB2312" w:hAnsi="黑体" w:eastAsia="仿宋_GB2312" w:cs="??_GB2312"/>
          <w:sz w:val="32"/>
          <w:szCs w:val="32"/>
        </w:rPr>
        <w:t>1.36</w:t>
      </w:r>
      <w:r>
        <w:rPr>
          <w:rFonts w:hint="eastAsia" w:ascii="仿宋_GB2312" w:hAnsi="黑体" w:eastAsia="仿宋_GB2312"/>
          <w:sz w:val="32"/>
          <w:szCs w:val="32"/>
        </w:rPr>
        <w:t>%；一般公共预算拨款收入6409.65万元，占</w:t>
      </w:r>
      <w:r>
        <w:rPr>
          <w:rFonts w:hint="eastAsia" w:ascii="仿宋_GB2312" w:hAnsi="黑体" w:eastAsia="仿宋_GB2312" w:cs="??_GB2312"/>
          <w:sz w:val="32"/>
          <w:szCs w:val="32"/>
        </w:rPr>
        <w:t>98.31</w:t>
      </w:r>
      <w:r>
        <w:rPr>
          <w:rFonts w:hint="eastAsia" w:ascii="仿宋_GB2312" w:hAnsi="黑体" w:eastAsia="仿宋_GB2312"/>
          <w:sz w:val="32"/>
          <w:szCs w:val="32"/>
        </w:rPr>
        <w:t>%；财政专户管理资金收入22万元，占</w:t>
      </w:r>
      <w:r>
        <w:rPr>
          <w:rFonts w:hint="eastAsia" w:ascii="仿宋_GB2312" w:hAnsi="黑体" w:eastAsia="仿宋_GB2312" w:cs="??_GB2312"/>
          <w:sz w:val="32"/>
          <w:szCs w:val="32"/>
        </w:rPr>
        <w:t>0.33</w:t>
      </w:r>
      <w:r>
        <w:rPr>
          <w:rFonts w:hint="eastAsia" w:ascii="仿宋_GB2312" w:hAnsi="黑体" w:eastAsia="仿宋_GB2312"/>
          <w:sz w:val="32"/>
          <w:szCs w:val="32"/>
        </w:rPr>
        <w:t>%。比上年预算数</w:t>
      </w:r>
      <w:r>
        <w:rPr>
          <w:rFonts w:hint="eastAsia" w:ascii="仿宋_GB2312" w:hAnsi="黑体" w:eastAsia="仿宋_GB2312" w:cs="??_GB2312"/>
          <w:sz w:val="32"/>
          <w:szCs w:val="32"/>
        </w:rPr>
        <w:t>增加1828.18</w:t>
      </w:r>
      <w:r>
        <w:rPr>
          <w:rFonts w:hint="eastAsia" w:ascii="仿宋_GB2312" w:hAnsi="黑体" w:eastAsia="仿宋_GB2312"/>
          <w:sz w:val="32"/>
          <w:szCs w:val="32"/>
        </w:rPr>
        <w:t>万元</w:t>
      </w:r>
      <w:r>
        <w:rPr>
          <w:rFonts w:hint="eastAsia" w:ascii="仿宋_GB2312" w:hAnsi="黑体" w:eastAsia="仿宋_GB2312"/>
          <w:sz w:val="32"/>
          <w:szCs w:val="32"/>
          <w:highlight w:val="none"/>
        </w:rPr>
        <w:t>，主要是一般公共预算拨款收入</w:t>
      </w:r>
      <w:r>
        <w:rPr>
          <w:rFonts w:hint="eastAsia" w:ascii="仿宋_GB2312" w:eastAsia="仿宋_GB2312" w:hAnsiTheme="minorEastAsia"/>
          <w:sz w:val="32"/>
          <w:szCs w:val="32"/>
          <w:highlight w:val="none"/>
        </w:rPr>
        <w:t>增加</w:t>
      </w:r>
      <w:r>
        <w:rPr>
          <w:rFonts w:hint="eastAsia" w:ascii="仿宋_GB2312" w:hAnsi="黑体" w:eastAsia="仿宋_GB2312"/>
          <w:sz w:val="32"/>
          <w:szCs w:val="32"/>
          <w:highlight w:val="none"/>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sz w:val="32"/>
          <w:szCs w:val="32"/>
        </w:rPr>
        <w:t>三亚市第二中学</w:t>
      </w:r>
      <w:r>
        <w:rPr>
          <w:rFonts w:ascii="黑体" w:hAnsi="黑体" w:eastAsia="黑体"/>
          <w:sz w:val="32"/>
          <w:szCs w:val="32"/>
        </w:rPr>
        <w:t>2023</w:t>
      </w:r>
      <w:r>
        <w:rPr>
          <w:rFonts w:hint="eastAsia" w:ascii="黑体" w:hAnsi="黑体" w:eastAsia="黑体" w:cs="Times New Roman"/>
          <w:sz w:val="32"/>
          <w:shd w:val="clear" w:color="auto" w:fill="FFFFFF"/>
        </w:rPr>
        <w:t>年支出预算情况说明</w:t>
      </w:r>
    </w:p>
    <w:p>
      <w:pPr>
        <w:ind w:firstLine="640" w:firstLineChars="200"/>
        <w:rPr>
          <w:rFonts w:hint="eastAsia" w:ascii="仿宋_GB2312" w:hAnsi="黑体" w:eastAsia="仿宋_GB2312"/>
          <w:sz w:val="32"/>
          <w:szCs w:val="32"/>
        </w:rPr>
      </w:pPr>
      <w:r>
        <w:rPr>
          <w:rFonts w:hint="eastAsia" w:ascii="仿宋_GB2312" w:hAnsi="黑体" w:eastAsia="仿宋_GB2312" w:cs="??_GB2312"/>
          <w:sz w:val="32"/>
          <w:szCs w:val="32"/>
        </w:rPr>
        <w:t>三亚市第二中学2023年</w:t>
      </w:r>
      <w:r>
        <w:rPr>
          <w:rFonts w:hint="eastAsia" w:ascii="仿宋_GB2312" w:hAnsi="黑体" w:eastAsia="仿宋_GB2312"/>
          <w:sz w:val="32"/>
          <w:szCs w:val="32"/>
        </w:rPr>
        <w:t>支出预算</w:t>
      </w:r>
      <w:r>
        <w:rPr>
          <w:rFonts w:hint="eastAsia" w:ascii="仿宋_GB2312" w:hAnsi="黑体" w:eastAsia="仿宋_GB2312" w:cs="??_GB2312"/>
          <w:sz w:val="32"/>
          <w:szCs w:val="32"/>
        </w:rPr>
        <w:t>6511.80</w:t>
      </w:r>
      <w:r>
        <w:rPr>
          <w:rFonts w:hint="eastAsia" w:ascii="仿宋_GB2312" w:hAnsi="黑体" w:eastAsia="仿宋_GB2312"/>
          <w:sz w:val="32"/>
          <w:szCs w:val="32"/>
        </w:rPr>
        <w:t>万元，其中：基本支出</w:t>
      </w:r>
      <w:r>
        <w:rPr>
          <w:rFonts w:hint="eastAsia" w:ascii="仿宋_GB2312" w:hAnsi="黑体" w:eastAsia="仿宋_GB2312" w:cs="??_GB2312"/>
          <w:sz w:val="32"/>
          <w:szCs w:val="32"/>
        </w:rPr>
        <w:t>6349.65</w:t>
      </w:r>
      <w:r>
        <w:rPr>
          <w:rFonts w:hint="eastAsia" w:ascii="仿宋_GB2312" w:hAnsi="黑体" w:eastAsia="仿宋_GB2312"/>
          <w:sz w:val="32"/>
          <w:szCs w:val="32"/>
        </w:rPr>
        <w:t>万元，占</w:t>
      </w:r>
      <w:r>
        <w:rPr>
          <w:rFonts w:hint="eastAsia" w:ascii="仿宋_GB2312" w:hAnsi="黑体" w:eastAsia="仿宋_GB2312" w:cs="??_GB2312"/>
          <w:sz w:val="32"/>
          <w:szCs w:val="32"/>
        </w:rPr>
        <w:t>97.51</w:t>
      </w:r>
      <w:r>
        <w:rPr>
          <w:rFonts w:hint="eastAsia" w:ascii="仿宋_GB2312" w:hAnsi="黑体" w:eastAsia="仿宋_GB2312"/>
          <w:sz w:val="32"/>
          <w:szCs w:val="32"/>
        </w:rPr>
        <w:t>%；项目支出</w:t>
      </w:r>
      <w:r>
        <w:rPr>
          <w:rFonts w:hint="eastAsia" w:ascii="仿宋_GB2312" w:hAnsi="黑体" w:eastAsia="仿宋_GB2312" w:cs="??_GB2312"/>
          <w:sz w:val="32"/>
          <w:szCs w:val="32"/>
        </w:rPr>
        <w:t>162.15</w:t>
      </w:r>
      <w:r>
        <w:rPr>
          <w:rFonts w:hint="eastAsia" w:ascii="仿宋_GB2312" w:hAnsi="黑体" w:eastAsia="仿宋_GB2312"/>
          <w:sz w:val="32"/>
          <w:szCs w:val="32"/>
        </w:rPr>
        <w:t>万元，占</w:t>
      </w:r>
      <w:r>
        <w:rPr>
          <w:rFonts w:hint="eastAsia" w:ascii="仿宋_GB2312" w:hAnsi="黑体" w:eastAsia="仿宋_GB2312" w:cs="??_GB2312"/>
          <w:sz w:val="32"/>
          <w:szCs w:val="32"/>
        </w:rPr>
        <w:t>2.49</w:t>
      </w:r>
      <w:r>
        <w:rPr>
          <w:rFonts w:hint="eastAsia" w:ascii="仿宋_GB2312" w:hAnsi="黑体" w:eastAsia="仿宋_GB2312"/>
          <w:sz w:val="32"/>
          <w:szCs w:val="32"/>
        </w:rPr>
        <w:t>%。比上年预算数</w:t>
      </w:r>
      <w:r>
        <w:rPr>
          <w:rFonts w:hint="eastAsia" w:ascii="仿宋_GB2312" w:hAnsi="黑体" w:eastAsia="仿宋_GB2312" w:cs="??_GB2312"/>
          <w:sz w:val="32"/>
          <w:szCs w:val="32"/>
        </w:rPr>
        <w:t>增加1819.98</w:t>
      </w:r>
      <w:r>
        <w:rPr>
          <w:rFonts w:hint="eastAsia" w:ascii="仿宋_GB2312" w:hAnsi="黑体" w:eastAsia="仿宋_GB2312"/>
          <w:sz w:val="32"/>
          <w:szCs w:val="32"/>
        </w:rPr>
        <w:t>万元，</w:t>
      </w:r>
      <w:r>
        <w:rPr>
          <w:rFonts w:hint="eastAsia" w:ascii="仿宋_GB2312" w:hAnsi="黑体" w:eastAsia="仿宋_GB2312"/>
          <w:sz w:val="32"/>
          <w:szCs w:val="32"/>
          <w:lang w:eastAsia="zh-CN"/>
        </w:rPr>
        <w:t>主要</w:t>
      </w:r>
      <w:r>
        <w:rPr>
          <w:rFonts w:hint="eastAsia" w:ascii="仿宋_GB2312" w:hAnsi="黑体" w:eastAsia="仿宋_GB2312"/>
          <w:sz w:val="32"/>
          <w:szCs w:val="32"/>
        </w:rPr>
        <w:t>是教育支出增加283.36万元、社会保障和就业支出增加1251.18万元、卫生健康支出增加162.50万元、住房保障支出增加122.94万元。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p>
    <w:p>
      <w:pPr>
        <w:ind w:firstLine="640" w:firstLineChars="200"/>
        <w:rPr>
          <w:rFonts w:ascii="Times New Roman" w:hAnsi="Times New Roman" w:eastAsia="Times New Roman" w:cs="Times New Roman"/>
          <w:sz w:val="32"/>
          <w:szCs w:val="32"/>
        </w:rPr>
      </w:pPr>
      <w:r>
        <w:rPr>
          <w:rFonts w:hint="eastAsia" w:ascii="Times New Roman" w:hAnsi="Times New Roman" w:eastAsia="仿宋" w:cs="Times New Roman"/>
          <w:sz w:val="32"/>
          <w:shd w:val="clear" w:color="auto" w:fill="FFFFFF"/>
        </w:rPr>
        <w:t>无，</w:t>
      </w:r>
      <w:r>
        <w:rPr>
          <w:rFonts w:hint="eastAsia" w:ascii="宋体" w:hAnsi="宋体" w:cs="宋体"/>
          <w:sz w:val="32"/>
          <w:szCs w:val="32"/>
        </w:rPr>
        <w:t>三亚市第二中学是全额事业单位。</w:t>
      </w:r>
      <w:bookmarkStart w:id="1" w:name="_GoBack"/>
      <w:bookmarkEnd w:id="1"/>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Times New Roman" w:hAnsi="Times New Roman" w:eastAsia="Times New Roman" w:cs="Times New Roman"/>
          <w:color w:val="000000"/>
          <w:sz w:val="32"/>
          <w:szCs w:val="32"/>
        </w:rPr>
      </w:pPr>
      <w:r>
        <w:rPr>
          <w:rFonts w:ascii="Times New Roman" w:hAnsi="Times New Roman" w:eastAsia="Times New Roman" w:cs="Times New Roman"/>
          <w:sz w:val="32"/>
          <w:szCs w:val="32"/>
        </w:rPr>
        <w:t>2023</w:t>
      </w:r>
      <w:r>
        <w:rPr>
          <w:rFonts w:hint="eastAsia" w:ascii="宋体" w:hAnsi="宋体" w:cs="宋体"/>
          <w:sz w:val="32"/>
          <w:szCs w:val="32"/>
        </w:rPr>
        <w:t>年三亚市第二中学政府采购预算总</w:t>
      </w:r>
      <w:r>
        <w:rPr>
          <w:rFonts w:hint="eastAsia" w:ascii="宋体" w:hAnsi="宋体" w:cs="宋体"/>
          <w:color w:val="000000"/>
          <w:sz w:val="32"/>
          <w:szCs w:val="32"/>
        </w:rPr>
        <w:t>额</w:t>
      </w:r>
      <w:r>
        <w:rPr>
          <w:rFonts w:ascii="宋体" w:hAnsi="宋体" w:cs="Times New Roman"/>
          <w:color w:val="000000"/>
          <w:sz w:val="32"/>
          <w:szCs w:val="32"/>
        </w:rPr>
        <w:t>17.7</w:t>
      </w:r>
      <w:r>
        <w:rPr>
          <w:rFonts w:hint="eastAsia" w:ascii="宋体" w:hAnsi="宋体" w:cs="宋体"/>
          <w:color w:val="000000"/>
          <w:sz w:val="32"/>
          <w:szCs w:val="32"/>
        </w:rPr>
        <w:t>万元，其中：政府采购货物预算</w:t>
      </w:r>
      <w:r>
        <w:rPr>
          <w:rFonts w:ascii="宋体" w:hAnsi="宋体" w:cs="Times New Roman"/>
          <w:color w:val="000000"/>
          <w:sz w:val="32"/>
          <w:szCs w:val="32"/>
        </w:rPr>
        <w:t>17.7</w:t>
      </w:r>
      <w:r>
        <w:rPr>
          <w:rFonts w:hint="eastAsia" w:ascii="宋体" w:hAnsi="宋体" w:cs="宋体"/>
          <w:color w:val="000000"/>
          <w:sz w:val="32"/>
          <w:szCs w:val="32"/>
        </w:rPr>
        <w:t>万元</w:t>
      </w:r>
      <w:r>
        <w:rPr>
          <w:rFonts w:hint="eastAsia" w:ascii="仿宋_GB2312" w:hAnsi="黑体" w:eastAsia="仿宋_GB2312"/>
          <w:sz w:val="32"/>
          <w:szCs w:val="32"/>
        </w:rPr>
        <w:t>，政府采购工程预算</w:t>
      </w:r>
      <w:r>
        <w:rPr>
          <w:rFonts w:hint="eastAsia" w:ascii="仿宋_GB2312" w:hAnsi="黑体" w:eastAsia="仿宋_GB2312" w:cs="仿宋_GB2312"/>
          <w:sz w:val="32"/>
          <w:szCs w:val="32"/>
        </w:rPr>
        <w:t>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Times New Roman" w:hAnsi="Times New Roman" w:eastAsia="Times New Roman" w:cs="Times New Roman"/>
          <w:sz w:val="32"/>
          <w:szCs w:val="32"/>
        </w:rPr>
      </w:pPr>
      <w:r>
        <w:rPr>
          <w:rFonts w:hint="eastAsia" w:ascii="宋体" w:hAnsi="宋体" w:cs="宋体"/>
          <w:sz w:val="32"/>
          <w:szCs w:val="32"/>
        </w:rPr>
        <w:t>截至</w:t>
      </w:r>
      <w:r>
        <w:rPr>
          <w:rFonts w:ascii="Times New Roman" w:hAnsi="Times New Roman" w:eastAsia="Times New Roman" w:cs="Times New Roman"/>
          <w:sz w:val="32"/>
          <w:szCs w:val="32"/>
        </w:rPr>
        <w:t>202</w:t>
      </w:r>
      <w:r>
        <w:rPr>
          <w:rFonts w:hint="eastAsia" w:ascii="Times New Roman" w:hAnsi="Times New Roman" w:cs="Times New Roman" w:eastAsiaTheme="minorEastAsia"/>
          <w:sz w:val="32"/>
          <w:szCs w:val="32"/>
        </w:rPr>
        <w:t>2</w:t>
      </w:r>
      <w:r>
        <w:rPr>
          <w:rFonts w:hint="eastAsia" w:ascii="宋体" w:hAnsi="宋体" w:cs="宋体"/>
          <w:sz w:val="32"/>
          <w:szCs w:val="32"/>
        </w:rPr>
        <w:t>年</w:t>
      </w:r>
      <w:r>
        <w:rPr>
          <w:rFonts w:ascii="Times New Roman" w:hAnsi="Times New Roman" w:eastAsia="Times New Roman" w:cs="Times New Roman"/>
          <w:sz w:val="32"/>
          <w:szCs w:val="32"/>
        </w:rPr>
        <w:t>12</w:t>
      </w:r>
      <w:r>
        <w:rPr>
          <w:rFonts w:hint="eastAsia" w:ascii="宋体" w:hAnsi="宋体" w:cs="宋体"/>
          <w:sz w:val="32"/>
          <w:szCs w:val="32"/>
        </w:rPr>
        <w:t>月</w:t>
      </w:r>
      <w:r>
        <w:rPr>
          <w:rFonts w:ascii="Times New Roman" w:hAnsi="Times New Roman" w:eastAsia="Times New Roman" w:cs="Times New Roman"/>
          <w:sz w:val="32"/>
          <w:szCs w:val="32"/>
        </w:rPr>
        <w:t>31</w:t>
      </w:r>
      <w:r>
        <w:rPr>
          <w:rFonts w:hint="eastAsia" w:ascii="宋体" w:hAnsi="宋体" w:cs="宋体"/>
          <w:sz w:val="32"/>
          <w:szCs w:val="32"/>
        </w:rPr>
        <w:t>日，三亚市第二中学共有车辆</w:t>
      </w:r>
      <w:r>
        <w:rPr>
          <w:rFonts w:ascii="Times New Roman" w:hAnsi="Times New Roman" w:eastAsia="Times New Roman" w:cs="Times New Roman"/>
          <w:sz w:val="32"/>
          <w:szCs w:val="32"/>
        </w:rPr>
        <w:t>1</w:t>
      </w:r>
      <w:r>
        <w:rPr>
          <w:rFonts w:hint="eastAsia" w:ascii="宋体" w:hAnsi="宋体" w:cs="宋体"/>
          <w:sz w:val="32"/>
          <w:szCs w:val="32"/>
        </w:rPr>
        <w:t>辆。单位价值</w:t>
      </w:r>
      <w:r>
        <w:rPr>
          <w:rFonts w:ascii="Times New Roman" w:hAnsi="Times New Roman" w:eastAsia="Times New Roman" w:cs="Times New Roman"/>
          <w:sz w:val="32"/>
          <w:szCs w:val="32"/>
        </w:rPr>
        <w:t>100</w:t>
      </w:r>
      <w:r>
        <w:rPr>
          <w:rFonts w:hint="eastAsia" w:ascii="宋体" w:hAnsi="宋体" w:cs="宋体"/>
          <w:sz w:val="32"/>
          <w:szCs w:val="32"/>
        </w:rPr>
        <w:t>万元以上设备</w:t>
      </w:r>
      <w:r>
        <w:rPr>
          <w:rFonts w:ascii="Times New Roman" w:hAnsi="Times New Roman" w:eastAsia="Times New Roman" w:cs="Times New Roman"/>
          <w:sz w:val="32"/>
          <w:szCs w:val="32"/>
        </w:rPr>
        <w:t>0</w:t>
      </w:r>
      <w:r>
        <w:rPr>
          <w:rFonts w:hint="eastAsia" w:ascii="宋体" w:hAnsi="宋体" w:cs="宋体"/>
          <w:sz w:val="32"/>
          <w:szCs w:val="32"/>
        </w:rPr>
        <w:t>台（套）。</w:t>
      </w:r>
    </w:p>
    <w:p>
      <w:pPr>
        <w:ind w:firstLine="640" w:firstLineChars="200"/>
        <w:rPr>
          <w:rFonts w:ascii="Times New Roman" w:hAnsi="Times New Roman" w:eastAsia="楷体" w:cs="Times New Roman"/>
          <w:sz w:val="32"/>
          <w:szCs w:val="32"/>
        </w:rPr>
      </w:pPr>
      <w:r>
        <w:rPr>
          <w:rFonts w:hint="eastAsia" w:ascii="Times New Roman" w:hAnsi="Times New Roman" w:eastAsia="楷体" w:cs="Times New Roman"/>
          <w:sz w:val="32"/>
          <w:szCs w:val="32"/>
        </w:rPr>
        <w:t>（四）绩效目标设置情况</w:t>
      </w:r>
    </w:p>
    <w:p>
      <w:pPr>
        <w:ind w:firstLine="640" w:firstLineChars="200"/>
        <w:rPr>
          <w:rFonts w:hint="eastAsia" w:ascii="仿宋_GB2312" w:hAnsi="黑体" w:eastAsia="仿宋_GB2312"/>
          <w:sz w:val="32"/>
          <w:szCs w:val="32"/>
        </w:rPr>
      </w:pPr>
      <w:r>
        <w:rPr>
          <w:rFonts w:hint="eastAsia" w:ascii="仿宋_GB2312" w:hAnsi="仿宋" w:eastAsia="仿宋_GB2312" w:cs="仿宋"/>
          <w:sz w:val="32"/>
          <w:szCs w:val="32"/>
        </w:rPr>
        <w:t>2023年三亚市第二中学13个项目实行绩效目标管理，涉及一般公共预算6511.66万元。</w:t>
      </w:r>
    </w:p>
    <w:p>
      <w:pPr>
        <w:jc w:val="left"/>
        <w:rPr>
          <w:rFonts w:ascii="??_GB2312" w:hAnsi="宋体" w:eastAsia="Times New Roman"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w:t>
      </w:r>
      <w:r>
        <w:rPr>
          <w:rFonts w:ascii="黑体" w:hAnsi="黑体" w:eastAsia="黑体"/>
          <w:b/>
          <w:sz w:val="32"/>
          <w:szCs w:val="32"/>
        </w:rPr>
        <w:t xml:space="preserve">  </w:t>
      </w:r>
      <w:r>
        <w:rPr>
          <w:rFonts w:hint="eastAsia" w:ascii="黑体" w:hAnsi="黑体" w:eastAsia="黑体"/>
          <w:b/>
          <w:sz w:val="32"/>
          <w:szCs w:val="32"/>
        </w:rPr>
        <w:t>名词解释</w:t>
      </w:r>
    </w:p>
    <w:p>
      <w:pPr>
        <w:ind w:firstLine="640" w:firstLineChars="200"/>
        <w:jc w:val="left"/>
        <w:rPr>
          <w:rFonts w:ascii="??_GB2312" w:hAnsi="宋体" w:eastAsia="Times New Roman" w:cs="宋体"/>
          <w:color w:val="000000"/>
          <w:kern w:val="0"/>
          <w:sz w:val="32"/>
          <w:szCs w:val="30"/>
        </w:rPr>
      </w:pPr>
      <w:r>
        <w:rPr>
          <w:rFonts w:ascii="??_GB2312" w:hAnsi="宋体" w:eastAsia="Times New Roman" w:cs="宋体"/>
          <w:color w:val="000000"/>
          <w:kern w:val="0"/>
          <w:sz w:val="32"/>
          <w:szCs w:val="30"/>
        </w:rPr>
        <w:t>一、财政拨款收入：指本级财政当年拨付的资金。</w:t>
      </w:r>
    </w:p>
    <w:p>
      <w:pPr>
        <w:ind w:firstLine="640" w:firstLineChars="200"/>
        <w:jc w:val="left"/>
        <w:rPr>
          <w:rFonts w:ascii="??_GB2312" w:hAnsi="宋体" w:eastAsia="Times New Roman" w:cs="宋体"/>
          <w:color w:val="000000"/>
          <w:kern w:val="0"/>
          <w:sz w:val="32"/>
          <w:szCs w:val="30"/>
        </w:rPr>
      </w:pPr>
      <w:r>
        <w:rPr>
          <w:rFonts w:ascii="??_GB2312" w:hAnsi="宋体" w:eastAsia="Times New Roman" w:cs="宋体"/>
          <w:color w:val="000000"/>
          <w:kern w:val="0"/>
          <w:sz w:val="32"/>
          <w:szCs w:val="30"/>
        </w:rPr>
        <w:t>二、事业收入：指事业单位开展专业业务活动及辅助活动取得的收入。</w:t>
      </w:r>
    </w:p>
    <w:p>
      <w:pPr>
        <w:ind w:firstLine="640" w:firstLineChars="200"/>
        <w:jc w:val="left"/>
        <w:rPr>
          <w:rFonts w:ascii="??_GB2312" w:hAnsi="宋体" w:eastAsia="Times New Roman" w:cs="宋体"/>
          <w:color w:val="000000"/>
          <w:kern w:val="0"/>
          <w:sz w:val="32"/>
          <w:szCs w:val="30"/>
        </w:rPr>
      </w:pPr>
      <w:r>
        <w:rPr>
          <w:rFonts w:ascii="??_GB2312" w:hAnsi="宋体" w:eastAsia="Times New Roman"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_GB2312" w:hAnsi="宋体" w:eastAsia="Times New Roman" w:cs="宋体"/>
          <w:color w:val="000000"/>
          <w:kern w:val="0"/>
          <w:sz w:val="32"/>
          <w:szCs w:val="30"/>
        </w:rPr>
      </w:pPr>
      <w:r>
        <w:rPr>
          <w:rFonts w:ascii="??_GB2312" w:hAnsi="宋体" w:eastAsia="Times New Roman" w:cs="宋体"/>
          <w:color w:val="000000"/>
          <w:kern w:val="0"/>
          <w:sz w:val="32"/>
          <w:szCs w:val="30"/>
        </w:rPr>
        <w:t>四、其他收入：指除上述“财政拨款收入”“事业收入”“经营收入”等以外的收入。</w:t>
      </w:r>
    </w:p>
    <w:p>
      <w:pPr>
        <w:ind w:firstLine="640" w:firstLineChars="200"/>
        <w:jc w:val="left"/>
        <w:rPr>
          <w:rFonts w:ascii="??_GB2312" w:hAnsi="宋体" w:eastAsia="Times New Roman" w:cs="宋体"/>
          <w:color w:val="000000"/>
          <w:kern w:val="0"/>
          <w:sz w:val="32"/>
          <w:szCs w:val="30"/>
        </w:rPr>
      </w:pPr>
      <w:r>
        <w:rPr>
          <w:rFonts w:ascii="??_GB2312" w:hAnsi="宋体" w:eastAsia="Times New Roman" w:cs="宋体"/>
          <w:color w:val="000000"/>
          <w:kern w:val="0"/>
          <w:sz w:val="32"/>
          <w:szCs w:val="30"/>
        </w:rPr>
        <w:t>五、年初结转和结余：指以前年度尚未完成、结转到本年按有关规定继续使用的资金。</w:t>
      </w:r>
    </w:p>
    <w:p>
      <w:pPr>
        <w:ind w:firstLine="640" w:firstLineChars="200"/>
        <w:jc w:val="left"/>
        <w:rPr>
          <w:rFonts w:ascii="??_GB2312" w:hAnsi="宋体" w:eastAsia="Times New Roman" w:cs="宋体"/>
          <w:color w:val="000000"/>
          <w:kern w:val="0"/>
          <w:sz w:val="32"/>
          <w:szCs w:val="30"/>
        </w:rPr>
      </w:pPr>
      <w:r>
        <w:rPr>
          <w:rFonts w:ascii="??_GB2312" w:hAnsi="宋体" w:eastAsia="Times New Roman"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_GB2312" w:hAnsi="宋体" w:eastAsia="Times New Roman" w:cs="宋体"/>
          <w:color w:val="000000"/>
          <w:kern w:val="0"/>
          <w:sz w:val="32"/>
          <w:szCs w:val="30"/>
        </w:rPr>
      </w:pPr>
      <w:r>
        <w:rPr>
          <w:rFonts w:ascii="??_GB2312" w:hAnsi="宋体" w:eastAsia="Times New Roman"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_GB2312" w:hAnsi="宋体" w:eastAsia="Times New Roman" w:cs="宋体"/>
          <w:color w:val="000000"/>
          <w:kern w:val="0"/>
          <w:sz w:val="32"/>
          <w:szCs w:val="30"/>
        </w:rPr>
      </w:pPr>
      <w:r>
        <w:rPr>
          <w:rFonts w:ascii="??_GB2312" w:hAnsi="宋体" w:eastAsia="Times New Roman" w:cs="宋体"/>
          <w:color w:val="000000"/>
          <w:kern w:val="0"/>
          <w:sz w:val="32"/>
          <w:szCs w:val="30"/>
        </w:rPr>
        <w:t>八、对个人和家庭的补助支出：反映政府用于对个人和家庭的补助支出，包括离休费、退休费、退职（役）费、抚恤金、生活补助、救济费、医疗费补助、助学金、独生子女奖励金、个人农业生产补贴、代缴社会保险费、其他等。</w:t>
      </w:r>
    </w:p>
    <w:p>
      <w:pPr>
        <w:ind w:firstLine="640" w:firstLineChars="200"/>
        <w:jc w:val="left"/>
        <w:rPr>
          <w:rFonts w:ascii="??_GB2312" w:hAnsi="宋体" w:eastAsia="Times New Roman" w:cs="宋体"/>
          <w:color w:val="000000"/>
          <w:kern w:val="0"/>
          <w:sz w:val="32"/>
          <w:szCs w:val="30"/>
        </w:rPr>
      </w:pPr>
      <w:r>
        <w:rPr>
          <w:rFonts w:ascii="??_GB2312" w:hAnsi="宋体" w:eastAsia="Times New Roman" w:cs="宋体"/>
          <w:color w:val="000000"/>
          <w:kern w:val="0"/>
          <w:sz w:val="32"/>
          <w:szCs w:val="30"/>
        </w:rPr>
        <w:t>九、商品和服务支出：反映单位购买商品和服务的支出，包括办公费、印刷费、咨询费、手续费、水费、电费、邮电费、取暖费、物业管理费、差旅费、因公出国（境）费用、维修（护）费、租赁费、会议费、培训费、公务接待费、专用材料费、被装购置费、专用燃料费、劳务费、委托业务费、工会经费、福利费、公务用车运行维护费、其他交通费用、税金及附加费用、其他商品和服务支出等。</w:t>
      </w:r>
    </w:p>
    <w:p>
      <w:pPr>
        <w:ind w:firstLine="640" w:firstLineChars="200"/>
        <w:jc w:val="left"/>
        <w:rPr>
          <w:rFonts w:ascii="??_GB2312" w:hAnsi="宋体" w:eastAsia="Times New Roman" w:cs="宋体"/>
          <w:color w:val="000000"/>
          <w:kern w:val="0"/>
          <w:sz w:val="32"/>
          <w:szCs w:val="30"/>
        </w:rPr>
      </w:pPr>
      <w:r>
        <w:rPr>
          <w:rFonts w:ascii="??_GB2312" w:hAnsi="宋体" w:eastAsia="Times New Roman" w:cs="宋体"/>
          <w:color w:val="000000"/>
          <w:kern w:val="0"/>
          <w:sz w:val="32"/>
          <w:szCs w:val="30"/>
        </w:rPr>
        <w:t>十、项目支出：指各部门、各单位为完成其特定的工作任务和事业发展目标所发生的支出。</w:t>
      </w:r>
    </w:p>
    <w:p>
      <w:pPr>
        <w:ind w:firstLine="640" w:firstLineChars="200"/>
        <w:jc w:val="left"/>
        <w:rPr>
          <w:rFonts w:ascii="??_GB2312" w:hAnsi="宋体" w:eastAsia="Times New Roman" w:cs="宋体"/>
          <w:color w:val="000000"/>
          <w:kern w:val="0"/>
          <w:sz w:val="32"/>
          <w:szCs w:val="30"/>
        </w:rPr>
      </w:pPr>
      <w:r>
        <w:rPr>
          <w:rFonts w:ascii="??_GB2312" w:hAnsi="宋体" w:eastAsia="Times New Roman"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牌照费）及燃料费、维修费、过路过桥费、保险费、安全奖励费用等支出；公务接待费指单位按规定开支的各类公务接待（含外宾接待）费用等支出。</w:t>
      </w:r>
    </w:p>
    <w:p>
      <w:pPr>
        <w:ind w:firstLine="640" w:firstLineChars="200"/>
        <w:jc w:val="left"/>
        <w:rPr>
          <w:rFonts w:ascii="??_GB2312" w:hAnsi="宋体" w:cs="宋体"/>
          <w:color w:val="000000"/>
          <w:kern w:val="0"/>
          <w:sz w:val="32"/>
          <w:szCs w:val="30"/>
        </w:rPr>
      </w:pPr>
      <w:r>
        <w:rPr>
          <w:rFonts w:ascii="??_GB2312" w:hAnsi="宋体" w:eastAsia="Times New Roman"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00002FF" w:usb1="4000ACFF" w:usb2="00000001" w:usb3="00000000" w:csb0="2000019F" w:csb1="00000000"/>
  </w:font>
  <w:font w:name="Arial">
    <w:panose1 w:val="020B0604020202020204"/>
    <w:charset w:val="01"/>
    <w:family w:val="decorative"/>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swiss"/>
    <w:pitch w:val="default"/>
    <w:sig w:usb0="E0002A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_GB2312">
    <w:altName w:val="Times New Roman"/>
    <w:panose1 w:val="00000000000000000000"/>
    <w:charset w:val="00"/>
    <w:family w:val="auto"/>
    <w:pitch w:val="default"/>
    <w:sig w:usb0="00000000" w:usb1="00000000" w:usb2="00000000" w:usb3="00000000" w:csb0="00000001" w:csb1="00000000"/>
  </w:font>
  <w:font w:name="仿宋_GB2312">
    <w:panose1 w:val="02010609030101010101"/>
    <w:charset w:val="86"/>
    <w:family w:val="roman"/>
    <w:pitch w:val="default"/>
    <w:sig w:usb0="00000001" w:usb1="080E0000" w:usb2="00000000" w:usb3="00000000" w:csb0="00040000" w:csb1="00000000"/>
  </w:font>
  <w:font w:name="ˎ̥">
    <w:altName w:val="Segoe Print"/>
    <w:panose1 w:val="00000000000000000000"/>
    <w:charset w:val="00"/>
    <w:family w:val="auto"/>
    <w:pitch w:val="default"/>
    <w:sig w:usb0="00000000" w:usb1="00000000" w:usb2="00000000" w:usb3="00000000" w:csb0="00000000" w:csb1="00000000"/>
  </w:font>
  <w:font w:name="楷体">
    <w:panose1 w:val="02010609060101010101"/>
    <w:charset w:val="86"/>
    <w:family w:val="roman"/>
    <w:pitch w:val="default"/>
    <w:sig w:usb0="800002BF" w:usb1="38CF7CFA" w:usb2="00000016" w:usb3="00000000" w:csb0="00040001" w:csb1="00000000"/>
  </w:font>
  <w:font w:name="仿宋">
    <w:panose1 w:val="02010609060101010101"/>
    <w:charset w:val="86"/>
    <w:family w:val="roman"/>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 w:name="Cambria">
    <w:panose1 w:val="02040503050406030204"/>
    <w:charset w:val="00"/>
    <w:family w:val="swiss"/>
    <w:pitch w:val="default"/>
    <w:sig w:usb0="E00002FF" w:usb1="400004FF" w:usb2="00000000" w:usb3="00000000" w:csb0="2000019F" w:csb1="00000000"/>
  </w:font>
  <w:font w:name="Calibri">
    <w:panose1 w:val="020F0502020204030204"/>
    <w:charset w:val="00"/>
    <w:family w:val="roman"/>
    <w:pitch w:val="default"/>
    <w:sig w:usb0="E00002FF" w:usb1="4000ACFF" w:usb2="00000001" w:usb3="00000000" w:csb0="2000019F" w:csb1="00000000"/>
  </w:font>
  <w:font w:name="Arial">
    <w:panose1 w:val="020B0604020202020204"/>
    <w:charset w:val="01"/>
    <w:family w:val="roman"/>
    <w:pitch w:val="default"/>
    <w:sig w:usb0="E0002AFF" w:usb1="C0007843" w:usb2="00000009" w:usb3="00000000" w:csb0="400001FF" w:csb1="FFFF0000"/>
  </w:font>
  <w:font w:name="Courier New">
    <w:panose1 w:val="02070309020205020404"/>
    <w:charset w:val="01"/>
    <w:family w:val="decorative"/>
    <w:pitch w:val="default"/>
    <w:sig w:usb0="E0002AFF" w:usb1="C0007843" w:usb2="00000009" w:usb3="00000000" w:csb0="400001FF" w:csb1="FFFF0000"/>
  </w:font>
  <w:font w:name="Symbol">
    <w:panose1 w:val="05050102010706020507"/>
    <w:charset w:val="02"/>
    <w:family w:val="swiss"/>
    <w:pitch w:val="default"/>
    <w:sig w:usb0="00000000" w:usb1="00000000" w:usb2="00000000" w:usb3="00000000" w:csb0="8000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Cambria">
    <w:panose1 w:val="02040503050406030204"/>
    <w:charset w:val="00"/>
    <w:family w:val="decorative"/>
    <w:pitch w:val="default"/>
    <w:sig w:usb0="E00002FF" w:usb1="400004FF" w:usb2="00000000" w:usb3="00000000" w:csb0="2000019F" w:csb1="00000000"/>
  </w:font>
  <w:font w:name="Calibri">
    <w:panose1 w:val="020F0502020204030204"/>
    <w:charset w:val="00"/>
    <w:family w:val="modern"/>
    <w:pitch w:val="default"/>
    <w:sig w:usb0="E00002FF" w:usb1="4000ACFF" w:usb2="00000001" w:usb3="00000000" w:csb0="2000019F" w:csb1="00000000"/>
  </w:font>
  <w:font w:name="Arial">
    <w:panose1 w:val="020B0604020202020204"/>
    <w:charset w:val="01"/>
    <w:family w:val="modern"/>
    <w:pitch w:val="default"/>
    <w:sig w:usb0="E0002AFF" w:usb1="C0007843" w:usb2="00000009" w:usb3="00000000" w:csb0="400001FF" w:csb1="FFFF0000"/>
  </w:font>
  <w:font w:name="Courier New">
    <w:panose1 w:val="02070309020205020404"/>
    <w:charset w:val="01"/>
    <w:family w:val="roman"/>
    <w:pitch w:val="default"/>
    <w:sig w:usb0="E0002AFF" w:usb1="C0007843" w:usb2="00000009" w:usb3="00000000" w:csb0="400001FF" w:csb1="FFFF0000"/>
  </w:font>
  <w:font w:name="Symbol">
    <w:panose1 w:val="05050102010706020507"/>
    <w:charset w:val="02"/>
    <w:family w:val="decorative"/>
    <w:pitch w:val="default"/>
    <w:sig w:usb0="00000000" w:usb1="00000000" w:usb2="00000000" w:usb3="00000000" w:csb0="80000000" w:csb1="00000000"/>
  </w:font>
  <w:font w:name="仿宋_GB2312">
    <w:panose1 w:val="02010609030101010101"/>
    <w:charset w:val="86"/>
    <w:family w:val="swiss"/>
    <w:pitch w:val="default"/>
    <w:sig w:usb0="00000001" w:usb1="080E0000" w:usb2="00000000" w:usb3="00000000" w:csb0="00040000" w:csb1="00000000"/>
  </w:font>
  <w:font w:name="楷体">
    <w:panose1 w:val="02010609060101010101"/>
    <w:charset w:val="86"/>
    <w:family w:val="swiss"/>
    <w:pitch w:val="default"/>
    <w:sig w:usb0="800002BF" w:usb1="38CF7CFA" w:usb2="00000016" w:usb3="00000000" w:csb0="00040001" w:csb1="00000000"/>
  </w:font>
  <w:font w:name="仿宋">
    <w:panose1 w:val="02010609060101010101"/>
    <w:charset w:val="86"/>
    <w:family w:val="swiss"/>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305163578">
    <w:nsid w:val="4DCB373A"/>
    <w:multiLevelType w:val="multilevel"/>
    <w:tmpl w:val="4DCB373A"/>
    <w:lvl w:ilvl="0" w:tentative="1">
      <w:start w:val="1"/>
      <w:numFmt w:val="decimal"/>
      <w:lvlText w:val="第%1部"/>
      <w:lvlJc w:val="left"/>
      <w:pPr>
        <w:ind w:left="1305" w:hanging="1155"/>
      </w:pPr>
      <w:rPr>
        <w:rFonts w:hint="default" w:ascii="黑体" w:hAnsi="黑体" w:eastAsia="黑体" w:cs="黑体"/>
      </w:rPr>
    </w:lvl>
    <w:lvl w:ilvl="1" w:tentative="1">
      <w:start w:val="1"/>
      <w:numFmt w:val="lowerLetter"/>
      <w:lvlText w:val="%2)"/>
      <w:lvlJc w:val="left"/>
      <w:pPr>
        <w:ind w:left="990" w:hanging="420"/>
      </w:pPr>
    </w:lvl>
    <w:lvl w:ilvl="2" w:tentative="1">
      <w:start w:val="1"/>
      <w:numFmt w:val="lowerRoman"/>
      <w:lvlText w:val="%3."/>
      <w:lvlJc w:val="right"/>
      <w:pPr>
        <w:ind w:left="1410" w:hanging="420"/>
      </w:pPr>
    </w:lvl>
    <w:lvl w:ilvl="3" w:tentative="1">
      <w:start w:val="1"/>
      <w:numFmt w:val="decimal"/>
      <w:lvlText w:val="%4."/>
      <w:lvlJc w:val="left"/>
      <w:pPr>
        <w:ind w:left="1830" w:hanging="420"/>
      </w:pPr>
    </w:lvl>
    <w:lvl w:ilvl="4" w:tentative="1">
      <w:start w:val="1"/>
      <w:numFmt w:val="lowerLetter"/>
      <w:lvlText w:val="%5)"/>
      <w:lvlJc w:val="left"/>
      <w:pPr>
        <w:ind w:left="2250" w:hanging="420"/>
      </w:pPr>
    </w:lvl>
    <w:lvl w:ilvl="5" w:tentative="1">
      <w:start w:val="1"/>
      <w:numFmt w:val="lowerRoman"/>
      <w:lvlText w:val="%6."/>
      <w:lvlJc w:val="right"/>
      <w:pPr>
        <w:ind w:left="2670" w:hanging="420"/>
      </w:pPr>
    </w:lvl>
    <w:lvl w:ilvl="6" w:tentative="1">
      <w:start w:val="1"/>
      <w:numFmt w:val="decimal"/>
      <w:lvlText w:val="%7."/>
      <w:lvlJc w:val="left"/>
      <w:pPr>
        <w:ind w:left="3090" w:hanging="420"/>
      </w:pPr>
    </w:lvl>
    <w:lvl w:ilvl="7" w:tentative="1">
      <w:start w:val="1"/>
      <w:numFmt w:val="lowerLetter"/>
      <w:lvlText w:val="%8)"/>
      <w:lvlJc w:val="left"/>
      <w:pPr>
        <w:ind w:left="3510" w:hanging="420"/>
      </w:pPr>
    </w:lvl>
    <w:lvl w:ilvl="8" w:tentative="1">
      <w:start w:val="1"/>
      <w:numFmt w:val="lowerRoman"/>
      <w:lvlText w:val="%9."/>
      <w:lvlJc w:val="right"/>
      <w:pPr>
        <w:ind w:left="3930" w:hanging="420"/>
      </w:pPr>
    </w:lvl>
  </w:abstractNum>
  <w:abstractNum w:abstractNumId="92482439">
    <w:nsid w:val="05832B87"/>
    <w:multiLevelType w:val="multilevel"/>
    <w:tmpl w:val="05832B87"/>
    <w:lvl w:ilvl="0" w:tentative="1">
      <w:start w:val="1"/>
      <w:numFmt w:val="chineseCountingThousand"/>
      <w:lvlText w:val="第%1部分"/>
      <w:lvlJc w:val="left"/>
      <w:pPr>
        <w:ind w:left="1320" w:hanging="1320"/>
      </w:pPr>
      <w:rPr>
        <w:rFonts w:hint="eastAsia" w:ascii="黑体" w:hAnsi="黑体" w:eastAsia="黑体" w:cs="黑体"/>
      </w:rPr>
    </w:lvl>
    <w:lvl w:ilvl="1" w:tentative="1">
      <w:start w:val="1"/>
      <w:numFmt w:val="lowerLetter"/>
      <w:lvlText w:val="%2)"/>
      <w:lvlJc w:val="left"/>
      <w:pPr>
        <w:ind w:left="840" w:hanging="420"/>
      </w:pPr>
      <w:rPr>
        <w:rFonts w:cs="Times New Roman"/>
      </w:rPr>
    </w:lvl>
    <w:lvl w:ilvl="2" w:tentative="1">
      <w:start w:val="1"/>
      <w:numFmt w:val="lowerRoman"/>
      <w:lvlText w:val="%3."/>
      <w:lvlJc w:val="right"/>
      <w:pPr>
        <w:ind w:left="1260" w:hanging="420"/>
      </w:pPr>
      <w:rPr>
        <w:rFonts w:cs="Times New Roman"/>
      </w:rPr>
    </w:lvl>
    <w:lvl w:ilvl="3" w:tentative="1">
      <w:start w:val="1"/>
      <w:numFmt w:val="decimal"/>
      <w:lvlText w:val="%4."/>
      <w:lvlJc w:val="left"/>
      <w:pPr>
        <w:ind w:left="1680" w:hanging="420"/>
      </w:pPr>
      <w:rPr>
        <w:rFonts w:cs="Times New Roman"/>
      </w:rPr>
    </w:lvl>
    <w:lvl w:ilvl="4" w:tentative="1">
      <w:start w:val="1"/>
      <w:numFmt w:val="lowerLetter"/>
      <w:lvlText w:val="%5)"/>
      <w:lvlJc w:val="left"/>
      <w:pPr>
        <w:ind w:left="2100" w:hanging="420"/>
      </w:pPr>
      <w:rPr>
        <w:rFonts w:cs="Times New Roman"/>
      </w:rPr>
    </w:lvl>
    <w:lvl w:ilvl="5" w:tentative="1">
      <w:start w:val="1"/>
      <w:numFmt w:val="lowerRoman"/>
      <w:lvlText w:val="%6."/>
      <w:lvlJc w:val="right"/>
      <w:pPr>
        <w:ind w:left="2520" w:hanging="420"/>
      </w:pPr>
      <w:rPr>
        <w:rFonts w:cs="Times New Roman"/>
      </w:rPr>
    </w:lvl>
    <w:lvl w:ilvl="6" w:tentative="1">
      <w:start w:val="1"/>
      <w:numFmt w:val="decimal"/>
      <w:lvlText w:val="%7."/>
      <w:lvlJc w:val="left"/>
      <w:pPr>
        <w:ind w:left="2940" w:hanging="420"/>
      </w:pPr>
      <w:rPr>
        <w:rFonts w:cs="Times New Roman"/>
      </w:rPr>
    </w:lvl>
    <w:lvl w:ilvl="7" w:tentative="1">
      <w:start w:val="1"/>
      <w:numFmt w:val="lowerLetter"/>
      <w:lvlText w:val="%8)"/>
      <w:lvlJc w:val="left"/>
      <w:pPr>
        <w:ind w:left="3360" w:hanging="420"/>
      </w:pPr>
      <w:rPr>
        <w:rFonts w:cs="Times New Roman"/>
      </w:rPr>
    </w:lvl>
    <w:lvl w:ilvl="8" w:tentative="1">
      <w:start w:val="1"/>
      <w:numFmt w:val="lowerRoman"/>
      <w:lvlText w:val="%9."/>
      <w:lvlJc w:val="right"/>
      <w:pPr>
        <w:ind w:left="3780" w:hanging="420"/>
      </w:pPr>
      <w:rPr>
        <w:rFonts w:cs="Times New Roman"/>
      </w:rPr>
    </w:lvl>
  </w:abstractNum>
  <w:num w:numId="1">
    <w:abstractNumId w:val="92482439"/>
  </w:num>
  <w:num w:numId="2">
    <w:abstractNumId w:val="130516357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doNotTrackMoves/>
  <w:documentProtection w:enforcement="0"/>
  <w:defaultTabStop w:val="420"/>
  <w:drawingGridHorizontalSpacing w:val="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NmZmNmUxN2Q2NzI2Mjg3YzhkNjgzNTg3YjNhYzI5Y2MifQ=="/>
  </w:docVars>
  <w:rsids>
    <w:rsidRoot w:val="00D13370"/>
    <w:rsid w:val="002E5B64"/>
    <w:rsid w:val="003E64B5"/>
    <w:rsid w:val="004108F3"/>
    <w:rsid w:val="004237AE"/>
    <w:rsid w:val="0045545E"/>
    <w:rsid w:val="004E7489"/>
    <w:rsid w:val="00550336"/>
    <w:rsid w:val="00553B16"/>
    <w:rsid w:val="00567271"/>
    <w:rsid w:val="005F5058"/>
    <w:rsid w:val="006664D0"/>
    <w:rsid w:val="0072539F"/>
    <w:rsid w:val="0072644D"/>
    <w:rsid w:val="007D0968"/>
    <w:rsid w:val="007D47A3"/>
    <w:rsid w:val="00905655"/>
    <w:rsid w:val="00917E4C"/>
    <w:rsid w:val="00963078"/>
    <w:rsid w:val="009A4E60"/>
    <w:rsid w:val="009E0062"/>
    <w:rsid w:val="00A31E86"/>
    <w:rsid w:val="00A516A3"/>
    <w:rsid w:val="00B27AB5"/>
    <w:rsid w:val="00B51D22"/>
    <w:rsid w:val="00D13370"/>
    <w:rsid w:val="00E30832"/>
    <w:rsid w:val="0160084E"/>
    <w:rsid w:val="033A0C36"/>
    <w:rsid w:val="03767B60"/>
    <w:rsid w:val="047177BD"/>
    <w:rsid w:val="064D5B65"/>
    <w:rsid w:val="0683550F"/>
    <w:rsid w:val="0AE0224E"/>
    <w:rsid w:val="0B4311BF"/>
    <w:rsid w:val="0BCF1D95"/>
    <w:rsid w:val="0DA505DC"/>
    <w:rsid w:val="0F3243F6"/>
    <w:rsid w:val="10337CA4"/>
    <w:rsid w:val="15C23E8A"/>
    <w:rsid w:val="15FD6214"/>
    <w:rsid w:val="19C3654F"/>
    <w:rsid w:val="19D5DA33"/>
    <w:rsid w:val="1A7F472B"/>
    <w:rsid w:val="1B852BF7"/>
    <w:rsid w:val="1B9C297C"/>
    <w:rsid w:val="1EF63370"/>
    <w:rsid w:val="1FBF8E30"/>
    <w:rsid w:val="210829C0"/>
    <w:rsid w:val="26A7461D"/>
    <w:rsid w:val="2BDF0DC0"/>
    <w:rsid w:val="2BE27F2E"/>
    <w:rsid w:val="2DCA0C7A"/>
    <w:rsid w:val="2FF7110D"/>
    <w:rsid w:val="2FFFCED3"/>
    <w:rsid w:val="340E22D7"/>
    <w:rsid w:val="35926521"/>
    <w:rsid w:val="39AA557D"/>
    <w:rsid w:val="3A015C26"/>
    <w:rsid w:val="3CCF1D0C"/>
    <w:rsid w:val="3DDB2548"/>
    <w:rsid w:val="3F7FB4B5"/>
    <w:rsid w:val="3FAD4D11"/>
    <w:rsid w:val="3FF54D41"/>
    <w:rsid w:val="404C3055"/>
    <w:rsid w:val="44360467"/>
    <w:rsid w:val="46060C77"/>
    <w:rsid w:val="46747D04"/>
    <w:rsid w:val="469F4F9C"/>
    <w:rsid w:val="47307948"/>
    <w:rsid w:val="49670689"/>
    <w:rsid w:val="4A6D669B"/>
    <w:rsid w:val="4C8E5EAB"/>
    <w:rsid w:val="4DB82445"/>
    <w:rsid w:val="4E233B24"/>
    <w:rsid w:val="4EFA6E6F"/>
    <w:rsid w:val="4FB80849"/>
    <w:rsid w:val="55004DFD"/>
    <w:rsid w:val="56494582"/>
    <w:rsid w:val="5B6E2D1A"/>
    <w:rsid w:val="5D2E058D"/>
    <w:rsid w:val="5DB7E539"/>
    <w:rsid w:val="5EE035AA"/>
    <w:rsid w:val="6635249D"/>
    <w:rsid w:val="66DACB0B"/>
    <w:rsid w:val="66DB1A42"/>
    <w:rsid w:val="68625AE2"/>
    <w:rsid w:val="697BF56A"/>
    <w:rsid w:val="6B6CE30F"/>
    <w:rsid w:val="6C7F1319"/>
    <w:rsid w:val="6DDF74AC"/>
    <w:rsid w:val="6FAF0D8D"/>
    <w:rsid w:val="6FCFCADC"/>
    <w:rsid w:val="6FFA4FE6"/>
    <w:rsid w:val="70D56CBF"/>
    <w:rsid w:val="70DB29EF"/>
    <w:rsid w:val="72AA0772"/>
    <w:rsid w:val="72BB6ED2"/>
    <w:rsid w:val="75FB0B04"/>
    <w:rsid w:val="79F7B683"/>
    <w:rsid w:val="7A370B9D"/>
    <w:rsid w:val="7CAF4890"/>
    <w:rsid w:val="7D73BCCE"/>
    <w:rsid w:val="7DE79FA0"/>
    <w:rsid w:val="7DEBCAFF"/>
    <w:rsid w:val="7EDD8B29"/>
    <w:rsid w:val="7FA514C2"/>
    <w:rsid w:val="7FF73252"/>
    <w:rsid w:val="7FFDF15C"/>
    <w:rsid w:val="93F36975"/>
    <w:rsid w:val="AADF2E0B"/>
    <w:rsid w:val="AF3F5406"/>
    <w:rsid w:val="B9D2CE32"/>
    <w:rsid w:val="BB7F118A"/>
    <w:rsid w:val="BFFBBED2"/>
    <w:rsid w:val="C7EB2CB0"/>
    <w:rsid w:val="CD2464D5"/>
    <w:rsid w:val="DE7FF6A4"/>
    <w:rsid w:val="DEFF07CB"/>
    <w:rsid w:val="E79BB625"/>
    <w:rsid w:val="F3DAEB57"/>
    <w:rsid w:val="F6DEF973"/>
    <w:rsid w:val="FB3D6908"/>
    <w:rsid w:val="FBB7B09C"/>
    <w:rsid w:val="FCEF298F"/>
    <w:rsid w:val="FEB7BAAB"/>
    <w:rsid w:val="FF1D4DC2"/>
    <w:rsid w:val="FFF4E2CB"/>
    <w:rsid w:val="FFFF3E43"/>
  </w:rsids>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semiHidden="0" w:name="annotation text"/>
    <w:lsdException w:qFormat="1" w:unhideWhenUsed="0" w:uiPriority="99" w:name="header"/>
    <w:lsdException w:qFormat="1" w:unhideWhenUsed="0"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nhideWhenUsed="0" w:uiPriority="0" w:semiHidden="0" w:name="Table Simple 1" w:locked="1"/>
    <w:lsdException w:unhideWhenUsed="0" w:uiPriority="0" w:semiHidden="0" w:name="Table Simple 2" w:locked="1"/>
    <w:lsdException w:unhideWhenUsed="0" w:uiPriority="0" w:semiHidden="0" w:name="Table Simple 3" w:locked="1"/>
    <w:lsdException w:unhideWhenUsed="0" w:uiPriority="0" w:semiHidden="0" w:name="Table Classic 1" w:locked="1"/>
    <w:lsdException w:unhideWhenUsed="0" w:uiPriority="0" w:semiHidden="0" w:name="Table Classic 2" w:locked="1"/>
    <w:lsdException w:unhideWhenUsed="0" w:uiPriority="0" w:semiHidden="0" w:name="Table Classic 3" w:locked="1"/>
    <w:lsdException w:unhideWhenUsed="0" w:uiPriority="0" w:semiHidden="0" w:name="Table Classic 4" w:locked="1"/>
    <w:lsdException w:unhideWhenUsed="0" w:uiPriority="0" w:semiHidden="0" w:name="Table Colorful 1" w:locked="1"/>
    <w:lsdException w:unhideWhenUsed="0" w:uiPriority="0" w:semiHidden="0" w:name="Table Colorful 2" w:locked="1"/>
    <w:lsdException w:unhideWhenUsed="0" w:uiPriority="0" w:semiHidden="0" w:name="Table Colorful 3" w:locked="1"/>
    <w:lsdException w:unhideWhenUsed="0" w:uiPriority="0" w:semiHidden="0" w:name="Table Columns 1" w:locked="1"/>
    <w:lsdException w:unhideWhenUsed="0" w:uiPriority="0" w:semiHidden="0" w:name="Table Columns 2" w:locked="1"/>
    <w:lsdException w:unhideWhenUsed="0" w:uiPriority="0" w:semiHidden="0" w:name="Table Columns 3" w:locked="1"/>
    <w:lsdException w:unhideWhenUsed="0" w:uiPriority="0" w:semiHidden="0" w:name="Table Columns 4" w:locked="1"/>
    <w:lsdException w:unhideWhenUsed="0" w:uiPriority="0" w:semiHidden="0" w:name="Table Columns 5" w:locked="1"/>
    <w:lsdException w:unhideWhenUsed="0" w:uiPriority="0" w:semiHidden="0" w:name="Table Grid 1" w:locked="1"/>
    <w:lsdException w:unhideWhenUsed="0" w:uiPriority="0" w:semiHidden="0" w:name="Table Grid 2" w:locked="1"/>
    <w:lsdException w:unhideWhenUsed="0" w:uiPriority="0" w:semiHidden="0" w:name="Table Grid 3" w:locked="1"/>
    <w:lsdException w:unhideWhenUsed="0" w:uiPriority="0" w:semiHidden="0" w:name="Table Grid 4" w:locked="1"/>
    <w:lsdException w:unhideWhenUsed="0" w:uiPriority="0" w:semiHidden="0" w:name="Table Grid 5" w:locked="1"/>
    <w:lsdException w:unhideWhenUsed="0" w:uiPriority="0" w:semiHidden="0" w:name="Table Grid 6" w:locked="1"/>
    <w:lsdException w:unhideWhenUsed="0" w:uiPriority="0" w:semiHidden="0" w:name="Table Grid 7" w:locked="1"/>
    <w:lsdException w:unhideWhenUsed="0" w:uiPriority="0" w:semiHidden="0" w:name="Table Grid 8" w:locked="1"/>
    <w:lsdException w:unhideWhenUsed="0" w:uiPriority="0" w:semiHidden="0" w:name="Table List 1" w:locked="1"/>
    <w:lsdException w:unhideWhenUsed="0" w:uiPriority="0" w:semiHidden="0" w:name="Table List 2" w:locked="1"/>
    <w:lsdException w:unhideWhenUsed="0" w:uiPriority="0" w:semiHidden="0" w:name="Table List 3" w:locked="1"/>
    <w:lsdException w:unhideWhenUsed="0" w:uiPriority="0" w:semiHidden="0" w:name="Table List 4" w:locked="1"/>
    <w:lsdException w:unhideWhenUsed="0" w:uiPriority="0" w:semiHidden="0" w:name="Table List 5" w:locked="1"/>
    <w:lsdException w:unhideWhenUsed="0" w:uiPriority="0" w:semiHidden="0" w:name="Table List 6" w:locked="1"/>
    <w:lsdException w:unhideWhenUsed="0" w:uiPriority="0" w:semiHidden="0" w:name="Table List 7" w:locked="1"/>
    <w:lsdException w:unhideWhenUsed="0" w:uiPriority="0" w:semiHidden="0" w:name="Table List 8" w:locked="1"/>
    <w:lsdException w:unhideWhenUsed="0" w:uiPriority="0" w:semiHidden="0" w:name="Table 3D effects 1" w:locked="1"/>
    <w:lsdException w:unhideWhenUsed="0" w:uiPriority="0" w:semiHidden="0" w:name="Table 3D effects 2" w:locked="1"/>
    <w:lsdException w:unhideWhenUsed="0" w:uiPriority="0" w:semiHidden="0" w:name="Table 3D effects 3" w:locked="1"/>
    <w:lsdException w:unhideWhenUsed="0" w:uiPriority="0" w:semiHidden="0" w:name="Table Contemporary" w:locked="1"/>
    <w:lsdException w:unhideWhenUsed="0" w:uiPriority="0" w:semiHidden="0" w:name="Table Elegant" w:locked="1"/>
    <w:lsdException w:unhideWhenUsed="0" w:uiPriority="0" w:semiHidden="0" w:name="Table Professional" w:locked="1"/>
    <w:lsdException w:unhideWhenUsed="0" w:uiPriority="0" w:semiHidden="0" w:name="Table Subtle 1" w:locked="1"/>
    <w:lsdException w:unhideWhenUsed="0" w:uiPriority="0" w:semiHidden="0" w:name="Table Subtle 2" w:locked="1"/>
    <w:lsdException w:unhideWhenUsed="0" w:uiPriority="0" w:semiHidden="0" w:name="Table Web 1" w:locked="1"/>
    <w:lsdException w:unhideWhenUsed="0" w:uiPriority="0" w:semiHidden="0" w:name="Table Web 2" w:locked="1"/>
    <w:lsdException w:unhideWhenUsed="0" w:uiPriority="0" w:semiHidden="0" w:name="Table Web 3" w:locked="1"/>
    <w:lsdException w:uiPriority="99" w:name="Balloon Text"/>
    <w:lsdException w:unhideWhenUsed="0" w:uiPriority="0" w:semiHidden="0" w:name="Table Grid" w:locked="1"/>
    <w:lsdException w:unhideWhenUsed="0" w:uiPriority="0" w:semiHidden="0"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unhideWhenUsed/>
    <w:qFormat/>
    <w:uiPriority w:val="1"/>
  </w:style>
  <w:style w:type="table" w:default="1" w:styleId="6">
    <w:name w:val="Normal Table"/>
    <w:unhideWhenUsed/>
    <w:qFormat/>
    <w:uiPriority w:val="99"/>
    <w:tblPr>
      <w:tblLayout w:type="fixed"/>
      <w:tblCellMar>
        <w:top w:w="0" w:type="dxa"/>
        <w:left w:w="108" w:type="dxa"/>
        <w:bottom w:w="0" w:type="dxa"/>
        <w:right w:w="108" w:type="dxa"/>
      </w:tblCellMar>
    </w:tblPr>
  </w:style>
  <w:style w:type="paragraph" w:styleId="2">
    <w:name w:val="annotation text"/>
    <w:basedOn w:val="1"/>
    <w:unhideWhenUsed/>
    <w:uiPriority w:val="99"/>
    <w:pPr>
      <w:jc w:val="left"/>
    </w:pPr>
  </w:style>
  <w:style w:type="paragraph" w:styleId="3">
    <w:name w:val="footer"/>
    <w:basedOn w:val="1"/>
    <w:link w:val="7"/>
    <w:semiHidden/>
    <w:qFormat/>
    <w:uiPriority w:val="99"/>
    <w:pPr>
      <w:tabs>
        <w:tab w:val="center" w:pos="4153"/>
        <w:tab w:val="right" w:pos="8306"/>
      </w:tabs>
      <w:snapToGrid w:val="0"/>
      <w:jc w:val="left"/>
    </w:pPr>
    <w:rPr>
      <w:sz w:val="18"/>
      <w:szCs w:val="18"/>
    </w:rPr>
  </w:style>
  <w:style w:type="paragraph" w:styleId="4">
    <w:name w:val="header"/>
    <w:basedOn w:val="1"/>
    <w:link w:val="8"/>
    <w:semiHidden/>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脚 Char"/>
    <w:basedOn w:val="5"/>
    <w:link w:val="3"/>
    <w:semiHidden/>
    <w:qFormat/>
    <w:locked/>
    <w:uiPriority w:val="99"/>
    <w:rPr>
      <w:rFonts w:cs="Times New Roman"/>
      <w:sz w:val="18"/>
      <w:szCs w:val="18"/>
    </w:rPr>
  </w:style>
  <w:style w:type="character" w:customStyle="1" w:styleId="8">
    <w:name w:val="页眉 Char"/>
    <w:basedOn w:val="5"/>
    <w:link w:val="4"/>
    <w:semiHidden/>
    <w:qFormat/>
    <w:locked/>
    <w:uiPriority w:val="99"/>
    <w:rPr>
      <w:rFonts w:cs="Times New Roman"/>
      <w:sz w:val="18"/>
      <w:szCs w:val="18"/>
    </w:rPr>
  </w:style>
  <w:style w:type="paragraph" w:customStyle="1" w:styleId="9">
    <w:name w:val="List Paragraph1"/>
    <w:basedOn w:val="1"/>
    <w:qFormat/>
    <w:uiPriority w:val="99"/>
    <w:pPr>
      <w:jc w:val="left"/>
    </w:pPr>
    <w:rPr>
      <w:rFonts w:ascii="黑体" w:hAnsi="黑体" w:eastAsia="黑体"/>
      <w:sz w:val="32"/>
      <w:szCs w:val="32"/>
    </w:rPr>
  </w:style>
  <w:style w:type="paragraph" w:customStyle="1" w:styleId="10">
    <w:name w:val="正文1 Char Char Char"/>
    <w:basedOn w:val="1"/>
    <w:qFormat/>
    <w:uiPriority w:val="99"/>
    <w:pPr>
      <w:widowControl/>
      <w:spacing w:line="360" w:lineRule="auto"/>
      <w:ind w:firstLine="200" w:firstLineChars="200"/>
      <w:jc w:val="left"/>
    </w:pPr>
    <w:rPr>
      <w:rFonts w:ascii="宋体" w:hAnsi="宋体" w:cs="宋体"/>
      <w:kern w:val="0"/>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E9918DB-49D2-482D-8774-D70B4D1A7AC6}">
  <ds:schemaRefs/>
</ds:datastoreItem>
</file>

<file path=docProps/app.xml><?xml version="1.0" encoding="utf-8"?>
<Properties xmlns="http://schemas.openxmlformats.org/officeDocument/2006/extended-properties" xmlns:vt="http://schemas.openxmlformats.org/officeDocument/2006/docPropsVTypes">
  <Template>Normal</Template>
  <Pages>10</Pages>
  <Words>602</Words>
  <Characters>3437</Characters>
  <Lines>28</Lines>
  <Paragraphs>8</Paragraphs>
  <TotalTime>0</TotalTime>
  <ScaleCrop>false</ScaleCrop>
  <LinksUpToDate>false</LinksUpToDate>
  <CharactersWithSpaces>4031</CharactersWithSpaces>
  <Application>WPS Office_10.8.0.5603_F1E327BC-269C-435d-A152-05C5408002CA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2017-02-03T23:31:00Z</dcterms:created>
  <dc:creator>null,null,总收发</dc:creator>
  <cp:lastModifiedBy>朱利娜</cp:lastModifiedBy>
  <dcterms:modified xsi:type="dcterms:W3CDTF">2024-07-19T07:16:29Z</dcterms:modified>
  <dc:title>××年××部门（单位）预算</dc:title>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2052-10.8.0.5603</vt:lpwstr>
  </property>
  <property fmtid="{D5CDD505-2E9C-101B-9397-08002B2CF9AE}" pid="3" name="ICV">
    <vt:lpwstr>E89340B943D04DF1A25C58A037A3FF7F</vt:lpwstr>
  </property>
</Properties>
</file>