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sz w:val="52"/>
          <w:szCs w:val="52"/>
        </w:rPr>
      </w:pPr>
      <w:r>
        <w:rPr>
          <w:rFonts w:hint="eastAsia"/>
          <w:sz w:val="52"/>
          <w:szCs w:val="52"/>
        </w:rPr>
        <w:t>2023年三亚市知识产权保护</w:t>
      </w:r>
    </w:p>
    <w:p>
      <w:pPr>
        <w:jc w:val="center"/>
        <w:rPr>
          <w:sz w:val="52"/>
          <w:szCs w:val="52"/>
        </w:rPr>
      </w:pPr>
      <w:r>
        <w:rPr>
          <w:rFonts w:hint="eastAsia"/>
          <w:sz w:val="52"/>
          <w:szCs w:val="52"/>
        </w:rPr>
        <w:t>中心部门预算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rPr>
        <w:t>三亚市知识产权保护中心概况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 xml:space="preserve">  三亚市知识产权保护中心2023年部门预算表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三亚市知识产权保护中心2023年部门预算情况说明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7"/>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三亚市知识产权保护中心概况</w:t>
      </w:r>
    </w:p>
    <w:p>
      <w:pPr>
        <w:jc w:val="left"/>
        <w:rPr>
          <w:rFonts w:ascii="仿宋_GB2312" w:hAnsi="仿宋_GB2312" w:eastAsia="仿宋_GB2312" w:cs="仿宋_GB2312"/>
          <w:sz w:val="32"/>
          <w:szCs w:val="32"/>
        </w:rPr>
      </w:pPr>
    </w:p>
    <w:p>
      <w:pPr>
        <w:pStyle w:val="7"/>
        <w:ind w:firstLine="640"/>
        <w:jc w:val="left"/>
        <w:rPr>
          <w:rFonts w:ascii="黑体" w:hAnsi="黑体" w:eastAsia="黑体" w:cs="仿宋_GB2312"/>
          <w:sz w:val="32"/>
          <w:szCs w:val="32"/>
        </w:rPr>
      </w:pPr>
      <w:r>
        <w:rPr>
          <w:rFonts w:hint="eastAsia" w:ascii="黑体" w:hAnsi="黑体" w:eastAsia="黑体" w:cs="仿宋_GB2312"/>
          <w:sz w:val="32"/>
          <w:szCs w:val="32"/>
        </w:rPr>
        <w:t>一、主要职能</w:t>
      </w:r>
    </w:p>
    <w:p>
      <w:pPr>
        <w:pStyle w:val="7"/>
        <w:numPr>
          <w:ilvl w:val="255"/>
          <w:numId w:val="0"/>
        </w:numPr>
        <w:ind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（一）专利快速审查与确权，建立专利预审快速通道，针对三亚市海洋和现代化农业备案企业提出的专利申请、专利无效宣告案件请求、专利复审案件请求、专利权评价报告请求开展预审服务。</w:t>
      </w:r>
    </w:p>
    <w:p>
      <w:pPr>
        <w:ind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（二）知识产权快速维权，开展专利纠纷调解、专利侵权判定咨询及海外维权工作。</w:t>
      </w:r>
    </w:p>
    <w:p>
      <w:pPr>
        <w:ind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（三）知识产权协作保护，构建知识产权信用体系、做好行政与司法衔接、推进知识产权执法协作、促进社会调解与仲裁。</w:t>
      </w:r>
    </w:p>
    <w:p>
      <w:pPr>
        <w:ind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（四）知识产权综合服务，开展知识产权政策咨询，开展专利导航及运营，面向海洋和现代化农业开展知识产权评议、专利分析预警。</w:t>
      </w:r>
    </w:p>
    <w:p>
      <w:pPr>
        <w:pStyle w:val="7"/>
        <w:ind w:firstLine="640"/>
        <w:jc w:val="left"/>
        <w:rPr>
          <w:rFonts w:ascii="黑体" w:hAnsi="黑体" w:eastAsia="黑体" w:cs="仿宋_GB2312"/>
          <w:sz w:val="32"/>
          <w:szCs w:val="32"/>
        </w:rPr>
      </w:pPr>
      <w:r>
        <w:rPr>
          <w:rFonts w:hint="eastAsia" w:ascii="黑体" w:hAnsi="黑体" w:eastAsia="黑体" w:cs="仿宋_GB2312"/>
          <w:sz w:val="32"/>
          <w:szCs w:val="32"/>
        </w:rPr>
        <w:t>二、部门预算单位构成</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纳入三亚市知识产权保护中心2023年部门预算编制范围的二级预算单位包括：</w:t>
      </w:r>
    </w:p>
    <w:p>
      <w:pPr>
        <w:pStyle w:val="7"/>
        <w:numPr>
          <w:ilvl w:val="0"/>
          <w:numId w:val="0"/>
        </w:numPr>
        <w:ind w:left="1160" w:leftChars="0" w:hanging="360" w:firstLineChars="0"/>
        <w:rPr>
          <w:rFonts w:ascii="仿宋_GB2312" w:hAnsi="黑体" w:eastAsia="仿宋_GB2312" w:cs="仿宋_GB2312"/>
          <w:sz w:val="32"/>
          <w:szCs w:val="32"/>
        </w:rPr>
      </w:pPr>
      <w:r>
        <w:rPr>
          <w:rFonts w:hint="default" w:ascii="仿宋_GB2312" w:hAnsi="黑体" w:eastAsia="仿宋_GB2312" w:cs="仿宋_GB2312"/>
          <w:kern w:val="2"/>
          <w:sz w:val="32"/>
          <w:szCs w:val="32"/>
          <w:lang w:val="en-US" w:eastAsia="zh-CN" w:bidi="ar-SA"/>
        </w:rPr>
        <w:t>1.</w:t>
      </w:r>
      <w:r>
        <w:rPr>
          <w:rFonts w:hint="eastAsia" w:ascii="仿宋_GB2312" w:hAnsi="黑体" w:eastAsia="仿宋_GB2312" w:cs="仿宋_GB2312"/>
          <w:sz w:val="32"/>
          <w:szCs w:val="32"/>
        </w:rPr>
        <w:t>三亚市知识产权保护中心本级</w:t>
      </w:r>
      <w:bookmarkStart w:id="0" w:name="_GoBack"/>
      <w:bookmarkEnd w:id="0"/>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highlight w:val="none"/>
          <w:lang w:val="en-US" w:eastAsia="zh-CN"/>
        </w:rPr>
        <w:t>三亚市知识产权保护中心隶属于</w:t>
      </w:r>
      <w:r>
        <w:rPr>
          <w:rFonts w:hint="eastAsia" w:ascii="仿宋_GB2312" w:hAnsi="黑体" w:eastAsia="仿宋_GB2312" w:cs="仿宋_GB2312"/>
          <w:sz w:val="32"/>
          <w:szCs w:val="32"/>
          <w:lang w:eastAsia="zh-CN"/>
        </w:rPr>
        <w:t>三亚市人民政府</w:t>
      </w:r>
      <w:r>
        <w:rPr>
          <w:rFonts w:hint="eastAsia" w:ascii="仿宋_GB2312" w:hAnsi="黑体" w:eastAsia="仿宋_GB2312" w:cs="仿宋_GB2312"/>
          <w:sz w:val="32"/>
          <w:szCs w:val="32"/>
          <w:highlight w:val="none"/>
          <w:lang w:val="en-US" w:eastAsia="zh-CN"/>
        </w:rPr>
        <w:t>，副处级公益一类事业单位。</w:t>
      </w:r>
      <w:r>
        <w:rPr>
          <w:rFonts w:hint="eastAsia" w:ascii="仿宋_GB2312" w:hAnsi="黑体" w:eastAsia="仿宋_GB2312" w:cs="仿宋_GB2312"/>
          <w:sz w:val="32"/>
          <w:szCs w:val="32"/>
          <w:highlight w:val="none"/>
          <w:lang w:eastAsia="zh-CN"/>
        </w:rPr>
        <w:t>内设职能部门具体为:</w:t>
      </w:r>
      <w:r>
        <w:rPr>
          <w:rFonts w:hint="eastAsia" w:ascii="仿宋_GB2312" w:hAnsi="黑体" w:eastAsia="仿宋_GB2312" w:cs="仿宋_GB2312"/>
          <w:sz w:val="32"/>
          <w:szCs w:val="32"/>
          <w:lang w:eastAsia="zh-CN"/>
        </w:rPr>
        <w:t>综合管理部</w:t>
      </w:r>
      <w:r>
        <w:rPr>
          <w:rFonts w:hint="eastAsia" w:ascii="仿宋_GB2312" w:hAnsi="黑体" w:eastAsia="仿宋_GB2312" w:cs="仿宋_GB2312"/>
          <w:sz w:val="32"/>
          <w:szCs w:val="32"/>
          <w:highlight w:val="none"/>
          <w:lang w:eastAsia="zh-CN"/>
        </w:rPr>
        <w:t>、</w:t>
      </w:r>
      <w:r>
        <w:rPr>
          <w:rFonts w:hint="eastAsia" w:ascii="仿宋_GB2312" w:hAnsi="黑体" w:eastAsia="仿宋_GB2312" w:cs="仿宋_GB2312"/>
          <w:sz w:val="32"/>
          <w:szCs w:val="32"/>
          <w:lang w:eastAsia="zh-CN"/>
        </w:rPr>
        <w:t>知识产权预审部、维权保护部、创新服务部</w:t>
      </w:r>
      <w:r>
        <w:rPr>
          <w:rFonts w:hint="eastAsia" w:ascii="仿宋_GB2312" w:hAnsi="黑体" w:eastAsia="仿宋_GB2312" w:cs="仿宋_GB2312"/>
          <w:sz w:val="32"/>
          <w:szCs w:val="32"/>
          <w:highlight w:val="none"/>
          <w:lang w:eastAsia="zh-CN"/>
        </w:rPr>
        <w:t>。</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rPr>
        <w:t>三亚市知识产权保护中心2022年部门预算表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第三部分   三亚市知识产权保护中心2023年部门预算情况说明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一、关于三亚市知识产权保护中心2023年财政拨款收支预算情况的总体说明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rPr>
        <w:t>三亚市知识产权保护中心2023</w:t>
      </w:r>
      <w:r>
        <w:rPr>
          <w:rFonts w:hint="eastAsia" w:ascii="仿宋_GB2312" w:hAnsi="黑体" w:eastAsia="仿宋_GB2312"/>
          <w:sz w:val="32"/>
          <w:szCs w:val="32"/>
        </w:rPr>
        <w:t>年财政拨款收支总预算1283.93万元。其中，收入总计1283.93万元，包括一般公共预算本年收入1283.93万元、上年结转0万元，政府性基金预算本年收入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万元；支出总计1283.93万元，包括一般公共服务支出1,223.81万元、外交支出</w:t>
      </w:r>
      <w:r>
        <w:rPr>
          <w:rFonts w:hint="eastAsia" w:ascii="仿宋_GB2312" w:hAnsi="黑体" w:eastAsia="仿宋_GB2312" w:cs="仿宋_GB2312"/>
          <w:sz w:val="32"/>
          <w:szCs w:val="32"/>
        </w:rPr>
        <w:t>0</w:t>
      </w:r>
      <w:r>
        <w:rPr>
          <w:rFonts w:hint="eastAsia" w:ascii="仿宋_GB2312" w:hAnsi="黑体" w:eastAsia="仿宋_GB2312"/>
          <w:sz w:val="32"/>
          <w:szCs w:val="32"/>
        </w:rPr>
        <w:t>万元、国防支出</w:t>
      </w:r>
      <w:r>
        <w:rPr>
          <w:rFonts w:hint="eastAsia" w:ascii="仿宋_GB2312" w:hAnsi="黑体" w:eastAsia="仿宋_GB2312" w:cs="仿宋_GB2312"/>
          <w:sz w:val="32"/>
          <w:szCs w:val="32"/>
        </w:rPr>
        <w:t>0</w:t>
      </w:r>
      <w:r>
        <w:rPr>
          <w:rFonts w:hint="eastAsia" w:ascii="仿宋_GB2312" w:hAnsi="黑体" w:eastAsia="仿宋_GB2312"/>
          <w:sz w:val="32"/>
          <w:szCs w:val="32"/>
        </w:rPr>
        <w:t>万元、社会保障和就业支出25.86万元、卫生健康支出19.5万元、住房保障支出14.77万元，结转下年</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二、关于三亚市知识产权保护中心2023年一般公共预算当年拨款情况说明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三亚市知识产权保护中心</w:t>
      </w:r>
      <w:r>
        <w:rPr>
          <w:rFonts w:hint="eastAsia" w:ascii="仿宋_GB2312" w:hAnsi="黑体" w:eastAsia="仿宋_GB2312" w:cs="仿宋_GB2312"/>
          <w:sz w:val="32"/>
          <w:szCs w:val="32"/>
        </w:rPr>
        <w:t>2023</w:t>
      </w:r>
      <w:r>
        <w:rPr>
          <w:rFonts w:hint="eastAsia" w:ascii="仿宋_GB2312" w:hAnsi="黑体" w:eastAsia="仿宋_GB2312"/>
          <w:sz w:val="32"/>
          <w:szCs w:val="32"/>
        </w:rPr>
        <w:t>年一般公共预算当年拨款1283.93万元，比上年预算数</w:t>
      </w:r>
      <w:r>
        <w:rPr>
          <w:rFonts w:hint="eastAsia" w:ascii="仿宋_GB2312" w:hAnsi="黑体" w:eastAsia="仿宋_GB2312" w:cs="仿宋_GB2312"/>
          <w:sz w:val="32"/>
          <w:szCs w:val="32"/>
        </w:rPr>
        <w:t>减少374.07</w:t>
      </w:r>
      <w:r>
        <w:rPr>
          <w:rFonts w:hint="eastAsia" w:ascii="仿宋_GB2312" w:hAnsi="黑体" w:eastAsia="仿宋_GB2312"/>
          <w:sz w:val="32"/>
          <w:szCs w:val="32"/>
        </w:rPr>
        <w:t>万元，主要是2022年本中心正式建成、投入运行，2023年无需支付其他建设支出。</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sz w:val="32"/>
          <w:szCs w:val="32"/>
        </w:rPr>
        <w:t>1223.81万元，占95.32%；社会保障和就业（类）</w:t>
      </w:r>
      <w:r>
        <w:rPr>
          <w:rFonts w:hint="eastAsia" w:ascii="仿宋_GB2312" w:hAnsi="黑体" w:eastAsia="仿宋_GB2312" w:cs="仿宋_GB2312"/>
          <w:sz w:val="32"/>
          <w:szCs w:val="32"/>
        </w:rPr>
        <w:t>支出25.86</w:t>
      </w:r>
      <w:r>
        <w:rPr>
          <w:rFonts w:hint="eastAsia" w:ascii="仿宋_GB2312" w:hAnsi="黑体" w:eastAsia="仿宋_GB2312"/>
          <w:sz w:val="32"/>
          <w:szCs w:val="32"/>
        </w:rPr>
        <w:t>万元，占2.01%；卫生健康（类）</w:t>
      </w:r>
      <w:r>
        <w:rPr>
          <w:rFonts w:hint="eastAsia" w:ascii="仿宋_GB2312" w:hAnsi="黑体" w:eastAsia="仿宋_GB2312" w:cs="仿宋_GB2312"/>
          <w:sz w:val="32"/>
          <w:szCs w:val="32"/>
        </w:rPr>
        <w:t>支出19.50</w:t>
      </w:r>
      <w:r>
        <w:rPr>
          <w:rFonts w:hint="eastAsia" w:ascii="仿宋_GB2312" w:hAnsi="黑体" w:eastAsia="仿宋_GB2312"/>
          <w:sz w:val="32"/>
          <w:szCs w:val="32"/>
        </w:rPr>
        <w:t>万元，占1.52%；住房改革（类）</w:t>
      </w:r>
      <w:r>
        <w:rPr>
          <w:rFonts w:hint="eastAsia" w:ascii="仿宋_GB2312" w:hAnsi="黑体" w:eastAsia="仿宋_GB2312" w:cs="仿宋_GB2312"/>
          <w:sz w:val="32"/>
          <w:szCs w:val="32"/>
        </w:rPr>
        <w:t>支出14.77</w:t>
      </w:r>
      <w:r>
        <w:rPr>
          <w:rFonts w:hint="eastAsia" w:ascii="仿宋_GB2312" w:hAnsi="黑体" w:eastAsia="仿宋_GB2312"/>
          <w:sz w:val="32"/>
          <w:szCs w:val="32"/>
        </w:rPr>
        <w:t>万元，占1.15%。</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1.一般公共服务（类）知识产权事务（款）行政运行（项）2023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11.62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增加11.62</w:t>
      </w:r>
      <w:r>
        <w:rPr>
          <w:rFonts w:hint="eastAsia" w:ascii="仿宋_GB2312" w:hAnsi="黑体" w:eastAsia="仿宋_GB2312"/>
          <w:sz w:val="32"/>
          <w:szCs w:val="32"/>
        </w:rPr>
        <w:t>万元，主要是2023年期间有1名挂职干部在本中心挂职，此项预算主要用于做好挂职干部的保障工作。</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一般公共服务（类）知识产权事务（款）事业运行（项）</w:t>
      </w:r>
      <w:r>
        <w:rPr>
          <w:rFonts w:ascii="仿宋_GB2312" w:hAnsi="黑体" w:eastAsia="仿宋_GB2312" w:cs="仿宋_GB2312"/>
          <w:sz w:val="32"/>
          <w:szCs w:val="32"/>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148.19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ascii="仿宋_GB2312" w:hAnsi="黑体" w:eastAsia="仿宋_GB2312" w:cs="仿宋_GB2312"/>
          <w:sz w:val="32"/>
          <w:szCs w:val="32"/>
        </w:rPr>
        <w:t>1241.81</w:t>
      </w:r>
      <w:r>
        <w:rPr>
          <w:rFonts w:hint="eastAsia" w:ascii="仿宋_GB2312" w:hAnsi="黑体" w:eastAsia="仿宋_GB2312"/>
          <w:sz w:val="32"/>
          <w:szCs w:val="32"/>
        </w:rPr>
        <w:t>万元，主要是</w:t>
      </w:r>
      <w:r>
        <w:rPr>
          <w:rFonts w:ascii="仿宋_GB2312" w:hAnsi="黑体" w:eastAsia="仿宋_GB2312"/>
          <w:sz w:val="32"/>
          <w:szCs w:val="32"/>
        </w:rPr>
        <w:t>2023年预算编制明细更具体，支出功能分类科目按照要求细化。</w:t>
      </w:r>
    </w:p>
    <w:p>
      <w:pPr>
        <w:ind w:firstLine="640" w:firstLineChars="200"/>
        <w:rPr>
          <w:rFonts w:ascii="仿宋_GB2312" w:hAnsi="黑体" w:eastAsia="仿宋_GB2312" w:cs="仿宋_GB2312"/>
          <w:sz w:val="32"/>
          <w:szCs w:val="32"/>
        </w:rPr>
      </w:pPr>
      <w:r>
        <w:rPr>
          <w:rFonts w:ascii="仿宋_GB2312" w:hAnsi="黑体" w:eastAsia="仿宋_GB2312" w:cs="仿宋_GB2312"/>
          <w:sz w:val="32"/>
          <w:szCs w:val="32"/>
        </w:rPr>
        <w:t>3.</w:t>
      </w:r>
      <w:r>
        <w:rPr>
          <w:rFonts w:hint="eastAsia" w:ascii="仿宋_GB2312" w:hAnsi="黑体" w:eastAsia="仿宋_GB2312" w:cs="仿宋_GB2312"/>
          <w:sz w:val="32"/>
          <w:szCs w:val="32"/>
        </w:rPr>
        <w:t>一般公共服务（类）知识产权事务（款）其他知识产权事务支出（项）2023</w:t>
      </w:r>
      <w:r>
        <w:rPr>
          <w:rFonts w:hint="eastAsia" w:ascii="仿宋_GB2312" w:hAnsi="黑体" w:eastAsia="仿宋_GB2312"/>
          <w:sz w:val="32"/>
          <w:szCs w:val="32"/>
        </w:rPr>
        <w:t>年预算数为</w:t>
      </w:r>
      <w:r>
        <w:rPr>
          <w:rFonts w:ascii="仿宋_GB2312" w:hAnsi="黑体" w:eastAsia="仿宋_GB2312" w:cs="仿宋_GB2312"/>
          <w:sz w:val="32"/>
          <w:szCs w:val="32"/>
        </w:rPr>
        <w:t>1064</w:t>
      </w:r>
      <w:r>
        <w:rPr>
          <w:rFonts w:hint="eastAsia" w:ascii="仿宋_GB2312" w:hAnsi="黑体" w:eastAsia="仿宋_GB2312"/>
          <w:sz w:val="32"/>
          <w:szCs w:val="32"/>
        </w:rPr>
        <w:t>万元，比上年预算数</w:t>
      </w:r>
      <w:r>
        <w:rPr>
          <w:rFonts w:ascii="仿宋_GB2312" w:hAnsi="黑体" w:eastAsia="仿宋_GB2312"/>
          <w:sz w:val="32"/>
          <w:szCs w:val="32"/>
        </w:rPr>
        <w:t>增加796</w:t>
      </w:r>
      <w:r>
        <w:rPr>
          <w:rFonts w:hint="eastAsia" w:ascii="仿宋_GB2312" w:hAnsi="黑体" w:eastAsia="仿宋_GB2312"/>
          <w:sz w:val="32"/>
          <w:szCs w:val="32"/>
        </w:rPr>
        <w:t>万元，主要是2023年预算编制明细更具体，支出功能分类科目按照要求细化。</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4.社会保障和就业支出（类）行政事业单位养老支出（款）机关事业单位基本养老保险缴费支出（项）2023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17.24</w:t>
      </w:r>
      <w:r>
        <w:rPr>
          <w:rFonts w:hint="eastAsia" w:ascii="仿宋_GB2312" w:hAnsi="黑体" w:eastAsia="仿宋_GB2312"/>
          <w:sz w:val="32"/>
          <w:szCs w:val="32"/>
        </w:rPr>
        <w:t>万元，比上年预算数减少2.35万元，主要是本中心2022年才办理好参保手续，并为部分职工补缴2021年期间养老保险。</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5.社会保障和就业支出（类）行政事业单位养老支出（款）机关事业单位职业年金缴费支出（项）2023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8.62</w:t>
      </w:r>
      <w:r>
        <w:rPr>
          <w:rFonts w:hint="eastAsia" w:ascii="仿宋_GB2312" w:hAnsi="黑体" w:eastAsia="仿宋_GB2312"/>
          <w:sz w:val="32"/>
          <w:szCs w:val="32"/>
        </w:rPr>
        <w:t>万元，比上年预算数减少1.91万元，主要是本中心2022年才办理好参保手续，并为部分职工补缴2021年期间职业年金。</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6.卫生健康支出（类）行政事业单位医疗（款）事业单位医疗（项）2023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7.19</w:t>
      </w:r>
      <w:r>
        <w:rPr>
          <w:rFonts w:hint="eastAsia" w:ascii="仿宋_GB2312" w:hAnsi="黑体" w:eastAsia="仿宋_GB2312"/>
          <w:sz w:val="32"/>
          <w:szCs w:val="32"/>
        </w:rPr>
        <w:t>万元，比上年预算数减少1.81万元，主要是本中心2022年才办理好参保手续，并为部分职工补缴2021年期间医疗保险。</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7.卫生健康支出（类）行政事业单位医疗（款）公务员医疗补助（项）2023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12.30</w:t>
      </w:r>
      <w:r>
        <w:rPr>
          <w:rFonts w:hint="eastAsia" w:ascii="仿宋_GB2312" w:hAnsi="黑体" w:eastAsia="仿宋_GB2312"/>
          <w:sz w:val="32"/>
          <w:szCs w:val="32"/>
        </w:rPr>
        <w:t>万元，比上年预算数增加2.04万元，主要是2023年本中心调整了职工缴纳公务员医疗补助的基数。</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8.住房保障支出（类）住房改革支出（款）住房公积金（项）2023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14.77</w:t>
      </w:r>
      <w:r>
        <w:rPr>
          <w:rFonts w:hint="eastAsia" w:ascii="仿宋_GB2312" w:hAnsi="黑体" w:eastAsia="仿宋_GB2312"/>
          <w:sz w:val="32"/>
          <w:szCs w:val="32"/>
        </w:rPr>
        <w:t>万元，比上年预算数减少1.38万元，主要是本中心2022年才办理好工资手续，并为部分职工补缴2021年期间公积金。</w:t>
      </w:r>
    </w:p>
    <w:p>
      <w:pPr>
        <w:ind w:firstLine="640"/>
        <w:rPr>
          <w:rFonts w:ascii="黑体" w:hAnsi="黑体" w:eastAsia="黑体"/>
          <w:sz w:val="32"/>
          <w:szCs w:val="32"/>
        </w:rPr>
      </w:pPr>
      <w:r>
        <w:rPr>
          <w:rFonts w:hint="eastAsia" w:ascii="黑体" w:hAnsi="黑体" w:eastAsia="黑体"/>
          <w:sz w:val="32"/>
          <w:szCs w:val="32"/>
        </w:rPr>
        <w:t>三、关于三亚市知识产权保护中心2023年一般公共预算基本支出情况说明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三亚市知识产权保护中心2023年一般公共预算基本支出为</w:t>
      </w:r>
      <w:r>
        <w:rPr>
          <w:rFonts w:hint="eastAsia" w:ascii="仿宋_GB2312" w:hAnsi="黑体" w:eastAsia="仿宋_GB2312" w:cs="仿宋_GB2312"/>
          <w:sz w:val="32"/>
          <w:szCs w:val="32"/>
        </w:rPr>
        <w:t>208.31</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193.47</w:t>
      </w:r>
      <w:r>
        <w:rPr>
          <w:rFonts w:hint="eastAsia" w:ascii="仿宋_GB2312" w:hAnsi="黑体" w:eastAsia="仿宋_GB2312"/>
          <w:sz w:val="32"/>
          <w:szCs w:val="32"/>
        </w:rPr>
        <w:t>万元，主要包括：基本工资、津贴补贴、绩效工资、机关事业单位基本养老保险缴费、职业年金缴费、职工基本医疗保险缴费、公务员医疗补助缴费、其他社会保障缴费、住房公积金、医疗费、其他工资福利支出、邮电费。</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14.85</w:t>
      </w:r>
      <w:r>
        <w:rPr>
          <w:rFonts w:hint="eastAsia" w:ascii="仿宋_GB2312" w:hAnsi="黑体" w:eastAsia="仿宋_GB2312"/>
          <w:sz w:val="32"/>
          <w:szCs w:val="32"/>
        </w:rPr>
        <w:t>万元，主要包括：办公费、其他社会保障缴费、培训费、工会经费、福利费、其他商品和服务支出。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四、三亚市知识产权保护中心2023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val="en-US" w:eastAsia="zh-CN"/>
        </w:rPr>
        <w:t>三亚市知识产权保护中心2023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年预算持平。根据外事部门等安排的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val="en-US" w:eastAsia="zh-CN"/>
        </w:rPr>
        <w:t>三亚市知识产权保护中心</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根据如外事部门等安排的</w:t>
      </w:r>
      <w:r>
        <w:rPr>
          <w:rFonts w:hint="eastAsia" w:ascii="仿宋_GB2312" w:hAnsi="黑体" w:eastAsia="仿宋_GB2312" w:cs="仿宋_GB2312"/>
          <w:sz w:val="32"/>
          <w:szCs w:val="32"/>
          <w:lang w:val="en-US" w:eastAsia="zh-CN"/>
        </w:rPr>
        <w:t>2023</w:t>
      </w:r>
      <w:r>
        <w:rPr>
          <w:rFonts w:ascii="Times New Roman" w:hAnsi="Times New Roman" w:eastAsia="仿宋_GB2312" w:cs="Times New Roman"/>
          <w:sz w:val="32"/>
          <w:shd w:val="clear" w:color="auto" w:fill="FFFFFF"/>
        </w:rPr>
        <w:t>年出国计划，拟安排出国（境）组</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五、关于三亚市知识产权保护中心2023年政府性基金预算当年拨款情况说明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三亚市知识产权保护中心2023年政府性基金预算当年拨款</w:t>
      </w:r>
      <w:r>
        <w:rPr>
          <w:rFonts w:hint="eastAsia" w:ascii="仿宋_GB2312" w:hAnsi="黑体" w:eastAsia="仿宋_GB2312" w:cs="仿宋_GB2312"/>
          <w:sz w:val="32"/>
          <w:szCs w:val="32"/>
        </w:rPr>
        <w:t>0</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，主要是今年没有安排此项经费预算。</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持平，主要是今年没有安排此项经费预算</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持平，主要是今年没有安排此项经费预算</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六、关于三亚市知识产权保护中心2023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按照综合预算原则，三亚市知识产权保护中心所有收入和支出均纳入部门预算管理。收入包括：一般公共预算收入</w:t>
      </w:r>
      <w:r>
        <w:rPr>
          <w:rFonts w:hint="eastAsia" w:ascii="仿宋_GB2312" w:hAnsi="黑体" w:eastAsia="仿宋_GB2312"/>
          <w:sz w:val="32"/>
          <w:szCs w:val="32"/>
        </w:rPr>
        <w:t>；支出包括：一般公共服务支出、社会保障和就业支出、卫生健康支出、住房保障支出。</w:t>
      </w:r>
      <w:r>
        <w:rPr>
          <w:rFonts w:hint="eastAsia" w:ascii="仿宋_GB2312" w:hAnsi="黑体" w:eastAsia="仿宋_GB2312" w:cs="仿宋_GB2312"/>
          <w:sz w:val="32"/>
          <w:szCs w:val="32"/>
        </w:rPr>
        <w:t>三亚市知识产权保护中心2023</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1283.93</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七、关于三亚市知识产权保护中心2023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三亚市知识产权保护中心2023年收入预算</w:t>
      </w:r>
      <w:r>
        <w:rPr>
          <w:rFonts w:hint="eastAsia" w:ascii="仿宋_GB2312" w:hAnsi="黑体" w:eastAsia="仿宋_GB2312" w:cs="仿宋_GB2312"/>
          <w:sz w:val="32"/>
          <w:szCs w:val="32"/>
        </w:rPr>
        <w:t>1283.93</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rPr>
        <w:t>1283.93</w:t>
      </w:r>
      <w:r>
        <w:rPr>
          <w:rFonts w:hint="eastAsia" w:ascii="仿宋_GB2312" w:hAnsi="黑体" w:eastAsia="仿宋_GB2312"/>
          <w:sz w:val="32"/>
          <w:szCs w:val="32"/>
        </w:rPr>
        <w:t>万元，占</w:t>
      </w:r>
      <w:r>
        <w:rPr>
          <w:rFonts w:hint="eastAsia" w:ascii="仿宋_GB2312" w:hAnsi="黑体" w:eastAsia="仿宋_GB2312" w:cs="仿宋_GB2312"/>
          <w:sz w:val="32"/>
          <w:szCs w:val="32"/>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%；专项收入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减少374.07</w:t>
      </w:r>
      <w:r>
        <w:rPr>
          <w:rFonts w:hint="eastAsia" w:ascii="仿宋_GB2312" w:hAnsi="黑体" w:eastAsia="仿宋_GB2312"/>
          <w:sz w:val="32"/>
          <w:szCs w:val="32"/>
        </w:rPr>
        <w:t>万元，主要是2022年本中心正式建成、投入运行，2023年无需支付其他建设支出。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八、关于三亚市知识产权保护中心2023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三亚市知识产权保护中心2023年支出预算</w:t>
      </w:r>
      <w:r>
        <w:rPr>
          <w:rFonts w:hint="eastAsia" w:ascii="仿宋_GB2312" w:hAnsi="黑体" w:eastAsia="仿宋_GB2312" w:cs="仿宋_GB2312"/>
          <w:sz w:val="32"/>
          <w:szCs w:val="32"/>
        </w:rPr>
        <w:t>1283.93</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rPr>
        <w:t>208.31</w:t>
      </w:r>
      <w:r>
        <w:rPr>
          <w:rFonts w:hint="eastAsia" w:ascii="仿宋_GB2312" w:hAnsi="黑体" w:eastAsia="仿宋_GB2312"/>
          <w:sz w:val="32"/>
          <w:szCs w:val="32"/>
        </w:rPr>
        <w:t>万元，占</w:t>
      </w:r>
      <w:r>
        <w:rPr>
          <w:rFonts w:hint="eastAsia" w:ascii="仿宋_GB2312" w:hAnsi="黑体" w:eastAsia="仿宋_GB2312" w:cs="仿宋_GB2312"/>
          <w:sz w:val="32"/>
          <w:szCs w:val="32"/>
        </w:rPr>
        <w:t>16.22</w:t>
      </w:r>
      <w:r>
        <w:rPr>
          <w:rFonts w:hint="eastAsia" w:ascii="仿宋_GB2312" w:hAnsi="黑体" w:eastAsia="仿宋_GB2312"/>
          <w:sz w:val="32"/>
          <w:szCs w:val="32"/>
        </w:rPr>
        <w:t>%；项目支出</w:t>
      </w:r>
      <w:r>
        <w:rPr>
          <w:rFonts w:hint="eastAsia" w:ascii="仿宋_GB2312" w:hAnsi="黑体" w:eastAsia="仿宋_GB2312" w:cs="仿宋_GB2312"/>
          <w:sz w:val="32"/>
          <w:szCs w:val="32"/>
        </w:rPr>
        <w:t>1075.62</w:t>
      </w:r>
      <w:r>
        <w:rPr>
          <w:rFonts w:hint="eastAsia" w:ascii="仿宋_GB2312" w:hAnsi="黑体" w:eastAsia="仿宋_GB2312"/>
          <w:sz w:val="32"/>
          <w:szCs w:val="32"/>
        </w:rPr>
        <w:t>万元，占</w:t>
      </w:r>
      <w:r>
        <w:rPr>
          <w:rFonts w:hint="eastAsia" w:ascii="仿宋_GB2312" w:hAnsi="黑体" w:eastAsia="仿宋_GB2312" w:cs="仿宋_GB2312"/>
          <w:sz w:val="32"/>
          <w:szCs w:val="32"/>
        </w:rPr>
        <w:t>83.78</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减少374.07</w:t>
      </w:r>
      <w:r>
        <w:rPr>
          <w:rFonts w:hint="eastAsia" w:ascii="仿宋_GB2312" w:hAnsi="黑体" w:eastAsia="仿宋_GB2312"/>
          <w:sz w:val="32"/>
          <w:szCs w:val="32"/>
        </w:rPr>
        <w:t>万元，主要是2022年本中心正式建成、投入运行。2023年无需支付其他建设支出。</w:t>
      </w:r>
    </w:p>
    <w:p>
      <w:pPr>
        <w:ind w:firstLine="640" w:firstLineChars="200"/>
        <w:rPr>
          <w:rFonts w:ascii="仿宋_GB2312" w:hAnsi="黑体" w:eastAsia="仿宋_GB2312"/>
          <w:sz w:val="32"/>
          <w:szCs w:val="32"/>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三亚市知识产权保护中心</w:t>
      </w:r>
      <w:r>
        <w:rPr>
          <w:rFonts w:hint="eastAsia" w:ascii="仿宋_GB2312" w:hAnsi="黑体" w:eastAsia="仿宋_GB2312" w:cs="仿宋_GB2312"/>
          <w:sz w:val="32"/>
          <w:szCs w:val="32"/>
        </w:rPr>
        <w:t>的机关运行经费预算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cs="仿宋_GB2312"/>
          <w:sz w:val="32"/>
          <w:szCs w:val="32"/>
          <w:lang w:val="en-US" w:eastAsia="zh-CN"/>
        </w:rPr>
        <w:t>三亚市知识产权保护中心</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sz w:val="32"/>
          <w:szCs w:val="32"/>
          <w:lang w:val="en-US" w:eastAsia="zh-CN"/>
        </w:rPr>
        <w:t>三亚市知识产权保护中心</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黑体" w:hAnsi="黑体" w:eastAsia="黑体"/>
          <w:sz w:val="32"/>
          <w:szCs w:val="32"/>
        </w:rPr>
      </w:pPr>
      <w:r>
        <w:rPr>
          <w:rFonts w:hint="eastAsia" w:ascii="仿宋_GB2312" w:hAnsi="黑体" w:eastAsia="仿宋_GB2312" w:cs="仿宋_GB2312"/>
          <w:sz w:val="32"/>
          <w:szCs w:val="32"/>
        </w:rPr>
        <w:t>2023</w:t>
      </w:r>
      <w:r>
        <w:rPr>
          <w:rFonts w:hint="eastAsia" w:ascii="仿宋_GB2312" w:hAnsi="黑体" w:eastAsia="仿宋_GB2312"/>
          <w:sz w:val="32"/>
          <w:szCs w:val="32"/>
        </w:rPr>
        <w:t>年</w:t>
      </w:r>
      <w:r>
        <w:rPr>
          <w:rFonts w:hint="eastAsia" w:ascii="仿宋_GB2312" w:hAnsi="黑体" w:eastAsia="仿宋_GB2312" w:cs="仿宋_GB2312"/>
          <w:sz w:val="32"/>
          <w:szCs w:val="32"/>
        </w:rPr>
        <w:t>三亚市知识产权保护中心14个项目实行绩效目标管理，涉及一般公共预算1283.93</w:t>
      </w:r>
      <w:r>
        <w:rPr>
          <w:rFonts w:hint="eastAsia" w:ascii="仿宋_GB2312" w:hAnsi="黑体" w:eastAsia="仿宋_GB2312"/>
          <w:sz w:val="32"/>
          <w:szCs w:val="32"/>
        </w:rPr>
        <w:t>万元、政府性基金</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个人农业生产补贴、代缴社会保险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印刷费、咨询费、手续费、水费、电费、邮电费、取暖费、物业管理费、差旅费、因公出国（境）费用、维修（护）费、租赁费、会议费、培训费、公务接待费、专用材料费、被装购置费、专用燃料费、劳务费、委托业务费、工会经费、福利费、公务用车运行维护费、其他交通费用、税金及附加费用、其他商品和服务支出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牌照费）及燃料费、维修费、过路过桥费、保险费、安全奖励费用等支出；公务接待费指单位按规定开支的各类公务接待（含外宾接待）费用等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3NTE5MGVjZWRmZTU0YWIwZTUwMmEwOTkxZjczYTYifQ=="/>
  </w:docVars>
  <w:rsids>
    <w:rsidRoot w:val="5B7B0265"/>
    <w:rsid w:val="00720C21"/>
    <w:rsid w:val="00AC73A0"/>
    <w:rsid w:val="00C5187B"/>
    <w:rsid w:val="00D91A82"/>
    <w:rsid w:val="057B7A05"/>
    <w:rsid w:val="0C1B44A3"/>
    <w:rsid w:val="197E4B2F"/>
    <w:rsid w:val="385C4BC4"/>
    <w:rsid w:val="429B37B1"/>
    <w:rsid w:val="44E2459E"/>
    <w:rsid w:val="5B7B0265"/>
    <w:rsid w:val="5EC30A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8"/>
    <w:uiPriority w:val="0"/>
    <w:pPr>
      <w:jc w:val="left"/>
    </w:pPr>
  </w:style>
  <w:style w:type="paragraph" w:styleId="3">
    <w:name w:val="annotation subject"/>
    <w:basedOn w:val="2"/>
    <w:next w:val="2"/>
    <w:link w:val="9"/>
    <w:qFormat/>
    <w:uiPriority w:val="0"/>
    <w:rPr>
      <w:b/>
      <w:bCs/>
    </w:rPr>
  </w:style>
  <w:style w:type="character" w:styleId="6">
    <w:name w:val="annotation reference"/>
    <w:basedOn w:val="5"/>
    <w:qFormat/>
    <w:uiPriority w:val="0"/>
    <w:rPr>
      <w:sz w:val="21"/>
      <w:szCs w:val="21"/>
    </w:rPr>
  </w:style>
  <w:style w:type="paragraph" w:customStyle="1" w:styleId="7">
    <w:name w:val="列表段落1"/>
    <w:basedOn w:val="1"/>
    <w:qFormat/>
    <w:uiPriority w:val="34"/>
    <w:pPr>
      <w:ind w:firstLine="420" w:firstLineChars="200"/>
    </w:pPr>
  </w:style>
  <w:style w:type="character" w:customStyle="1" w:styleId="8">
    <w:name w:val="批注文字 字符"/>
    <w:basedOn w:val="5"/>
    <w:link w:val="2"/>
    <w:qFormat/>
    <w:uiPriority w:val="0"/>
    <w:rPr>
      <w:rFonts w:ascii="Calibri" w:hAnsi="Calibri" w:eastAsia="宋体" w:cs="黑体"/>
      <w:kern w:val="2"/>
      <w:sz w:val="21"/>
      <w:szCs w:val="22"/>
    </w:rPr>
  </w:style>
  <w:style w:type="character" w:customStyle="1" w:styleId="9">
    <w:name w:val="批注主题 字符"/>
    <w:basedOn w:val="8"/>
    <w:link w:val="3"/>
    <w:qFormat/>
    <w:uiPriority w:val="0"/>
    <w:rPr>
      <w:rFonts w:ascii="Calibri" w:hAnsi="Calibri" w:eastAsia="宋体" w:cs="黑体"/>
      <w:b/>
      <w:bCs/>
      <w:kern w:val="2"/>
      <w:sz w:val="21"/>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4158</Words>
  <Characters>4565</Characters>
  <Lines>33</Lines>
  <Paragraphs>9</Paragraphs>
  <TotalTime>1</TotalTime>
  <ScaleCrop>false</ScaleCrop>
  <LinksUpToDate>false</LinksUpToDate>
  <CharactersWithSpaces>4593</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2023-02-15T00:51:00Z</dcterms:created>
  <dc:creator>Lz</dc:creator>
  <cp:lastModifiedBy>wz</cp:lastModifiedBy>
  <dcterms:modified xsi:type="dcterms:W3CDTF">2024-07-19T09:37:52Z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AFD31A152AEF42AEBDC0979685ACF49A_13</vt:lpwstr>
  </property>
</Properties>
</file>