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asciiTheme="majorEastAsia" w:hAnsiTheme="majorEastAsia" w:eastAsiaTheme="majorEastAsia" w:cstheme="majorEastAsia"/>
          <w:color w:val="000000" w:themeColor="text1"/>
          <w:sz w:val="52"/>
          <w:szCs w:val="52"/>
          <w:lang w:val="en-US" w:eastAsia="zh-CN"/>
          <w14:textFill>
            <w14:solidFill>
              <w14:schemeClr w14:val="tx1"/>
            </w14:solidFill>
          </w14:textFill>
        </w:rPr>
        <w:t>2023</w:t>
      </w:r>
      <w:r>
        <w:rPr>
          <w:rFonts w:hint="eastAsia"/>
          <w:color w:val="000000" w:themeColor="text1"/>
          <w:sz w:val="52"/>
          <w:szCs w:val="52"/>
          <w14:textFill>
            <w14:solidFill>
              <w14:schemeClr w14:val="tx1"/>
            </w14:solidFill>
          </w14:textFill>
        </w:rPr>
        <w:t>年</w:t>
      </w:r>
      <w:r>
        <w:rPr>
          <w:rFonts w:hint="eastAsia"/>
          <w:color w:val="000000" w:themeColor="text1"/>
          <w:sz w:val="52"/>
          <w:szCs w:val="52"/>
          <w:lang w:val="en-US" w:eastAsia="zh-CN"/>
          <w14:textFill>
            <w14:solidFill>
              <w14:schemeClr w14:val="tx1"/>
            </w14:solidFill>
          </w14:textFill>
        </w:rPr>
        <w:t>三亚市投资促进局</w:t>
      </w:r>
      <w:r>
        <w:rPr>
          <w:rFonts w:hint="eastAsia"/>
          <w:color w:val="000000" w:themeColor="text1"/>
          <w:sz w:val="52"/>
          <w:szCs w:val="52"/>
          <w14:textFill>
            <w14:solidFill>
              <w14:schemeClr w14:val="tx1"/>
            </w14:solidFill>
          </w14:textFill>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三亚市投资促进局</w:t>
      </w:r>
      <w:r>
        <w:rPr>
          <w:rFonts w:hint="eastAsia" w:ascii="黑体" w:hAnsi="黑体" w:eastAsia="黑体"/>
          <w:sz w:val="32"/>
          <w:szCs w:val="32"/>
        </w:rPr>
        <w:t>概况概况</w:t>
      </w:r>
    </w:p>
    <w:p>
      <w:pPr>
        <w:pStyle w:val="7"/>
        <w:numPr>
          <w:ilvl w:val="0"/>
          <w:numId w:val="2"/>
        </w:numPr>
        <w:ind w:left="0" w:firstLine="0" w:firstLineChars="0"/>
        <w:jc w:val="left"/>
        <w:rPr>
          <w:rFonts w:hint="eastAsia" w:ascii="黑体" w:hAnsi="黑体" w:eastAsia="黑体"/>
          <w:sz w:val="32"/>
          <w:szCs w:val="32"/>
        </w:rPr>
      </w:pPr>
      <w:r>
        <w:rPr>
          <w:rFonts w:hint="eastAsia" w:ascii="黑体" w:hAnsi="黑体" w:eastAsia="黑体"/>
          <w:sz w:val="32"/>
          <w:szCs w:val="32"/>
        </w:rPr>
        <w:t>主要职能</w:t>
      </w:r>
    </w:p>
    <w:p>
      <w:pPr>
        <w:pStyle w:val="7"/>
        <w:numPr>
          <w:ilvl w:val="0"/>
          <w:numId w:val="2"/>
        </w:numPr>
        <w:ind w:left="0" w:leftChars="0" w:firstLine="0" w:firstLineChars="0"/>
        <w:jc w:val="left"/>
        <w:rPr>
          <w:rFonts w:hint="eastAsia"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三亚市投资促进局2023</w:t>
      </w:r>
      <w:r>
        <w:rPr>
          <w:rFonts w:hint="eastAsia" w:ascii="黑体" w:hAnsi="黑体" w:eastAsia="黑体"/>
          <w:sz w:val="32"/>
          <w:szCs w:val="32"/>
        </w:rPr>
        <w:t>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三亚市投资促局2023</w:t>
      </w:r>
      <w:r>
        <w:rPr>
          <w:rFonts w:hint="eastAsia" w:ascii="黑体" w:hAnsi="黑体" w:eastAsia="黑体"/>
          <w:sz w:val="32"/>
          <w:szCs w:val="32"/>
        </w:rPr>
        <w:t>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三亚市投资促进局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kinsoku/>
        <w:wordWrap/>
        <w:overflowPunct/>
        <w:topLinePunct w:val="0"/>
        <w:autoSpaceDE/>
        <w:autoSpaceDN/>
        <w:adjustRightInd/>
        <w:snapToGrid/>
        <w:spacing w:line="240" w:lineRule="auto"/>
        <w:ind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kern w:val="36"/>
          <w:sz w:val="32"/>
          <w:szCs w:val="32"/>
          <w:highlight w:val="none"/>
          <w14:textFill>
            <w14:solidFill>
              <w14:schemeClr w14:val="tx1"/>
            </w14:solidFill>
          </w14:textFill>
        </w:rPr>
        <w:t>亚市投资促进局</w:t>
      </w: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为</w:t>
      </w:r>
      <w:r>
        <w:rPr>
          <w:rFonts w:hint="eastAsia" w:ascii="仿宋_GB2312" w:hAnsi="仿宋_GB2312" w:eastAsia="仿宋_GB2312" w:cs="仿宋_GB2312"/>
          <w:color w:val="000000" w:themeColor="text1"/>
          <w:sz w:val="32"/>
          <w:szCs w:val="32"/>
          <w:highlight w:val="none"/>
          <w14:textFill>
            <w14:solidFill>
              <w14:schemeClr w14:val="tx1"/>
            </w14:solidFill>
          </w14:textFill>
        </w:rPr>
        <w:t>实行企业化管理、市场化运作，不以营利为目的、不列入行政机构序列、不从事法定职责外事务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经授权代表政府在法定职责范围内开展招商引资和投资促进等经贸活动</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法定机构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主要职能有：</w:t>
      </w:r>
    </w:p>
    <w:p>
      <w:pPr>
        <w:keepNext w:val="0"/>
        <w:keepLines w:val="0"/>
        <w:pageBreakBefore w:val="0"/>
        <w:kinsoku/>
        <w:wordWrap/>
        <w:overflowPunct/>
        <w:topLinePunct w:val="0"/>
        <w:autoSpaceDE/>
        <w:autoSpaceDN/>
        <w:adjustRightInd/>
        <w:snapToGrid/>
        <w:spacing w:line="240" w:lineRule="auto"/>
        <w:ind w:firstLine="640" w:firstLineChars="200"/>
        <w:textAlignment w:val="auto"/>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36"/>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一）负责统筹执行全市招商引资工作，做好招商引资企业和项目服务保障。</w:t>
      </w:r>
    </w:p>
    <w:p>
      <w:pPr>
        <w:keepNext w:val="0"/>
        <w:keepLines w:val="0"/>
        <w:pageBreakBefore w:val="0"/>
        <w:kinsoku/>
        <w:wordWrap/>
        <w:overflowPunct/>
        <w:topLinePunct w:val="0"/>
        <w:autoSpaceDE/>
        <w:autoSpaceDN/>
        <w:adjustRightInd/>
        <w:snapToGrid/>
        <w:spacing w:line="240" w:lineRule="auto"/>
        <w:ind w:firstLine="640" w:firstLineChars="200"/>
        <w:textAlignment w:val="auto"/>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（二）负责境内外招商联络处与招商平台的组建和管理工作。</w:t>
      </w:r>
    </w:p>
    <w:p>
      <w:pPr>
        <w:keepNext w:val="0"/>
        <w:keepLines w:val="0"/>
        <w:pageBreakBefore w:val="0"/>
        <w:kinsoku/>
        <w:wordWrap/>
        <w:overflowPunct/>
        <w:topLinePunct w:val="0"/>
        <w:autoSpaceDE/>
        <w:autoSpaceDN/>
        <w:adjustRightInd/>
        <w:snapToGrid/>
        <w:spacing w:line="240" w:lineRule="auto"/>
        <w:ind w:firstLine="640" w:firstLineChars="200"/>
        <w:textAlignment w:val="auto"/>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（三）负责牵头组织全市性重大投资促进活动，统筹全市招商引资推介和新闻宣传工作。</w:t>
      </w:r>
    </w:p>
    <w:p>
      <w:pPr>
        <w:keepNext w:val="0"/>
        <w:keepLines w:val="0"/>
        <w:pageBreakBefore w:val="0"/>
        <w:kinsoku/>
        <w:wordWrap/>
        <w:overflowPunct/>
        <w:topLinePunct w:val="0"/>
        <w:autoSpaceDE/>
        <w:autoSpaceDN/>
        <w:adjustRightInd/>
        <w:snapToGrid/>
        <w:spacing w:line="240" w:lineRule="auto"/>
        <w:ind w:firstLine="640" w:firstLineChars="200"/>
        <w:textAlignment w:val="auto"/>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（四）负责招商引资信息管理系统建设和管理工作。</w:t>
      </w:r>
    </w:p>
    <w:p>
      <w:pPr>
        <w:keepNext w:val="0"/>
        <w:keepLines w:val="0"/>
        <w:pageBreakBefore w:val="0"/>
        <w:kinsoku/>
        <w:wordWrap/>
        <w:overflowPunct/>
        <w:topLinePunct w:val="0"/>
        <w:autoSpaceDE/>
        <w:autoSpaceDN/>
        <w:adjustRightInd/>
        <w:snapToGrid/>
        <w:spacing w:line="240" w:lineRule="auto"/>
        <w:ind w:firstLine="640" w:firstLineChars="200"/>
        <w:textAlignment w:val="auto"/>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36"/>
          <w:sz w:val="32"/>
          <w:szCs w:val="32"/>
          <w:highlight w:val="none"/>
          <w:lang w:val="en-US" w:eastAsia="zh-CN"/>
          <w14:textFill>
            <w14:solidFill>
              <w14:schemeClr w14:val="tx1"/>
            </w14:solidFill>
          </w14:textFill>
        </w:rPr>
        <w:t>（五）完成市委、市政府交办的其他任务</w:t>
      </w:r>
      <w:r>
        <w:rPr>
          <w:rFonts w:hint="eastAsia" w:ascii="仿宋_GB2312" w:hAnsi="仿宋_GB2312" w:eastAsia="仿宋_GB2312" w:cs="仿宋_GB2312"/>
          <w:color w:val="000000" w:themeColor="text1"/>
          <w:kern w:val="36"/>
          <w:sz w:val="32"/>
          <w:szCs w:val="32"/>
          <w:highlight w:val="none"/>
          <w14:textFill>
            <w14:solidFill>
              <w14:schemeClr w14:val="tx1"/>
            </w14:solidFill>
          </w14:textFill>
        </w:rPr>
        <w:t>。</w:t>
      </w:r>
    </w:p>
    <w:p>
      <w:pPr>
        <w:pStyle w:val="7"/>
        <w:numPr>
          <w:ilvl w:val="0"/>
          <w:numId w:val="0"/>
        </w:numPr>
        <w:ind w:left="0" w:firstLine="0" w:firstLineChars="0"/>
        <w:rPr>
          <w:rFonts w:ascii="仿宋_GB2312" w:hAnsi="黑体" w:eastAsia="仿宋_GB2312" w:cs="仿宋_GB2312"/>
          <w:sz w:val="32"/>
          <w:szCs w:val="32"/>
        </w:rPr>
      </w:pPr>
    </w:p>
    <w:p>
      <w:pPr>
        <w:pStyle w:val="7"/>
        <w:numPr>
          <w:ilvl w:val="0"/>
          <w:numId w:val="5"/>
        </w:numPr>
        <w:ind w:firstLineChars="0"/>
        <w:jc w:val="left"/>
        <w:rPr>
          <w:rFonts w:hint="eastAsia" w:ascii="黑体" w:hAnsi="黑体" w:eastAsia="黑体" w:cs="仿宋_GB2312"/>
          <w:sz w:val="32"/>
          <w:szCs w:val="32"/>
        </w:rPr>
      </w:pPr>
      <w:r>
        <w:rPr>
          <w:rFonts w:hint="eastAsia" w:ascii="黑体" w:hAnsi="黑体" w:eastAsia="黑体" w:cs="仿宋_GB2312"/>
          <w:sz w:val="32"/>
          <w:szCs w:val="32"/>
        </w:rPr>
        <w:t>部门预算单位构成</w:t>
      </w:r>
    </w:p>
    <w:p>
      <w:pPr>
        <w:pStyle w:val="7"/>
        <w:numPr>
          <w:ilvl w:val="0"/>
          <w:numId w:val="0"/>
        </w:numPr>
        <w:ind w:leftChars="0" w:firstLine="640" w:firstLineChars="200"/>
        <w:jc w:val="left"/>
        <w:rPr>
          <w:rFonts w:hint="eastAsia" w:ascii="仿宋_GB2312" w:hAnsi="仿宋_GB2312" w:eastAsia="仿宋_GB2312" w:cs="仿宋_GB2312"/>
          <w:color w:val="000000" w:themeColor="text1"/>
          <w:kern w:val="36"/>
          <w:sz w:val="32"/>
          <w:szCs w:val="32"/>
          <w:highlight w:val="none"/>
          <w:lang w:val="en-US" w:eastAsia="zh-CN" w:bidi="ar-SA"/>
          <w14:textFill>
            <w14:solidFill>
              <w14:schemeClr w14:val="tx1"/>
            </w14:solidFill>
          </w14:textFill>
        </w:rPr>
      </w:pPr>
      <w:r>
        <w:rPr>
          <w:rFonts w:hint="eastAsia" w:ascii="仿宋_GB2312" w:hAnsi="黑体" w:eastAsia="仿宋_GB2312" w:cs="仿宋_GB2312"/>
          <w:sz w:val="32"/>
          <w:szCs w:val="32"/>
          <w:highlight w:val="none"/>
          <w:lang w:val="en-US" w:eastAsia="zh-CN"/>
        </w:rPr>
        <w:t>三亚市投资促进局无</w:t>
      </w:r>
      <w:r>
        <w:rPr>
          <w:rFonts w:hint="eastAsia" w:ascii="仿宋_GB2312" w:hAnsi="黑体" w:eastAsia="仿宋_GB2312" w:cs="仿宋_GB2312"/>
          <w:sz w:val="32"/>
          <w:szCs w:val="32"/>
          <w:highlight w:val="none"/>
        </w:rPr>
        <w:t>纳入预算编制范围的二级预算单位</w:t>
      </w:r>
      <w:r>
        <w:rPr>
          <w:rFonts w:hint="eastAsia" w:ascii="仿宋_GB2312" w:hAnsi="黑体" w:eastAsia="仿宋_GB2312" w:cs="仿宋_GB2312"/>
          <w:sz w:val="32"/>
          <w:szCs w:val="32"/>
          <w:highlight w:val="none"/>
          <w:lang w:eastAsia="zh-CN"/>
        </w:rPr>
        <w:t>，</w:t>
      </w:r>
      <w:r>
        <w:rPr>
          <w:rFonts w:hint="eastAsia" w:ascii="仿宋_GB2312" w:hAnsi="仿宋_GB2312" w:eastAsia="仿宋_GB2312" w:cs="仿宋_GB2312"/>
          <w:color w:val="000000" w:themeColor="text1"/>
          <w:kern w:val="36"/>
          <w:sz w:val="32"/>
          <w:szCs w:val="32"/>
          <w:highlight w:val="none"/>
          <w:lang w:val="en-US" w:eastAsia="zh-CN" w:bidi="ar-SA"/>
          <w14:textFill>
            <w14:solidFill>
              <w14:schemeClr w14:val="tx1"/>
            </w14:solidFill>
          </w14:textFill>
        </w:rPr>
        <w:t>三亚市投资促进局内设科室5个：</w:t>
      </w:r>
    </w:p>
    <w:p>
      <w:pPr>
        <w:pStyle w:val="7"/>
        <w:numPr>
          <w:ilvl w:val="0"/>
          <w:numId w:val="0"/>
        </w:numPr>
        <w:ind w:left="420" w:leftChars="0"/>
        <w:jc w:val="left"/>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（一）产业发展一部</w:t>
      </w:r>
    </w:p>
    <w:p>
      <w:pPr>
        <w:pStyle w:val="7"/>
        <w:numPr>
          <w:ilvl w:val="0"/>
          <w:numId w:val="0"/>
        </w:numPr>
        <w:ind w:left="420" w:leftChars="0"/>
        <w:jc w:val="left"/>
        <w:rPr>
          <w:rFonts w:hint="eastAsia" w:ascii="黑体" w:hAnsi="黑体" w:eastAsia="黑体"/>
          <w:sz w:val="32"/>
          <w:szCs w:val="32"/>
          <w:highlight w:val="none"/>
        </w:rPr>
      </w:pPr>
      <w:r>
        <w:rPr>
          <w:rFonts w:hint="eastAsia" w:ascii="仿宋_GB2312" w:hAnsi="仿宋_GB2312" w:eastAsia="仿宋_GB2312" w:cs="仿宋_GB2312"/>
          <w:sz w:val="32"/>
          <w:szCs w:val="32"/>
          <w:highlight w:val="none"/>
          <w:vertAlign w:val="baseline"/>
          <w:lang w:val="en-US" w:eastAsia="zh-CN"/>
        </w:rPr>
        <w:t>（二）产业发展二部</w:t>
      </w:r>
    </w:p>
    <w:p>
      <w:pPr>
        <w:pStyle w:val="7"/>
        <w:numPr>
          <w:ilvl w:val="0"/>
          <w:numId w:val="0"/>
        </w:numPr>
        <w:ind w:left="420" w:leftChars="0"/>
        <w:jc w:val="left"/>
        <w:rPr>
          <w:rFonts w:hint="eastAsia" w:ascii="黑体" w:hAnsi="黑体" w:eastAsia="黑体"/>
          <w:sz w:val="32"/>
          <w:szCs w:val="32"/>
          <w:highlight w:val="none"/>
        </w:rPr>
      </w:pPr>
      <w:r>
        <w:rPr>
          <w:rFonts w:hint="eastAsia" w:ascii="仿宋_GB2312" w:hAnsi="仿宋_GB2312" w:eastAsia="仿宋_GB2312" w:cs="仿宋_GB2312"/>
          <w:sz w:val="32"/>
          <w:szCs w:val="32"/>
          <w:highlight w:val="none"/>
          <w:vertAlign w:val="baseline"/>
          <w:lang w:val="en-US" w:eastAsia="zh-CN"/>
        </w:rPr>
        <w:t>（三）国际运营部</w:t>
      </w:r>
    </w:p>
    <w:p>
      <w:pPr>
        <w:pStyle w:val="7"/>
        <w:numPr>
          <w:ilvl w:val="0"/>
          <w:numId w:val="0"/>
        </w:numPr>
        <w:ind w:left="420" w:leftChars="0"/>
        <w:jc w:val="left"/>
        <w:rPr>
          <w:rFonts w:hint="eastAsia" w:ascii="黑体" w:hAnsi="黑体" w:eastAsia="黑体"/>
          <w:sz w:val="32"/>
          <w:szCs w:val="32"/>
          <w:highlight w:val="none"/>
        </w:rPr>
      </w:pPr>
      <w:r>
        <w:rPr>
          <w:rFonts w:hint="eastAsia" w:ascii="仿宋_GB2312" w:hAnsi="仿宋_GB2312" w:eastAsia="仿宋_GB2312" w:cs="仿宋_GB2312"/>
          <w:sz w:val="32"/>
          <w:szCs w:val="32"/>
          <w:highlight w:val="none"/>
          <w:vertAlign w:val="baseline"/>
          <w:lang w:val="en-US" w:eastAsia="zh-CN"/>
        </w:rPr>
        <w:t>（四）企服风控部</w:t>
      </w:r>
    </w:p>
    <w:p>
      <w:pPr>
        <w:pStyle w:val="7"/>
        <w:numPr>
          <w:ilvl w:val="0"/>
          <w:numId w:val="0"/>
        </w:numPr>
        <w:ind w:left="420" w:leftChars="0"/>
        <w:jc w:val="left"/>
        <w:rPr>
          <w:rFonts w:hint="eastAsia" w:ascii="黑体" w:hAnsi="黑体" w:eastAsia="黑体"/>
          <w:sz w:val="32"/>
          <w:szCs w:val="32"/>
          <w:highlight w:val="none"/>
        </w:rPr>
      </w:pPr>
      <w:r>
        <w:rPr>
          <w:rFonts w:hint="eastAsia" w:ascii="仿宋_GB2312" w:hAnsi="仿宋_GB2312" w:eastAsia="仿宋_GB2312" w:cs="仿宋_GB2312"/>
          <w:sz w:val="32"/>
          <w:szCs w:val="32"/>
          <w:highlight w:val="none"/>
          <w:vertAlign w:val="baseline"/>
          <w:lang w:val="en-US" w:eastAsia="zh-CN"/>
        </w:rPr>
        <w:t>（五）综合管理部</w:t>
      </w:r>
    </w:p>
    <w:p>
      <w:pPr>
        <w:ind w:firstLine="800" w:firstLineChars="250"/>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val="en-US" w:eastAsia="zh-CN"/>
        </w:rPr>
        <w:t>三亚市投资促进局2023</w:t>
      </w:r>
      <w:r>
        <w:rPr>
          <w:rFonts w:hint="eastAsia" w:ascii="黑体" w:hAnsi="黑体" w:eastAsia="黑体"/>
          <w:sz w:val="32"/>
          <w:szCs w:val="32"/>
        </w:rPr>
        <w:t>年预算表</w:t>
      </w:r>
    </w:p>
    <w:p>
      <w:pPr>
        <w:ind w:left="800"/>
        <w:jc w:val="left"/>
        <w:rPr>
          <w:rFonts w:ascii="黑体" w:hAnsi="黑体" w:eastAsia="黑体"/>
          <w:sz w:val="32"/>
          <w:szCs w:val="32"/>
        </w:rPr>
      </w:pPr>
    </w:p>
    <w:p>
      <w:pPr>
        <w:ind w:left="0" w:firstLine="964" w:firstLineChars="300"/>
        <w:jc w:val="left"/>
        <w:rPr>
          <w:rFonts w:ascii="仿宋_GB2312" w:hAnsi="黑体" w:eastAsia="仿宋_GB2312"/>
          <w:b/>
          <w:sz w:val="32"/>
          <w:szCs w:val="32"/>
        </w:rPr>
      </w:pPr>
      <w:r>
        <w:rPr>
          <w:rFonts w:hint="eastAsia" w:ascii="仿宋_GB2312" w:hAnsi="黑体" w:eastAsia="仿宋_GB2312"/>
          <w:b/>
          <w:sz w:val="32"/>
          <w:szCs w:val="32"/>
          <w:lang w:val="en-US" w:eastAsia="zh-CN"/>
        </w:rPr>
        <w:t>见</w:t>
      </w:r>
      <w:r>
        <w:rPr>
          <w:rFonts w:hint="eastAsia" w:ascii="仿宋_GB2312" w:hAnsi="黑体" w:eastAsia="仿宋_GB2312"/>
          <w:b/>
          <w:sz w:val="32"/>
          <w:szCs w:val="32"/>
        </w:rPr>
        <w:t>单位预算公开表</w:t>
      </w:r>
    </w:p>
    <w:p>
      <w:pPr>
        <w:ind w:left="800"/>
        <w:jc w:val="both"/>
        <w:rPr>
          <w:rFonts w:ascii="仿宋_GB2312" w:hAnsi="黑体" w:eastAsia="仿宋_GB2312"/>
          <w:b/>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三亚市投资促进局2023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0" w:firstLineChars="0"/>
        <w:jc w:val="cente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一、关于</w:t>
      </w:r>
      <w:r>
        <w:rPr>
          <w:rFonts w:hint="eastAsia" w:ascii="黑体" w:hAnsi="黑体" w:eastAsia="黑体"/>
          <w:sz w:val="32"/>
          <w:szCs w:val="32"/>
          <w:lang w:val="en-US" w:eastAsia="zh-CN"/>
        </w:rPr>
        <w:t>三亚市投资促进局2023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三亚市投资促进局2023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15318</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商业服务业支出80万元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三亚市投资促进局2023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三亚市投资促进局2023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2498</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原因是增加总部经济奖补资金和省商务厅下达商务发展专项资金。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15318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99.48</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商务服务为支出80万元，占0.52%。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val="en-US" w:eastAsia="zh-CN"/>
        </w:rPr>
        <w:t>商贸事务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招商引资</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15318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2418</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原因是增加总部经济奖补资金</w:t>
      </w:r>
    </w:p>
    <w:p>
      <w:pPr>
        <w:ind w:firstLine="640" w:firstLineChars="200"/>
        <w:rPr>
          <w:rFonts w:hint="eastAsia" w:ascii="仿宋_GB2312" w:hAnsi="黑体" w:eastAsia="仿宋_GB2312"/>
          <w:strike/>
          <w:dstrike w:val="0"/>
          <w:sz w:val="32"/>
          <w:szCs w:val="32"/>
          <w:highlight w:val="yellow"/>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商业服务业等支出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其它商务服务业等支出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其它商务服务业等支出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三亚市投资促进局</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三亚市投资促进局2023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万元，主要包括：基本工资、津贴补贴、奖金、社会保障缴费、</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万元，主要包括：办公费、咨询费、手续费、水费、电费、</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三亚市投资促进局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三亚市投资促进局2023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仿宋_GB2312" w:hAnsi="仿宋_GB2312" w:eastAsia="仿宋_GB2312" w:cs="仿宋_GB2312"/>
          <w:color w:val="auto"/>
          <w:sz w:val="32"/>
          <w:highlight w:val="none"/>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color w:val="auto"/>
          <w:sz w:val="32"/>
          <w:szCs w:val="32"/>
          <w:highlight w:val="none"/>
          <w:shd w:val="clear" w:color="auto" w:fill="auto"/>
          <w:lang w:val="en-US" w:eastAsia="zh-CN"/>
        </w:rPr>
        <w:t>，2023年无出国计划，拟安排出国（境）团（组）0次，出国（境）0人</w:t>
      </w:r>
      <w:r>
        <w:rPr>
          <w:rFonts w:hint="eastAsia" w:ascii="仿宋_GB2312" w:hAnsi="仿宋_GB2312" w:eastAsia="仿宋_GB2312" w:cs="仿宋_GB2312"/>
          <w:color w:val="auto"/>
          <w:sz w:val="32"/>
          <w:highlight w:val="none"/>
          <w:shd w:val="clear" w:color="auto" w:fill="FFFFFF"/>
        </w:rPr>
        <w:t>。公务用车购置及运行费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万元（其中，</w:t>
      </w:r>
      <w:r>
        <w:rPr>
          <w:rFonts w:hint="eastAsia" w:ascii="仿宋_GB2312" w:hAnsi="仿宋_GB2312" w:eastAsia="仿宋_GB2312" w:cs="仿宋_GB2312"/>
          <w:color w:val="auto"/>
          <w:sz w:val="32"/>
          <w:highlight w:val="none"/>
          <w:shd w:val="clear" w:color="auto" w:fill="FFFFFF"/>
        </w:rPr>
        <w:t>公务用车购置费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highlight w:val="none"/>
          <w:shd w:val="clear" w:color="auto" w:fill="FFFFFF"/>
        </w:rPr>
        <w:t>，公务用车运行</w:t>
      </w:r>
      <w:r>
        <w:rPr>
          <w:rFonts w:hint="eastAsia" w:ascii="仿宋_GB2312" w:hAnsi="仿宋_GB2312" w:eastAsia="仿宋_GB2312" w:cs="仿宋_GB2312"/>
          <w:color w:val="auto"/>
          <w:sz w:val="32"/>
          <w:highlight w:val="none"/>
          <w:shd w:val="clear" w:color="auto" w:fill="FFFFFF"/>
          <w:lang w:eastAsia="zh-CN"/>
        </w:rPr>
        <w:t>维护</w:t>
      </w:r>
      <w:r>
        <w:rPr>
          <w:rFonts w:hint="eastAsia" w:ascii="仿宋_GB2312" w:hAnsi="仿宋_GB2312" w:eastAsia="仿宋_GB2312" w:cs="仿宋_GB2312"/>
          <w:color w:val="auto"/>
          <w:sz w:val="32"/>
          <w:highlight w:val="none"/>
          <w:shd w:val="clear" w:color="auto" w:fill="FFFFFF"/>
        </w:rPr>
        <w:t>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highlight w:val="none"/>
          <w:shd w:val="clear" w:color="auto" w:fill="FFFFFF"/>
        </w:rPr>
        <w:t>，与上年预算持平</w:t>
      </w:r>
      <w:r>
        <w:rPr>
          <w:rFonts w:hint="eastAsia" w:ascii="仿宋_GB2312" w:hAnsi="仿宋_GB2312" w:eastAsia="仿宋_GB2312" w:cs="仿宋_GB2312"/>
          <w:color w:val="auto"/>
          <w:sz w:val="32"/>
          <w:highlight w:val="none"/>
          <w:shd w:val="clear" w:color="auto" w:fill="FFFFFF"/>
          <w:lang w:eastAsia="zh-CN"/>
        </w:rPr>
        <w:t>。</w:t>
      </w:r>
      <w:r>
        <w:rPr>
          <w:rFonts w:hint="eastAsia" w:ascii="仿宋_GB2312" w:hAnsi="仿宋_GB2312" w:eastAsia="仿宋_GB2312" w:cs="仿宋_GB2312"/>
          <w:color w:val="auto"/>
          <w:sz w:val="32"/>
          <w:highlight w:val="none"/>
          <w:shd w:val="clear" w:color="auto" w:fill="FFFFFF"/>
        </w:rPr>
        <w:t>公务车保有量</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辆，计划购置</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w:t>
      </w:r>
      <w:r>
        <w:rPr>
          <w:rFonts w:hint="eastAsia" w:ascii="仿宋_GB2312" w:hAnsi="仿宋_GB2312" w:eastAsia="仿宋_GB2312" w:cs="仿宋_GB2312"/>
          <w:color w:val="auto"/>
          <w:sz w:val="32"/>
          <w:highlight w:val="none"/>
          <w:shd w:val="clear" w:color="auto" w:fill="FFFFFF"/>
        </w:rPr>
        <w:t>；</w:t>
      </w:r>
      <w:r>
        <w:rPr>
          <w:rFonts w:hint="eastAsia" w:ascii="仿宋_GB2312" w:hAnsi="仿宋_GB2312" w:eastAsia="仿宋_GB2312" w:cs="仿宋_GB2312"/>
          <w:color w:val="auto"/>
          <w:sz w:val="32"/>
          <w:szCs w:val="32"/>
          <w:highlight w:val="none"/>
        </w:rPr>
        <w:t>公务接待费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highlight w:val="none"/>
          <w:shd w:val="clear" w:color="auto" w:fill="FFFFFF"/>
        </w:rPr>
        <w:t>万元，与上年预算持平。</w:t>
      </w:r>
      <w:r>
        <w:rPr>
          <w:rFonts w:hint="eastAsia" w:ascii="仿宋_GB2312" w:hAnsi="仿宋_GB2312" w:eastAsia="仿宋_GB2312" w:cs="仿宋_GB2312"/>
          <w:color w:val="auto"/>
          <w:sz w:val="32"/>
          <w:szCs w:val="32"/>
          <w:highlight w:val="none"/>
          <w:shd w:val="clear" w:color="auto" w:fill="auto"/>
          <w:lang w:val="en-US" w:eastAsia="zh-CN"/>
        </w:rPr>
        <w:t>计划接待0批0人。</w:t>
      </w:r>
    </w:p>
    <w:p>
      <w:pPr>
        <w:ind w:firstLine="640" w:firstLineChars="200"/>
        <w:rPr>
          <w:rFonts w:ascii="仿宋_GB2312" w:hAnsi="黑体" w:eastAsia="仿宋_GB2312" w:cs="Times New Roman"/>
          <w:color w:val="auto"/>
          <w:sz w:val="32"/>
          <w:szCs w:val="32"/>
          <w:highlight w:val="none"/>
        </w:rPr>
      </w:pPr>
      <w:r>
        <w:rPr>
          <w:rFonts w:hint="eastAsia" w:ascii="仿宋_GB2312" w:hAnsi="黑体" w:eastAsia="仿宋_GB2312"/>
          <w:color w:val="auto"/>
          <w:sz w:val="32"/>
          <w:szCs w:val="32"/>
          <w:highlight w:val="none"/>
        </w:rPr>
        <w:t>（二）</w:t>
      </w:r>
      <w:r>
        <w:rPr>
          <w:rFonts w:hint="eastAsia" w:ascii="仿宋_GB2312" w:hAnsi="黑体" w:eastAsia="仿宋_GB2312"/>
          <w:color w:val="auto"/>
          <w:sz w:val="32"/>
          <w:szCs w:val="32"/>
          <w:highlight w:val="none"/>
          <w:lang w:val="en-US" w:eastAsia="zh-CN"/>
        </w:rPr>
        <w:t>三亚市投资促进局2023</w:t>
      </w:r>
      <w:r>
        <w:rPr>
          <w:rFonts w:hint="eastAsia" w:ascii="仿宋_GB2312" w:hAnsi="黑体" w:eastAsia="仿宋_GB2312"/>
          <w:color w:val="auto"/>
          <w:sz w:val="32"/>
          <w:szCs w:val="32"/>
          <w:highlight w:val="none"/>
        </w:rPr>
        <w:t>年政府性基金预算“三公”经费预算数为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p>
    <w:p>
      <w:pPr>
        <w:rPr>
          <w:rFonts w:ascii="Times New Roman" w:hAnsi="Times New Roman" w:eastAsia="仿宋_GB2312" w:cs="Times New Roman"/>
          <w:color w:val="auto"/>
          <w:sz w:val="32"/>
          <w:highlight w:val="none"/>
          <w:shd w:val="clear" w:color="auto" w:fill="FFFFFF"/>
        </w:rPr>
      </w:pPr>
      <w:r>
        <w:rPr>
          <w:rFonts w:ascii="Times New Roman" w:hAnsi="Times New Roman" w:eastAsia="仿宋_GB2312" w:cs="Times New Roman"/>
          <w:color w:val="auto"/>
          <w:sz w:val="32"/>
          <w:highlight w:val="none"/>
          <w:shd w:val="clear" w:color="auto" w:fill="FFFFFF"/>
        </w:rPr>
        <w:t xml:space="preserve">    </w:t>
      </w:r>
      <w:r>
        <w:rPr>
          <w:rFonts w:hint="eastAsia" w:ascii="仿宋_GB2312" w:hAnsi="仿宋_GB2312" w:eastAsia="仿宋_GB2312" w:cs="仿宋_GB2312"/>
          <w:color w:val="auto"/>
          <w:sz w:val="32"/>
          <w:highlight w:val="none"/>
          <w:shd w:val="clear" w:color="auto" w:fill="FFFFFF"/>
        </w:rPr>
        <w:t>因公出国（境）经费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highlight w:val="none"/>
          <w:shd w:val="clear" w:color="auto" w:fill="FFFFFF"/>
        </w:rPr>
        <w:t>，与上年预算持平</w:t>
      </w:r>
      <w:r>
        <w:rPr>
          <w:rFonts w:hint="eastAsia" w:ascii="仿宋_GB2312" w:hAnsi="仿宋_GB2312" w:eastAsia="仿宋_GB2312" w:cs="仿宋_GB2312"/>
          <w:color w:val="auto"/>
          <w:sz w:val="32"/>
          <w:szCs w:val="32"/>
          <w:highlight w:val="none"/>
          <w:shd w:val="clear" w:color="auto" w:fill="auto"/>
          <w:lang w:val="en-US" w:eastAsia="zh-CN"/>
        </w:rPr>
        <w:t>，2023年无出国计划，拟安排出国（境）团（组）0次，出国（境）0人</w:t>
      </w:r>
      <w:r>
        <w:rPr>
          <w:rFonts w:hint="eastAsia" w:ascii="仿宋_GB2312" w:hAnsi="仿宋_GB2312" w:eastAsia="仿宋_GB2312" w:cs="仿宋_GB2312"/>
          <w:color w:val="auto"/>
          <w:sz w:val="32"/>
          <w:highlight w:val="none"/>
          <w:shd w:val="clear" w:color="auto" w:fill="FFFFFF"/>
        </w:rPr>
        <w:t>；公务用车购置及运行费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万元（其</w:t>
      </w:r>
      <w:r>
        <w:rPr>
          <w:rFonts w:hint="eastAsia" w:ascii="仿宋_GB2312" w:hAnsi="仿宋_GB2312" w:eastAsia="仿宋_GB2312" w:cs="仿宋_GB2312"/>
          <w:sz w:val="32"/>
          <w:szCs w:val="32"/>
        </w:rPr>
        <w:t>中，</w:t>
      </w:r>
      <w:r>
        <w:rPr>
          <w:rFonts w:hint="eastAsia" w:ascii="仿宋_GB2312" w:hAnsi="仿宋_GB2312" w:eastAsia="仿宋_GB2312" w:cs="仿宋_GB2312"/>
          <w:sz w:val="32"/>
          <w:shd w:val="clear" w:color="auto" w:fill="FFFFFF"/>
        </w:rPr>
        <w:t>公务用</w:t>
      </w:r>
      <w:bookmarkStart w:id="0" w:name="_GoBack"/>
      <w:bookmarkEnd w:id="0"/>
      <w:r>
        <w:rPr>
          <w:rFonts w:hint="eastAsia" w:ascii="仿宋_GB2312" w:hAnsi="仿宋_GB2312" w:eastAsia="仿宋_GB2312" w:cs="仿宋_GB2312"/>
          <w:sz w:val="32"/>
          <w:shd w:val="clear" w:color="auto" w:fill="FFFFFF"/>
        </w:rPr>
        <w:t>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w:t>
      </w:r>
      <w:r>
        <w:rPr>
          <w:rFonts w:hint="eastAsia" w:ascii="仿宋_GB2312" w:hAnsi="仿宋_GB2312" w:eastAsia="仿宋_GB2312" w:cs="仿宋_GB2312"/>
          <w:sz w:val="32"/>
          <w:shd w:val="clear" w:color="auto" w:fill="FFFFFF"/>
          <w:lang w:eastAsia="zh-CN"/>
        </w:rPr>
        <w:t>维护</w:t>
      </w:r>
      <w:r>
        <w:rPr>
          <w:rFonts w:hint="eastAsia" w:ascii="仿宋_GB2312" w:hAnsi="仿宋_GB2312" w:eastAsia="仿宋_GB2312" w:cs="仿宋_GB2312"/>
          <w:sz w:val="32"/>
          <w:shd w:val="clear" w:color="auto" w:fill="FFFFFF"/>
        </w:rPr>
        <w:t>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w:t>
      </w:r>
      <w:r>
        <w:rPr>
          <w:rFonts w:hint="eastAsia" w:ascii="仿宋_GB2312" w:hAnsi="仿宋_GB2312" w:eastAsia="仿宋_GB2312" w:cs="仿宋_GB2312"/>
          <w:color w:val="auto"/>
          <w:sz w:val="32"/>
          <w:highlight w:val="none"/>
          <w:shd w:val="clear" w:color="auto" w:fill="FFFFFF"/>
        </w:rPr>
        <w:t>平。</w:t>
      </w:r>
      <w:r>
        <w:rPr>
          <w:rFonts w:hint="eastAsia" w:ascii="仿宋_GB2312" w:hAnsi="仿宋_GB2312" w:eastAsia="仿宋_GB2312" w:cs="仿宋_GB2312"/>
          <w:color w:val="auto"/>
          <w:sz w:val="32"/>
          <w:szCs w:val="32"/>
          <w:highlight w:val="none"/>
          <w:shd w:val="clear" w:color="auto" w:fill="auto"/>
          <w:lang w:val="en-US" w:eastAsia="zh-CN"/>
        </w:rPr>
        <w:t>计划接待0批0人</w:t>
      </w:r>
      <w:r>
        <w:rPr>
          <w:rFonts w:hint="eastAsia" w:ascii="楷体" w:hAnsi="楷体" w:eastAsia="楷体" w:cs="黑体"/>
          <w:color w:val="auto"/>
          <w:sz w:val="32"/>
          <w:szCs w:val="32"/>
          <w:highlight w:val="none"/>
          <w:shd w:val="clear" w:color="auto" w:fill="auto"/>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val="en-US" w:eastAsia="zh-CN"/>
        </w:rPr>
        <w:t>三亚市投资促进局2023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三亚市投资促进局2023</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三亚市投资促进局</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三亚市投资促进局</w:t>
      </w:r>
      <w:r>
        <w:rPr>
          <w:rFonts w:hint="eastAsia" w:ascii="仿宋_GB2312" w:hAnsi="黑体" w:eastAsia="仿宋_GB2312" w:cs="仿宋_GB2312"/>
          <w:sz w:val="32"/>
          <w:szCs w:val="32"/>
        </w:rPr>
        <w:t>所有收入和支出均纳入部门预算管理。收入包括</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shd w:val="clear" w:color="auto" w:fill="auto"/>
          <w:lang w:val="en-US" w:eastAsia="zh-CN"/>
        </w:rPr>
        <w:t>一般公共预算收入；支出包括：一般公共服务支出。</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sz w:val="32"/>
          <w:szCs w:val="32"/>
          <w:lang w:val="en-US" w:eastAsia="zh-CN"/>
        </w:rPr>
        <w:t>亚</w:t>
      </w:r>
      <w:r>
        <w:rPr>
          <w:rFonts w:hint="eastAsia" w:ascii="仿宋_GB2312" w:hAnsi="黑体" w:eastAsia="仿宋_GB2312" w:cs="仿宋_GB2312"/>
          <w:sz w:val="32"/>
          <w:szCs w:val="32"/>
          <w:lang w:val="en-US" w:eastAsia="zh-CN"/>
        </w:rPr>
        <w:t>市投资促进局2023</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15398</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三亚市投资促进局</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三亚市投资促进局2023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2418</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原因是增加总部经济奖补资金和省商务厅下达商务发展专项资金。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三亚市投资促进局</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三亚市投资促进局2023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2498</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原因是增加总部经济奖补资金和省商务厅下达商务发展专项资金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eastAsia="zh-CN"/>
        </w:rPr>
      </w:pPr>
      <w:r>
        <w:rPr>
          <w:rFonts w:hint="eastAsia" w:ascii="楷体" w:hAnsi="楷体" w:eastAsia="楷体"/>
          <w:sz w:val="32"/>
          <w:szCs w:val="32"/>
          <w:lang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三亚市投资促进局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三亚市投资促进局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三亚市投资促进局</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15398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420432982">
    <w:nsid w:val="CBDFAA56"/>
    <w:multiLevelType w:val="singleLevel"/>
    <w:tmpl w:val="CBDFAA56"/>
    <w:lvl w:ilvl="0" w:tentative="1">
      <w:start w:val="1"/>
      <w:numFmt w:val="chineseCounting"/>
      <w:suff w:val="nothing"/>
      <w:lvlText w:val="%1、"/>
      <w:lvlJc w:val="left"/>
      <w:rPr>
        <w:rFonts w:hint="eastAsia"/>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3420432982"/>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hZWFjNTFiZTA0M2ExMzM5N2Y0MGMyZDBkNGViMzcifQ=="/>
  </w:docVars>
  <w:rsids>
    <w:rsidRoot w:val="00000000"/>
    <w:rsid w:val="08D04A22"/>
    <w:rsid w:val="11384E0A"/>
    <w:rsid w:val="14B57C2A"/>
    <w:rsid w:val="19D5DA33"/>
    <w:rsid w:val="1BA03D95"/>
    <w:rsid w:val="1BBF6972"/>
    <w:rsid w:val="1D131CE8"/>
    <w:rsid w:val="1FBF8E30"/>
    <w:rsid w:val="24B91329"/>
    <w:rsid w:val="2A6072BA"/>
    <w:rsid w:val="2BDF0DC0"/>
    <w:rsid w:val="2F2C20C7"/>
    <w:rsid w:val="2FF7110D"/>
    <w:rsid w:val="2FFFCED3"/>
    <w:rsid w:val="322F0A76"/>
    <w:rsid w:val="33A30F1F"/>
    <w:rsid w:val="384401D6"/>
    <w:rsid w:val="3C2C5275"/>
    <w:rsid w:val="3C64163E"/>
    <w:rsid w:val="3F7FB4B5"/>
    <w:rsid w:val="3FAD4D11"/>
    <w:rsid w:val="3FAF2CE5"/>
    <w:rsid w:val="405F6B87"/>
    <w:rsid w:val="45317101"/>
    <w:rsid w:val="46292A90"/>
    <w:rsid w:val="47825E4E"/>
    <w:rsid w:val="485B77F4"/>
    <w:rsid w:val="486349D3"/>
    <w:rsid w:val="4A7232EE"/>
    <w:rsid w:val="4ACF10CF"/>
    <w:rsid w:val="4B130B5E"/>
    <w:rsid w:val="4FB80849"/>
    <w:rsid w:val="50857EE9"/>
    <w:rsid w:val="5088749D"/>
    <w:rsid w:val="56281F12"/>
    <w:rsid w:val="56F655A8"/>
    <w:rsid w:val="58732881"/>
    <w:rsid w:val="59C14E89"/>
    <w:rsid w:val="5BAC2340"/>
    <w:rsid w:val="5CD8022A"/>
    <w:rsid w:val="5CDE0EB0"/>
    <w:rsid w:val="5DB7E539"/>
    <w:rsid w:val="5E763C0A"/>
    <w:rsid w:val="603A3388"/>
    <w:rsid w:val="619A6396"/>
    <w:rsid w:val="650C7B7C"/>
    <w:rsid w:val="66DACB0B"/>
    <w:rsid w:val="66EE4956"/>
    <w:rsid w:val="697BF56A"/>
    <w:rsid w:val="6B6CE30F"/>
    <w:rsid w:val="6C7F1319"/>
    <w:rsid w:val="6CC25F20"/>
    <w:rsid w:val="6DDF74AC"/>
    <w:rsid w:val="6FAF0D8D"/>
    <w:rsid w:val="6FCFCADC"/>
    <w:rsid w:val="6FFA4FE6"/>
    <w:rsid w:val="70AB7666"/>
    <w:rsid w:val="75FB0B04"/>
    <w:rsid w:val="78B343FD"/>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E9FE5693"/>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Salutation"/>
    <w:basedOn w:val="1"/>
    <w:next w:val="1"/>
    <w:qFormat/>
    <w:uiPriority w:val="0"/>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3515</Words>
  <Characters>3721</Characters>
  <Lines>27</Lines>
  <Paragraphs>7</Paragraphs>
  <TotalTime>0</TotalTime>
  <ScaleCrop>false</ScaleCrop>
  <LinksUpToDate>false</LinksUpToDate>
  <CharactersWithSpaces>3753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01</cp:lastModifiedBy>
  <dcterms:modified xsi:type="dcterms:W3CDTF">2024-07-18T07:47:47Z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A47CA31E7F3B9348167C946682DE5C34_42</vt:lpwstr>
  </property>
</Properties>
</file>