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highlight w:val="none"/>
          <w:u w:val="single"/>
        </w:rPr>
      </w:pPr>
    </w:p>
    <w:p>
      <w:pPr>
        <w:rPr>
          <w:color w:val="auto"/>
          <w:sz w:val="84"/>
          <w:szCs w:val="84"/>
          <w:highlight w:val="none"/>
          <w:u w:val="single"/>
        </w:rPr>
      </w:pPr>
    </w:p>
    <w:p>
      <w:pPr>
        <w:rPr>
          <w:color w:val="auto"/>
          <w:sz w:val="84"/>
          <w:szCs w:val="84"/>
          <w:highlight w:val="none"/>
          <w:u w:val="single"/>
        </w:rPr>
      </w:pPr>
    </w:p>
    <w:p>
      <w:pPr>
        <w:rPr>
          <w:color w:val="auto"/>
          <w:sz w:val="84"/>
          <w:szCs w:val="84"/>
          <w:highlight w:val="none"/>
          <w:u w:val="single"/>
        </w:rPr>
      </w:pPr>
    </w:p>
    <w:p>
      <w:pPr>
        <w:jc w:val="center"/>
        <w:rPr>
          <w:color w:val="auto"/>
          <w:sz w:val="52"/>
          <w:szCs w:val="52"/>
          <w:highlight w:val="none"/>
        </w:rPr>
      </w:pPr>
      <w:r>
        <w:rPr>
          <w:rFonts w:hint="eastAsia"/>
          <w:color w:val="auto"/>
          <w:sz w:val="52"/>
          <w:szCs w:val="52"/>
          <w:highlight w:val="none"/>
          <w:lang w:val="en-US" w:eastAsia="zh-CN"/>
        </w:rPr>
        <w:t>2023</w:t>
      </w:r>
      <w:r>
        <w:rPr>
          <w:rFonts w:hint="eastAsia"/>
          <w:color w:val="auto"/>
          <w:sz w:val="52"/>
          <w:szCs w:val="52"/>
          <w:highlight w:val="none"/>
        </w:rPr>
        <w:t>年</w:t>
      </w:r>
      <w:r>
        <w:rPr>
          <w:rFonts w:hint="eastAsia"/>
          <w:color w:val="auto"/>
          <w:sz w:val="52"/>
          <w:szCs w:val="52"/>
          <w:highlight w:val="none"/>
          <w:lang w:eastAsia="zh-CN"/>
        </w:rPr>
        <w:t>三亚中央商务区管理局单位</w:t>
      </w:r>
      <w:r>
        <w:rPr>
          <w:rFonts w:hint="eastAsia"/>
          <w:color w:val="auto"/>
          <w:sz w:val="52"/>
          <w:szCs w:val="52"/>
          <w:highlight w:val="none"/>
        </w:rPr>
        <w:t>预算</w:t>
      </w: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rPr>
          <w:color w:val="auto"/>
          <w:sz w:val="84"/>
          <w:szCs w:val="84"/>
          <w:highlight w:val="none"/>
        </w:rPr>
      </w:pPr>
    </w:p>
    <w:p>
      <w:pPr>
        <w:jc w:val="center"/>
        <w:rPr>
          <w:rFonts w:ascii="黑体" w:hAnsi="黑体" w:eastAsia="黑体"/>
          <w:color w:val="auto"/>
          <w:sz w:val="52"/>
          <w:szCs w:val="52"/>
          <w:highlight w:val="none"/>
        </w:rPr>
      </w:pPr>
      <w:r>
        <w:rPr>
          <w:rFonts w:hint="eastAsia" w:ascii="黑体" w:hAnsi="黑体" w:eastAsia="黑体"/>
          <w:color w:val="auto"/>
          <w:sz w:val="52"/>
          <w:szCs w:val="52"/>
          <w:highlight w:val="none"/>
        </w:rPr>
        <w:t>目录</w:t>
      </w:r>
    </w:p>
    <w:p>
      <w:pPr>
        <w:pStyle w:val="5"/>
        <w:numPr>
          <w:ilvl w:val="0"/>
          <w:numId w:val="1"/>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  </w:t>
      </w:r>
      <w:r>
        <w:rPr>
          <w:rFonts w:hint="eastAsia" w:ascii="黑体" w:hAnsi="黑体" w:eastAsia="黑体"/>
          <w:color w:val="auto"/>
          <w:sz w:val="32"/>
          <w:szCs w:val="32"/>
          <w:highlight w:val="none"/>
          <w:lang w:eastAsia="zh-CN"/>
        </w:rPr>
        <w:t>三亚中央商务区管理局单位</w:t>
      </w:r>
      <w:r>
        <w:rPr>
          <w:rFonts w:hint="eastAsia" w:ascii="黑体" w:hAnsi="黑体" w:eastAsia="黑体"/>
          <w:color w:val="auto"/>
          <w:sz w:val="32"/>
          <w:szCs w:val="32"/>
          <w:highlight w:val="none"/>
        </w:rPr>
        <w:t>概况</w:t>
      </w:r>
    </w:p>
    <w:p>
      <w:pPr>
        <w:pStyle w:val="5"/>
        <w:numPr>
          <w:ilvl w:val="0"/>
          <w:numId w:val="2"/>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rPr>
        <w:t>主要职能</w:t>
      </w:r>
    </w:p>
    <w:p>
      <w:pPr>
        <w:pStyle w:val="5"/>
        <w:numPr>
          <w:ilvl w:val="0"/>
          <w:numId w:val="2"/>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部门预算单位构成</w:t>
      </w:r>
    </w:p>
    <w:p>
      <w:pPr>
        <w:pStyle w:val="5"/>
        <w:numPr>
          <w:ilvl w:val="0"/>
          <w:numId w:val="1"/>
        </w:numPr>
        <w:ind w:firstLineChars="0"/>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 </w:t>
      </w:r>
      <w:r>
        <w:rPr>
          <w:rFonts w:hint="eastAsia" w:ascii="黑体" w:hAnsi="黑体" w:eastAsia="黑体"/>
          <w:color w:val="auto"/>
          <w:sz w:val="32"/>
          <w:szCs w:val="32"/>
          <w:highlight w:val="none"/>
          <w:lang w:eastAsia="zh-CN"/>
        </w:rPr>
        <w:t>三亚中央商务区管理局单位</w:t>
      </w:r>
      <w:r>
        <w:rPr>
          <w:rFonts w:hint="eastAsia" w:ascii="仿宋_GB2312" w:hAnsi="黑体" w:eastAsia="仿宋_GB2312" w:cs="仿宋_GB2312"/>
          <w:color w:val="auto"/>
          <w:sz w:val="32"/>
          <w:szCs w:val="32"/>
          <w:highlight w:val="none"/>
          <w:lang w:val="en-US" w:eastAsia="zh-CN"/>
        </w:rPr>
        <w:t>2023</w:t>
      </w:r>
      <w:r>
        <w:rPr>
          <w:rFonts w:hint="eastAsia" w:ascii="黑体" w:hAnsi="黑体" w:eastAsia="黑体"/>
          <w:color w:val="auto"/>
          <w:sz w:val="32"/>
          <w:szCs w:val="32"/>
          <w:highlight w:val="none"/>
        </w:rPr>
        <w:t>年</w:t>
      </w:r>
      <w:r>
        <w:rPr>
          <w:rFonts w:hint="eastAsia" w:ascii="黑体" w:hAnsi="黑体" w:eastAsia="黑体"/>
          <w:color w:val="auto"/>
          <w:sz w:val="32"/>
          <w:szCs w:val="32"/>
          <w:highlight w:val="none"/>
          <w:lang w:eastAsia="zh-CN"/>
        </w:rPr>
        <w:t>单位</w:t>
      </w:r>
      <w:r>
        <w:rPr>
          <w:rFonts w:hint="eastAsia" w:ascii="黑体" w:hAnsi="黑体" w:eastAsia="黑体"/>
          <w:color w:val="auto"/>
          <w:sz w:val="32"/>
          <w:szCs w:val="32"/>
          <w:highlight w:val="none"/>
        </w:rPr>
        <w:t>预算表</w:t>
      </w:r>
    </w:p>
    <w:p>
      <w:pPr>
        <w:pStyle w:val="5"/>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财政拨款收支总表</w:t>
      </w:r>
    </w:p>
    <w:p>
      <w:pPr>
        <w:pStyle w:val="5"/>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一般公共预算支出表</w:t>
      </w:r>
    </w:p>
    <w:p>
      <w:pPr>
        <w:pStyle w:val="5"/>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一般公共预算基本支出表</w:t>
      </w:r>
    </w:p>
    <w:p>
      <w:pPr>
        <w:pStyle w:val="5"/>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一般公共预算“三公”经费支出表</w:t>
      </w:r>
    </w:p>
    <w:p>
      <w:pPr>
        <w:pStyle w:val="5"/>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政府性基金预算支出表。</w:t>
      </w:r>
    </w:p>
    <w:p>
      <w:pPr>
        <w:pStyle w:val="5"/>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政府性基金预算“三公”经费支出表</w:t>
      </w:r>
    </w:p>
    <w:p>
      <w:pPr>
        <w:pStyle w:val="5"/>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收支总表</w:t>
      </w:r>
    </w:p>
    <w:p>
      <w:pPr>
        <w:pStyle w:val="5"/>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收入总表</w:t>
      </w:r>
    </w:p>
    <w:p>
      <w:pPr>
        <w:pStyle w:val="5"/>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支出总表</w:t>
      </w:r>
    </w:p>
    <w:p>
      <w:pPr>
        <w:pStyle w:val="5"/>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rPr>
        <w:t>项目支出绩效信息表</w:t>
      </w:r>
    </w:p>
    <w:p>
      <w:pPr>
        <w:pStyle w:val="5"/>
        <w:numPr>
          <w:ilvl w:val="0"/>
          <w:numId w:val="1"/>
        </w:numPr>
        <w:ind w:firstLineChars="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 xml:space="preserve">  </w:t>
      </w:r>
      <w:r>
        <w:rPr>
          <w:rFonts w:hint="eastAsia" w:ascii="黑体" w:hAnsi="黑体" w:eastAsia="黑体"/>
          <w:color w:val="auto"/>
          <w:sz w:val="32"/>
          <w:szCs w:val="32"/>
          <w:highlight w:val="none"/>
          <w:lang w:eastAsia="zh-CN"/>
        </w:rPr>
        <w:t>三亚中央商务区管理局</w:t>
      </w:r>
      <w:r>
        <w:rPr>
          <w:rFonts w:hint="eastAsia" w:ascii="黑体" w:hAnsi="黑体" w:eastAsia="黑体"/>
          <w:color w:val="auto"/>
          <w:sz w:val="32"/>
          <w:szCs w:val="32"/>
          <w:highlight w:val="none"/>
          <w:lang w:val="en-US" w:eastAsia="zh-CN"/>
        </w:rPr>
        <w:t>2023</w:t>
      </w:r>
      <w:r>
        <w:rPr>
          <w:rFonts w:hint="eastAsia" w:ascii="黑体" w:hAnsi="黑体" w:eastAsia="黑体"/>
          <w:color w:val="auto"/>
          <w:sz w:val="32"/>
          <w:szCs w:val="32"/>
          <w:highlight w:val="none"/>
        </w:rPr>
        <w:t>年</w:t>
      </w:r>
      <w:r>
        <w:rPr>
          <w:rFonts w:hint="eastAsia" w:ascii="黑体" w:hAnsi="黑体" w:eastAsia="黑体"/>
          <w:color w:val="auto"/>
          <w:sz w:val="32"/>
          <w:szCs w:val="32"/>
          <w:highlight w:val="none"/>
          <w:lang w:eastAsia="zh-CN"/>
        </w:rPr>
        <w:t>单位</w:t>
      </w:r>
      <w:r>
        <w:rPr>
          <w:rFonts w:hint="eastAsia" w:ascii="黑体" w:hAnsi="黑体" w:eastAsia="黑体"/>
          <w:color w:val="auto"/>
          <w:sz w:val="32"/>
          <w:szCs w:val="32"/>
          <w:highlight w:val="none"/>
        </w:rPr>
        <w:t>预算情况</w:t>
      </w:r>
    </w:p>
    <w:p>
      <w:pPr>
        <w:pStyle w:val="5"/>
        <w:numPr>
          <w:ilvl w:val="0"/>
          <w:numId w:val="0"/>
        </w:numPr>
        <w:ind w:leftChars="0" w:firstLine="1600" w:firstLineChars="50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说明</w:t>
      </w:r>
    </w:p>
    <w:p>
      <w:pPr>
        <w:pStyle w:val="5"/>
        <w:numPr>
          <w:ilvl w:val="0"/>
          <w:numId w:val="1"/>
        </w:numPr>
        <w:ind w:firstLineChars="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 xml:space="preserve">   名词解释</w:t>
      </w:r>
    </w:p>
    <w:p>
      <w:pPr>
        <w:pStyle w:val="5"/>
        <w:ind w:left="1320" w:firstLine="0" w:firstLineChars="0"/>
        <w:jc w:val="left"/>
        <w:rPr>
          <w:rFonts w:ascii="黑体" w:hAnsi="黑体" w:eastAsia="黑体"/>
          <w:color w:val="auto"/>
          <w:sz w:val="32"/>
          <w:szCs w:val="32"/>
          <w:highlight w:val="none"/>
        </w:rPr>
      </w:pPr>
    </w:p>
    <w:p>
      <w:pPr>
        <w:jc w:val="left"/>
        <w:rPr>
          <w:rFonts w:ascii="黑体" w:hAnsi="黑体" w:eastAsia="黑体"/>
          <w:color w:val="auto"/>
          <w:sz w:val="32"/>
          <w:szCs w:val="32"/>
          <w:highlight w:val="none"/>
        </w:rPr>
      </w:pPr>
    </w:p>
    <w:p>
      <w:pPr>
        <w:jc w:val="left"/>
        <w:rPr>
          <w:rFonts w:ascii="黑体" w:hAnsi="黑体" w:eastAsia="黑体"/>
          <w:color w:val="auto"/>
          <w:sz w:val="32"/>
          <w:szCs w:val="32"/>
          <w:highlight w:val="none"/>
        </w:rPr>
      </w:pPr>
    </w:p>
    <w:p>
      <w:pPr>
        <w:jc w:val="left"/>
        <w:rPr>
          <w:rFonts w:ascii="黑体" w:hAnsi="黑体" w:eastAsia="黑体"/>
          <w:color w:val="auto"/>
          <w:sz w:val="32"/>
          <w:szCs w:val="32"/>
          <w:highlight w:val="none"/>
        </w:rPr>
      </w:pPr>
    </w:p>
    <w:p>
      <w:pPr>
        <w:pStyle w:val="5"/>
        <w:numPr>
          <w:ilvl w:val="0"/>
          <w:numId w:val="4"/>
        </w:numPr>
        <w:ind w:firstLineChars="0"/>
        <w:jc w:val="center"/>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 xml:space="preserve">  </w:t>
      </w:r>
      <w:r>
        <w:rPr>
          <w:rFonts w:hint="eastAsia" w:ascii="黑体" w:hAnsi="黑体" w:eastAsia="黑体"/>
          <w:color w:val="auto"/>
          <w:sz w:val="32"/>
          <w:szCs w:val="32"/>
          <w:highlight w:val="none"/>
          <w:lang w:eastAsia="zh-CN"/>
        </w:rPr>
        <w:t>三亚中央商务区管理局单位</w:t>
      </w:r>
      <w:r>
        <w:rPr>
          <w:rFonts w:hint="eastAsia" w:ascii="黑体" w:hAnsi="黑体" w:eastAsia="黑体"/>
          <w:color w:val="auto"/>
          <w:sz w:val="32"/>
          <w:szCs w:val="32"/>
          <w:highlight w:val="none"/>
        </w:rPr>
        <w:t>概况</w:t>
      </w:r>
    </w:p>
    <w:p>
      <w:pPr>
        <w:jc w:val="left"/>
        <w:rPr>
          <w:rFonts w:ascii="仿宋_GB2312" w:hAnsi="仿宋_GB2312" w:eastAsia="仿宋_GB2312" w:cs="仿宋_GB2312"/>
          <w:color w:val="auto"/>
          <w:sz w:val="32"/>
          <w:szCs w:val="32"/>
          <w:highlight w:val="none"/>
        </w:rPr>
      </w:pPr>
    </w:p>
    <w:p>
      <w:pPr>
        <w:pStyle w:val="5"/>
        <w:numPr>
          <w:ilvl w:val="0"/>
          <w:numId w:val="5"/>
        </w:numPr>
        <w:ind w:firstLineChars="0"/>
        <w:jc w:val="left"/>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rPr>
        <w:t>主要职能</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.按照省“多规合一”成果，协调相关部门编制并组织实施园区总体发展规划、产业发展规划等专项规划及园区准入清单，实现园区设计管控。</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承接上级党委、政府和有关职能部门授权或委托的各项审批、管理、服务职权；负责自贸港政策在园区范围内的落实和监管工作；研究并组织实施园区内有关产业发展规划政策；试行承诺备案制监管，实行园区“极简审批”政策，创建“放管服”改革试点；探索和创新园区管理体制和运作机制。</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3.统筹、协调和推进园区开发建设；提出土地储备、出让的意见和建议；负责园区土地开发及公共配套设施建设。</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4.负责园区招商引资、宣传推广工作；统筹协调投资项目引进事宜，推进园区内项目落地开工建设；协调解决企业进驻、建设、发展过程中的有关问题。</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5.负责园区对外交流与合作工作。</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6.负责园区经济运行情况监测和统计工作。</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7.就园区建设和发展中的有关重大问题，提交市委、市政府有关部门及相关区政府协调解决。</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8.负责政府投入园区的相关国有资产的管理和使用；组织制定园区内部人事、薪酬和绩效管理等管理制度。</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9.履行省委、省政府，市委、市政府授权赋予的其他职责。</w:t>
      </w:r>
    </w:p>
    <w:p>
      <w:pPr>
        <w:pStyle w:val="5"/>
        <w:numPr>
          <w:ilvl w:val="0"/>
          <w:numId w:val="0"/>
        </w:numPr>
        <w:ind w:leftChars="0"/>
        <w:jc w:val="left"/>
        <w:rPr>
          <w:rFonts w:hint="eastAsia" w:ascii="仿宋_GB2312" w:hAnsi="黑体" w:eastAsia="仿宋_GB2312" w:cs="仿宋_GB2312"/>
          <w:color w:val="auto"/>
          <w:sz w:val="32"/>
          <w:szCs w:val="32"/>
          <w:highlight w:val="none"/>
        </w:rPr>
      </w:pPr>
      <w:r>
        <w:rPr>
          <w:rFonts w:hint="eastAsia" w:ascii="黑体" w:hAnsi="黑体" w:eastAsia="黑体" w:cs="仿宋_GB2312"/>
          <w:color w:val="auto"/>
          <w:sz w:val="32"/>
          <w:szCs w:val="32"/>
          <w:highlight w:val="none"/>
          <w:lang w:val="en-US" w:eastAsia="zh-CN"/>
        </w:rPr>
        <w:t>二、部门</w:t>
      </w:r>
      <w:r>
        <w:rPr>
          <w:rFonts w:hint="eastAsia" w:ascii="黑体" w:hAnsi="黑体" w:eastAsia="黑体" w:cs="仿宋_GB2312"/>
          <w:color w:val="auto"/>
          <w:sz w:val="32"/>
          <w:szCs w:val="32"/>
          <w:highlight w:val="none"/>
        </w:rPr>
        <w:t>预算单位构成</w:t>
      </w:r>
    </w:p>
    <w:p>
      <w:pPr>
        <w:pStyle w:val="5"/>
        <w:numPr>
          <w:ilvl w:val="0"/>
          <w:numId w:val="0"/>
        </w:numPr>
        <w:ind w:leftChars="0" w:firstLine="420" w:firstLineChars="0"/>
        <w:jc w:val="left"/>
        <w:rPr>
          <w:rFonts w:hint="eastAsia" w:ascii="仿宋_GB2312" w:hAnsi="黑体" w:eastAsia="黑体" w:cs="仿宋_GB2312"/>
          <w:color w:val="auto"/>
          <w:sz w:val="32"/>
          <w:szCs w:val="32"/>
          <w:highlight w:val="none"/>
          <w:lang w:val="en-US" w:eastAsia="zh-CN"/>
        </w:rPr>
      </w:pPr>
      <w:r>
        <w:rPr>
          <w:rFonts w:hint="eastAsia" w:ascii="仿宋_GB2312" w:hAnsi="黑体" w:eastAsia="黑体" w:cs="仿宋_GB2312"/>
          <w:color w:val="auto"/>
          <w:sz w:val="32"/>
          <w:szCs w:val="32"/>
          <w:highlight w:val="none"/>
          <w:lang w:val="en-US" w:eastAsia="zh-CN"/>
        </w:rPr>
        <w:t>三亚中央商务区管理局有内设科室11个：</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1.综合部（党建人事部）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2.战略发展部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3.规划建设部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4.经贸发展部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5.邮轮游艇部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6.文化旅游部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7.金融与科技部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8.财务监管部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9.审计部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10.风控部</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11.营商环境促进中心</w:t>
      </w:r>
    </w:p>
    <w:p>
      <w:pPr>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第二部分 </w:t>
      </w:r>
      <w:r>
        <w:rPr>
          <w:rFonts w:hint="eastAsia" w:ascii="仿宋_GB2312" w:hAnsi="黑体" w:eastAsia="仿宋_GB2312" w:cs="仿宋_GB2312"/>
          <w:color w:val="auto"/>
          <w:sz w:val="32"/>
          <w:szCs w:val="32"/>
          <w:highlight w:val="none"/>
        </w:rPr>
        <w:t xml:space="preserve"> </w:t>
      </w:r>
      <w:r>
        <w:rPr>
          <w:rFonts w:hint="eastAsia" w:ascii="黑体" w:hAnsi="黑体" w:eastAsia="黑体"/>
          <w:color w:val="auto"/>
          <w:sz w:val="32"/>
          <w:szCs w:val="32"/>
          <w:highlight w:val="none"/>
          <w:lang w:eastAsia="zh-CN"/>
        </w:rPr>
        <w:t>三亚中央商务区管理局</w:t>
      </w:r>
      <w:r>
        <w:rPr>
          <w:rFonts w:hint="eastAsia" w:ascii="黑体" w:hAnsi="黑体" w:eastAsia="黑体"/>
          <w:color w:val="auto"/>
          <w:sz w:val="32"/>
          <w:szCs w:val="32"/>
          <w:highlight w:val="none"/>
          <w:lang w:val="en-US" w:eastAsia="zh-CN"/>
        </w:rPr>
        <w:t>2023</w:t>
      </w:r>
      <w:r>
        <w:rPr>
          <w:rFonts w:hint="eastAsia" w:ascii="黑体" w:hAnsi="黑体" w:eastAsia="黑体"/>
          <w:color w:val="auto"/>
          <w:sz w:val="32"/>
          <w:szCs w:val="32"/>
          <w:highlight w:val="none"/>
          <w:lang w:eastAsia="zh-CN"/>
        </w:rPr>
        <w:t>年单位</w:t>
      </w:r>
      <w:r>
        <w:rPr>
          <w:rFonts w:hint="eastAsia" w:ascii="黑体" w:hAnsi="黑体" w:eastAsia="黑体"/>
          <w:color w:val="auto"/>
          <w:sz w:val="32"/>
          <w:szCs w:val="32"/>
          <w:highlight w:val="none"/>
        </w:rPr>
        <w:t>预算表</w:t>
      </w:r>
    </w:p>
    <w:p>
      <w:pPr>
        <w:ind w:left="800"/>
        <w:jc w:val="left"/>
        <w:rPr>
          <w:rFonts w:ascii="黑体" w:hAnsi="黑体" w:eastAsia="黑体"/>
          <w:color w:val="auto"/>
          <w:sz w:val="32"/>
          <w:szCs w:val="32"/>
          <w:highlight w:val="none"/>
        </w:rPr>
      </w:pPr>
    </w:p>
    <w:p>
      <w:pPr>
        <w:ind w:left="800"/>
        <w:jc w:val="center"/>
        <w:rPr>
          <w:rFonts w:ascii="仿宋_GB2312" w:hAnsi="黑体" w:eastAsia="仿宋_GB2312"/>
          <w:b/>
          <w:color w:val="auto"/>
          <w:sz w:val="32"/>
          <w:szCs w:val="32"/>
          <w:highlight w:val="none"/>
        </w:rPr>
      </w:pPr>
      <w:r>
        <w:rPr>
          <w:rFonts w:hint="eastAsia" w:ascii="仿宋_GB2312" w:hAnsi="黑体" w:eastAsia="仿宋_GB2312"/>
          <w:b/>
          <w:color w:val="auto"/>
          <w:sz w:val="32"/>
          <w:szCs w:val="32"/>
          <w:highlight w:val="none"/>
        </w:rPr>
        <w:t>（此部分内容即为</w:t>
      </w:r>
      <w:r>
        <w:rPr>
          <w:rFonts w:hint="eastAsia" w:ascii="仿宋_GB2312" w:hAnsi="黑体" w:eastAsia="仿宋_GB2312"/>
          <w:b/>
          <w:color w:val="auto"/>
          <w:sz w:val="32"/>
          <w:szCs w:val="32"/>
          <w:highlight w:val="none"/>
          <w:lang w:eastAsia="zh-CN"/>
        </w:rPr>
        <w:t>单位</w:t>
      </w:r>
      <w:r>
        <w:rPr>
          <w:rFonts w:hint="eastAsia" w:ascii="仿宋_GB2312" w:hAnsi="黑体" w:eastAsia="仿宋_GB2312"/>
          <w:b/>
          <w:color w:val="auto"/>
          <w:sz w:val="32"/>
          <w:szCs w:val="32"/>
          <w:highlight w:val="none"/>
        </w:rPr>
        <w:t>预算公开表）</w:t>
      </w:r>
    </w:p>
    <w:p>
      <w:pPr>
        <w:rPr>
          <w:rFonts w:ascii="黑体" w:hAnsi="黑体" w:eastAsia="黑体"/>
          <w:color w:val="auto"/>
          <w:sz w:val="32"/>
          <w:szCs w:val="32"/>
          <w:highlight w:val="none"/>
        </w:rPr>
      </w:pPr>
    </w:p>
    <w:p>
      <w:pPr>
        <w:ind w:firstLine="480" w:firstLineChars="150"/>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第三部分   </w:t>
      </w:r>
      <w:r>
        <w:rPr>
          <w:rFonts w:hint="eastAsia" w:ascii="黑体" w:hAnsi="黑体" w:eastAsia="黑体"/>
          <w:color w:val="auto"/>
          <w:sz w:val="32"/>
          <w:szCs w:val="32"/>
          <w:highlight w:val="none"/>
          <w:lang w:eastAsia="zh-CN"/>
        </w:rPr>
        <w:t>三亚中央商务区管理局</w:t>
      </w:r>
      <w:r>
        <w:rPr>
          <w:rFonts w:hint="eastAsia" w:ascii="黑体" w:hAnsi="黑体" w:eastAsia="黑体"/>
          <w:color w:val="auto"/>
          <w:sz w:val="32"/>
          <w:szCs w:val="32"/>
          <w:highlight w:val="none"/>
          <w:lang w:val="en-US" w:eastAsia="zh-CN"/>
        </w:rPr>
        <w:t>2023年</w:t>
      </w:r>
      <w:r>
        <w:rPr>
          <w:rFonts w:hint="eastAsia" w:ascii="黑体" w:hAnsi="黑体" w:eastAsia="黑体"/>
          <w:color w:val="auto"/>
          <w:sz w:val="32"/>
          <w:szCs w:val="32"/>
          <w:highlight w:val="none"/>
          <w:lang w:eastAsia="zh-CN"/>
        </w:rPr>
        <w:t>单位</w:t>
      </w:r>
      <w:r>
        <w:rPr>
          <w:rFonts w:hint="eastAsia" w:ascii="黑体" w:hAnsi="黑体" w:eastAsia="黑体"/>
          <w:color w:val="auto"/>
          <w:sz w:val="32"/>
          <w:szCs w:val="32"/>
          <w:highlight w:val="none"/>
        </w:rPr>
        <w:t>预算情况说明</w:t>
      </w:r>
    </w:p>
    <w:p>
      <w:pPr>
        <w:jc w:val="center"/>
        <w:rPr>
          <w:rFonts w:ascii="黑体" w:hAnsi="黑体" w:eastAsia="黑体"/>
          <w:color w:val="auto"/>
          <w:sz w:val="32"/>
          <w:szCs w:val="32"/>
          <w:highlight w:val="none"/>
        </w:rPr>
      </w:pPr>
    </w:p>
    <w:p>
      <w:pPr>
        <w:ind w:firstLine="640" w:firstLineChars="200"/>
        <w:jc w:val="left"/>
        <w:rPr>
          <w:rFonts w:ascii="黑体" w:hAnsi="黑体" w:eastAsia="黑体"/>
          <w:color w:val="auto"/>
          <w:sz w:val="32"/>
          <w:szCs w:val="32"/>
          <w:highlight w:val="none"/>
        </w:rPr>
      </w:pPr>
      <w:r>
        <w:rPr>
          <w:rFonts w:hint="eastAsia" w:ascii="黑体" w:hAnsi="黑体" w:eastAsia="黑体"/>
          <w:color w:val="auto"/>
          <w:sz w:val="32"/>
          <w:szCs w:val="32"/>
          <w:highlight w:val="none"/>
        </w:rPr>
        <w:t>一、关于</w:t>
      </w:r>
      <w:r>
        <w:rPr>
          <w:rFonts w:hint="eastAsia" w:ascii="黑体" w:hAnsi="黑体" w:eastAsia="黑体"/>
          <w:color w:val="auto"/>
          <w:sz w:val="32"/>
          <w:szCs w:val="32"/>
          <w:highlight w:val="none"/>
          <w:lang w:eastAsia="zh-CN"/>
        </w:rPr>
        <w:t>三亚中央商务区管理局单位</w:t>
      </w:r>
      <w:r>
        <w:rPr>
          <w:rFonts w:hint="eastAsia" w:ascii="黑体" w:hAnsi="黑体" w:eastAsia="黑体"/>
          <w:color w:val="auto"/>
          <w:sz w:val="32"/>
          <w:szCs w:val="32"/>
          <w:highlight w:val="none"/>
          <w:lang w:val="en-US" w:eastAsia="zh-CN"/>
        </w:rPr>
        <w:t>2023</w:t>
      </w:r>
      <w:r>
        <w:rPr>
          <w:rFonts w:hint="eastAsia" w:ascii="黑体" w:hAnsi="黑体" w:eastAsia="黑体"/>
          <w:color w:val="auto"/>
          <w:sz w:val="32"/>
          <w:szCs w:val="32"/>
          <w:highlight w:val="none"/>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三亚中央商务区管理局单位</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年财政拨款收支总预算</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万元。其中，收入总计</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万元，包括一般公共预算本年收入</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万元，政府性基金预算本年收入</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万元；支出总计</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万元，包括</w:t>
      </w:r>
      <w:r>
        <w:rPr>
          <w:rFonts w:hint="eastAsia" w:ascii="仿宋_GB2312" w:hAnsi="黑体" w:eastAsia="仿宋_GB2312"/>
          <w:color w:val="auto"/>
          <w:sz w:val="32"/>
          <w:szCs w:val="32"/>
          <w:highlight w:val="none"/>
          <w:lang w:eastAsia="zh-CN"/>
        </w:rPr>
        <w:t>其他</w:t>
      </w:r>
      <w:r>
        <w:rPr>
          <w:rFonts w:hint="eastAsia" w:ascii="仿宋_GB2312" w:hAnsi="黑体" w:eastAsia="仿宋_GB2312"/>
          <w:color w:val="auto"/>
          <w:sz w:val="32"/>
          <w:szCs w:val="32"/>
          <w:highlight w:val="none"/>
        </w:rPr>
        <w:t>支出</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万元，结转下年</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pPr>
        <w:ind w:firstLine="640"/>
        <w:jc w:val="left"/>
        <w:rPr>
          <w:rFonts w:ascii="黑体" w:hAnsi="黑体" w:eastAsia="黑体"/>
          <w:color w:val="auto"/>
          <w:sz w:val="32"/>
          <w:szCs w:val="32"/>
          <w:highlight w:val="none"/>
        </w:rPr>
      </w:pPr>
      <w:r>
        <w:rPr>
          <w:rFonts w:hint="eastAsia" w:ascii="黑体" w:hAnsi="黑体" w:eastAsia="黑体"/>
          <w:color w:val="auto"/>
          <w:sz w:val="32"/>
          <w:szCs w:val="32"/>
          <w:highlight w:val="none"/>
        </w:rPr>
        <w:t>二、关于</w:t>
      </w:r>
      <w:r>
        <w:rPr>
          <w:rFonts w:hint="eastAsia" w:ascii="黑体" w:hAnsi="黑体" w:eastAsia="黑体"/>
          <w:color w:val="auto"/>
          <w:sz w:val="32"/>
          <w:szCs w:val="32"/>
          <w:highlight w:val="none"/>
          <w:lang w:eastAsia="zh-CN"/>
        </w:rPr>
        <w:t>三亚中央商务区管理局单位</w:t>
      </w:r>
      <w:r>
        <w:rPr>
          <w:rFonts w:hint="eastAsia" w:ascii="黑体" w:hAnsi="黑体" w:eastAsia="黑体"/>
          <w:color w:val="auto"/>
          <w:sz w:val="32"/>
          <w:szCs w:val="32"/>
          <w:highlight w:val="none"/>
          <w:lang w:val="en-US" w:eastAsia="zh-CN"/>
        </w:rPr>
        <w:t>2023</w:t>
      </w:r>
      <w:r>
        <w:rPr>
          <w:rFonts w:hint="eastAsia" w:ascii="黑体" w:hAnsi="黑体" w:eastAsia="黑体"/>
          <w:color w:val="auto"/>
          <w:sz w:val="32"/>
          <w:szCs w:val="32"/>
          <w:highlight w:val="none"/>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eastAsia="zh-CN"/>
        </w:rPr>
        <w:t>三亚中央商务区管理局单位</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lang w:eastAsia="zh-CN"/>
        </w:rPr>
        <w:t>年一般公共预算当年拨款39,153.68万元，比上年预算增加</w:t>
      </w:r>
      <w:r>
        <w:rPr>
          <w:rFonts w:hint="eastAsia" w:ascii="仿宋_GB2312" w:hAnsi="黑体" w:eastAsia="仿宋_GB2312"/>
          <w:color w:val="auto"/>
          <w:sz w:val="32"/>
          <w:szCs w:val="32"/>
          <w:highlight w:val="none"/>
          <w:lang w:val="en-US" w:eastAsia="zh-CN"/>
        </w:rPr>
        <w:t>54.68</w:t>
      </w:r>
      <w:r>
        <w:rPr>
          <w:rFonts w:hint="eastAsia" w:ascii="仿宋_GB2312" w:hAnsi="黑体" w:eastAsia="仿宋_GB2312"/>
          <w:color w:val="auto"/>
          <w:sz w:val="32"/>
          <w:szCs w:val="32"/>
          <w:highlight w:val="none"/>
          <w:lang w:eastAsia="zh-CN"/>
        </w:rPr>
        <w:t>万元，主要包括：</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1.2022年1-11月园区税收分成2.5亿元，2021年12月园区税收及全年个税分成1.33亿元，并扣减债券还息园区承担部分900万元、园区受益企业奖补由园区承担部分800万元后取整金额为36600万元；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2.增加“三亚国际艺术港建筑设计方案国际征集”竞赛经费1410万元；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3.拨付上年度剩余的奖补资金约1132万元；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4.选派来琼挂职干部保障收入为11.68万元。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上述合计39153.68万元。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（二）一般公共预算当年拨款结构情况</w:t>
      </w: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其他（类）支出39153.68万元，占100%。</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（三）一般公共预算当年拨款具体使用情况</w:t>
      </w: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其他（类）其他（款）其他（项）支出2023年预算数39153.68万元，比上年预算数增加54.68万元,主要是增加园区企业奖补支出，加大招商引资力度。</w:t>
      </w:r>
    </w:p>
    <w:p>
      <w:pPr>
        <w:ind w:firstLine="640"/>
        <w:rPr>
          <w:rFonts w:ascii="黑体" w:hAnsi="黑体" w:eastAsia="黑体"/>
          <w:color w:val="auto"/>
          <w:sz w:val="32"/>
          <w:szCs w:val="32"/>
          <w:highlight w:val="none"/>
        </w:rPr>
      </w:pPr>
      <w:r>
        <w:rPr>
          <w:rFonts w:hint="eastAsia" w:ascii="黑体" w:hAnsi="黑体" w:eastAsia="黑体"/>
          <w:color w:val="auto"/>
          <w:sz w:val="32"/>
          <w:szCs w:val="32"/>
          <w:highlight w:val="none"/>
        </w:rPr>
        <w:t>三、关于</w:t>
      </w:r>
      <w:r>
        <w:rPr>
          <w:rFonts w:hint="eastAsia" w:ascii="黑体" w:hAnsi="黑体" w:eastAsia="黑体"/>
          <w:color w:val="auto"/>
          <w:sz w:val="32"/>
          <w:szCs w:val="32"/>
          <w:highlight w:val="none"/>
          <w:lang w:eastAsia="zh-CN"/>
        </w:rPr>
        <w:t>三亚中央商务区管理局单位</w:t>
      </w:r>
      <w:r>
        <w:rPr>
          <w:rFonts w:hint="eastAsia" w:ascii="黑体" w:hAnsi="黑体" w:eastAsia="黑体"/>
          <w:color w:val="auto"/>
          <w:sz w:val="32"/>
          <w:szCs w:val="32"/>
          <w:highlight w:val="none"/>
          <w:lang w:val="en-US" w:eastAsia="zh-CN"/>
        </w:rPr>
        <w:t>2023</w:t>
      </w:r>
      <w:r>
        <w:rPr>
          <w:rFonts w:hint="eastAsia" w:ascii="黑体" w:hAnsi="黑体" w:eastAsia="黑体"/>
          <w:color w:val="auto"/>
          <w:sz w:val="32"/>
          <w:szCs w:val="32"/>
          <w:highlight w:val="none"/>
        </w:rPr>
        <w:t>年一般公共预算基本支出情况说明</w:t>
      </w: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三亚中央商务区管理局2023年一般公共预算基本支出为0万元。</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四、</w:t>
      </w:r>
      <w:r>
        <w:rPr>
          <w:rFonts w:hint="eastAsia" w:ascii="黑体" w:hAnsi="黑体" w:eastAsia="黑体" w:cs="Times New Roman"/>
          <w:color w:val="auto"/>
          <w:sz w:val="32"/>
          <w:highlight w:val="none"/>
          <w:shd w:val="clear" w:color="auto" w:fill="FFFFFF"/>
          <w:lang w:eastAsia="zh-CN"/>
        </w:rPr>
        <w:t>三亚中央商务区管理局单位</w:t>
      </w:r>
      <w:r>
        <w:rPr>
          <w:rFonts w:hint="eastAsia" w:ascii="黑体" w:hAnsi="黑体" w:eastAsia="黑体" w:cs="Times New Roman"/>
          <w:color w:val="auto"/>
          <w:sz w:val="32"/>
          <w:highlight w:val="none"/>
          <w:shd w:val="clear" w:color="auto" w:fill="FFFFFF"/>
          <w:lang w:val="en-US" w:eastAsia="zh-CN"/>
        </w:rPr>
        <w:t>2023</w:t>
      </w:r>
      <w:r>
        <w:rPr>
          <w:rFonts w:ascii="黑体" w:hAnsi="黑体" w:eastAsia="黑体" w:cs="Times New Roman"/>
          <w:color w:val="auto"/>
          <w:sz w:val="32"/>
          <w:highlight w:val="none"/>
          <w:shd w:val="clear" w:color="auto" w:fill="FFFFFF"/>
        </w:rPr>
        <w:t>年“三公”经费预算情况</w:t>
      </w:r>
      <w:r>
        <w:rPr>
          <w:rFonts w:hint="eastAsia" w:ascii="黑体" w:hAnsi="黑体" w:eastAsia="黑体" w:cs="Times New Roman"/>
          <w:color w:val="auto"/>
          <w:sz w:val="32"/>
          <w:highlight w:val="none"/>
          <w:shd w:val="clear" w:color="auto" w:fill="FFFFFF"/>
        </w:rPr>
        <w:t>说明</w:t>
      </w:r>
    </w:p>
    <w:p>
      <w:pPr>
        <w:ind w:firstLine="640"/>
        <w:jc w:val="left"/>
        <w:rPr>
          <w:rFonts w:hint="eastAsia" w:ascii="楷体" w:hAnsi="楷体" w:eastAsia="楷体" w:cs="黑体"/>
          <w:color w:val="auto"/>
          <w:sz w:val="32"/>
          <w:szCs w:val="32"/>
          <w:highlight w:val="none"/>
          <w:shd w:val="clear" w:color="auto" w:fill="auto"/>
          <w:lang w:val="en-US" w:eastAsia="zh-CN"/>
        </w:rPr>
      </w:pPr>
      <w:r>
        <w:rPr>
          <w:rFonts w:hint="eastAsia" w:ascii="仿宋_GB2312" w:hAnsi="黑体" w:eastAsia="仿宋_GB2312"/>
          <w:color w:val="auto"/>
          <w:sz w:val="32"/>
          <w:szCs w:val="32"/>
          <w:highlight w:val="none"/>
        </w:rPr>
        <w:t>（一）</w:t>
      </w:r>
      <w:r>
        <w:rPr>
          <w:rFonts w:hint="eastAsia" w:ascii="仿宋_GB2312" w:hAnsi="黑体" w:eastAsia="仿宋_GB2312"/>
          <w:color w:val="auto"/>
          <w:sz w:val="32"/>
          <w:szCs w:val="32"/>
          <w:highlight w:val="none"/>
          <w:lang w:eastAsia="zh-CN"/>
        </w:rPr>
        <w:t>三亚中央商务区管理局单位</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年一般公共预算“三公”经费预算数为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2022</w:t>
      </w:r>
      <w:r>
        <w:rPr>
          <w:rFonts w:hint="eastAsia" w:ascii="仿宋_GB2312" w:hAnsi="黑体" w:eastAsia="仿宋_GB2312"/>
          <w:color w:val="auto"/>
          <w:sz w:val="32"/>
          <w:szCs w:val="32"/>
          <w:highlight w:val="none"/>
        </w:rPr>
        <w:t>年一般公共预算“三公”经费预算数</w:t>
      </w:r>
      <w:r>
        <w:rPr>
          <w:rFonts w:hint="eastAsia" w:ascii="仿宋_GB2312" w:hAnsi="黑体" w:eastAsia="仿宋_GB2312"/>
          <w:color w:val="auto"/>
          <w:sz w:val="32"/>
          <w:szCs w:val="32"/>
          <w:highlight w:val="none"/>
          <w:lang w:eastAsia="zh-CN"/>
        </w:rPr>
        <w:t>也</w:t>
      </w:r>
      <w:r>
        <w:rPr>
          <w:rFonts w:hint="eastAsia" w:ascii="仿宋_GB2312" w:hAnsi="黑体" w:eastAsia="仿宋_GB2312"/>
          <w:color w:val="auto"/>
          <w:sz w:val="32"/>
          <w:szCs w:val="32"/>
          <w:highlight w:val="none"/>
        </w:rPr>
        <w:t>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w:t>
      </w:r>
      <w:r>
        <w:rPr>
          <w:rFonts w:hint="eastAsia" w:ascii="仿宋_GB2312" w:hAnsi="黑体" w:eastAsia="仿宋_GB2312"/>
          <w:strike w:val="0"/>
          <w:dstrike w:val="0"/>
          <w:color w:val="auto"/>
          <w:sz w:val="32"/>
          <w:szCs w:val="32"/>
          <w:highlight w:val="none"/>
        </w:rPr>
        <w:t>其中：</w:t>
      </w:r>
    </w:p>
    <w:p>
      <w:pPr>
        <w:ind w:firstLine="640"/>
        <w:jc w:val="left"/>
        <w:rPr>
          <w:rFonts w:ascii="仿宋_GB2312" w:hAnsi="黑体" w:eastAsia="仿宋_GB2312" w:cs="Times New Roman"/>
          <w:strike/>
          <w:dstrike w:val="0"/>
          <w:color w:val="auto"/>
          <w:sz w:val="32"/>
          <w:szCs w:val="32"/>
          <w:highlight w:val="none"/>
        </w:rPr>
      </w:pPr>
      <w:r>
        <w:rPr>
          <w:rFonts w:hint="eastAsia" w:ascii="仿宋_GB2312" w:hAnsi="仿宋_GB2312" w:eastAsia="仿宋_GB2312" w:cs="仿宋_GB2312"/>
          <w:color w:val="auto"/>
          <w:sz w:val="32"/>
          <w:szCs w:val="32"/>
          <w:highlight w:val="none"/>
          <w:shd w:val="clear" w:color="auto" w:fill="auto"/>
          <w:lang w:val="en-US" w:eastAsia="zh-CN"/>
        </w:rPr>
        <w:t>因公出国（境）经费0万元，2023年无出国计划，拟安排出国（境）团（组）0次，出国（境）0人。与上年预算持平；公务用车购置及运行费0万元（其中，公务用车购置费0万元，公务用车运行费0万元），与上年预算持平。公务车保有量</w:t>
      </w:r>
      <w:r>
        <w:rPr>
          <w:rFonts w:hint="eastAsia" w:ascii="仿宋_GB2312" w:hAnsi="仿宋_GB2312" w:eastAsia="仿宋_GB2312" w:cs="仿宋_GB2312"/>
          <w:color w:val="auto"/>
          <w:sz w:val="32"/>
          <w:szCs w:val="32"/>
          <w:highlight w:val="none"/>
          <w:shd w:val="clear" w:color="auto" w:fill="auto"/>
          <w:lang w:val="en-US" w:eastAsia="zh-CN"/>
        </w:rPr>
        <w:t>0</w:t>
      </w:r>
      <w:r>
        <w:rPr>
          <w:rFonts w:hint="eastAsia" w:ascii="仿宋_GB2312" w:hAnsi="仿宋_GB2312" w:eastAsia="仿宋_GB2312" w:cs="仿宋_GB2312"/>
          <w:color w:val="auto"/>
          <w:sz w:val="32"/>
          <w:szCs w:val="32"/>
          <w:highlight w:val="none"/>
          <w:shd w:val="clear" w:color="auto" w:fill="auto"/>
          <w:lang w:val="en-US" w:eastAsia="zh-CN"/>
        </w:rPr>
        <w:t>辆，计划购置0辆；公务接待费0万元，与上年预算持平。计划接待0批0人。</w:t>
      </w:r>
    </w:p>
    <w:p>
      <w:pPr>
        <w:numPr>
          <w:ilvl w:val="0"/>
          <w:numId w:val="6"/>
        </w:num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三亚中央商务区管理局单位</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年政府性基金预算“三公”经费预算数为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2022</w:t>
      </w:r>
      <w:r>
        <w:rPr>
          <w:rFonts w:hint="eastAsia" w:ascii="仿宋_GB2312" w:hAnsi="黑体" w:eastAsia="仿宋_GB2312"/>
          <w:color w:val="auto"/>
          <w:sz w:val="32"/>
          <w:szCs w:val="32"/>
          <w:highlight w:val="none"/>
        </w:rPr>
        <w:t>年政府性基金预算“三公”经费预算数为</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，其中：</w:t>
      </w:r>
    </w:p>
    <w:p>
      <w:pPr>
        <w:ind w:firstLine="640"/>
        <w:jc w:val="left"/>
        <w:rPr>
          <w:rFonts w:hint="eastAsia" w:ascii="仿宋_GB2312" w:hAnsi="黑体" w:eastAsia="仿宋_GB2312"/>
          <w:color w:val="auto"/>
          <w:sz w:val="32"/>
          <w:szCs w:val="32"/>
          <w:highlight w:val="none"/>
        </w:rPr>
      </w:pPr>
      <w:r>
        <w:rPr>
          <w:rFonts w:hint="eastAsia" w:ascii="仿宋_GB2312" w:hAnsi="仿宋_GB2312" w:eastAsia="仿宋_GB2312" w:cs="仿宋_GB2312"/>
          <w:color w:val="auto"/>
          <w:sz w:val="32"/>
          <w:szCs w:val="32"/>
          <w:highlight w:val="none"/>
          <w:shd w:val="clear" w:color="auto" w:fill="auto"/>
          <w:lang w:val="en-US" w:eastAsia="zh-CN"/>
        </w:rPr>
        <w:t>因公出国（境）经费0万元，2023年无出国计划，拟安排出国（境）团（组）0次，出国（境）0人。与上年预算持平；公务用车购置及运行费0万元（其中，公务用车购置费0万元，公务用车运行费0万元），与上年预算持平。公务车保有量</w:t>
      </w:r>
      <w:r>
        <w:rPr>
          <w:rFonts w:hint="eastAsia" w:ascii="仿宋_GB2312" w:hAnsi="仿宋_GB2312" w:eastAsia="仿宋_GB2312" w:cs="仿宋_GB2312"/>
          <w:color w:val="auto"/>
          <w:sz w:val="32"/>
          <w:szCs w:val="32"/>
          <w:highlight w:val="none"/>
          <w:shd w:val="clear" w:color="auto" w:fill="auto"/>
          <w:lang w:val="en-US" w:eastAsia="zh-CN"/>
        </w:rPr>
        <w:t>0</w:t>
      </w:r>
      <w:r>
        <w:rPr>
          <w:rFonts w:hint="eastAsia" w:ascii="仿宋_GB2312" w:hAnsi="仿宋_GB2312" w:eastAsia="仿宋_GB2312" w:cs="仿宋_GB2312"/>
          <w:color w:val="auto"/>
          <w:sz w:val="32"/>
          <w:szCs w:val="32"/>
          <w:highlight w:val="none"/>
          <w:shd w:val="clear" w:color="auto" w:fill="auto"/>
          <w:lang w:val="en-US" w:eastAsia="zh-CN"/>
        </w:rPr>
        <w:t>辆，计划购置0辆；公务接待费0万元，与上年预算持平。计划接待0批0人。</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五、关于</w:t>
      </w:r>
      <w:r>
        <w:rPr>
          <w:rFonts w:hint="eastAsia" w:ascii="黑体" w:hAnsi="黑体" w:eastAsia="黑体" w:cs="Times New Roman"/>
          <w:color w:val="auto"/>
          <w:sz w:val="32"/>
          <w:highlight w:val="none"/>
          <w:shd w:val="clear" w:color="auto" w:fill="FFFFFF"/>
          <w:lang w:eastAsia="zh-CN"/>
        </w:rPr>
        <w:t>三亚中央商务区管理局单位</w:t>
      </w:r>
      <w:r>
        <w:rPr>
          <w:rFonts w:hint="eastAsia" w:ascii="黑体" w:hAnsi="黑体" w:eastAsia="黑体" w:cs="Times New Roman"/>
          <w:color w:val="auto"/>
          <w:sz w:val="32"/>
          <w:highlight w:val="none"/>
          <w:shd w:val="clear" w:color="auto" w:fill="FFFFFF"/>
          <w:lang w:val="en-US" w:eastAsia="zh-CN"/>
        </w:rPr>
        <w:t>2023</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（一）政府性基金预算当年规模变化情况</w:t>
      </w: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三亚中央商务区管理局单位2023年政府性基金预算当年拨款0万元。</w:t>
      </w:r>
      <w:r>
        <w:rPr>
          <w:rFonts w:hint="eastAsia" w:ascii="仿宋_GB2312" w:hAnsi="仿宋_GB2312" w:cs="仿宋_GB2312"/>
          <w:color w:val="auto"/>
          <w:sz w:val="32"/>
          <w:szCs w:val="32"/>
          <w:highlight w:val="none"/>
          <w:lang w:val="en-US" w:eastAsia="zh-CN"/>
        </w:rPr>
        <w:t>与上年预算数持平。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lang w:eastAsia="zh-CN"/>
        </w:rPr>
      </w:pPr>
      <w:r>
        <w:rPr>
          <w:rFonts w:hint="eastAsia" w:ascii="楷体" w:hAnsi="楷体" w:eastAsia="楷体"/>
          <w:color w:val="auto"/>
          <w:sz w:val="32"/>
          <w:szCs w:val="32"/>
          <w:highlight w:val="none"/>
          <w:lang w:eastAsia="zh-CN"/>
        </w:rPr>
        <w:t>(二)政府性基金预算当年拨款结构情况</w:t>
      </w: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仿宋_GB2312" w:hAnsi="仿宋_GB2312" w:cs="仿宋_GB2312"/>
          <w:strike w:val="0"/>
          <w:dstrike w:val="0"/>
          <w:color w:val="auto"/>
          <w:sz w:val="32"/>
          <w:szCs w:val="32"/>
          <w:highlight w:val="none"/>
          <w:lang w:val="en-US" w:eastAsia="zh-CN"/>
        </w:rPr>
      </w:pPr>
      <w:r>
        <w:rPr>
          <w:rFonts w:hint="eastAsia" w:ascii="仿宋_GB2312" w:hAnsi="仿宋_GB2312" w:cs="仿宋_GB2312"/>
          <w:strike w:val="0"/>
          <w:dstrike w:val="0"/>
          <w:color w:val="auto"/>
          <w:sz w:val="32"/>
          <w:szCs w:val="32"/>
          <w:highlight w:val="none"/>
          <w:lang w:val="en-US" w:eastAsia="zh-CN"/>
        </w:rPr>
        <w:t>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lang w:eastAsia="zh-CN"/>
        </w:rPr>
      </w:pPr>
      <w:r>
        <w:rPr>
          <w:rFonts w:hint="eastAsia" w:ascii="楷体" w:hAnsi="楷体" w:eastAsia="楷体"/>
          <w:color w:val="auto"/>
          <w:sz w:val="32"/>
          <w:szCs w:val="32"/>
          <w:highlight w:val="none"/>
          <w:lang w:eastAsia="zh-CN"/>
        </w:rPr>
        <w:t>(三)政府性基金预算当年拨款具体使用情况</w:t>
      </w:r>
    </w:p>
    <w:p>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eastAsia" w:ascii="仿宋_GB2312" w:hAnsi="仿宋_GB2312" w:cs="仿宋_GB2312"/>
          <w:strike/>
          <w:dstrike w:val="0"/>
          <w:color w:val="auto"/>
          <w:sz w:val="32"/>
          <w:szCs w:val="32"/>
          <w:highlight w:val="none"/>
          <w:lang w:val="en-US" w:eastAsia="zh-CN"/>
        </w:rPr>
      </w:pPr>
      <w:r>
        <w:rPr>
          <w:rFonts w:hint="eastAsia" w:ascii="仿宋_GB2312" w:hAnsi="仿宋_GB2312" w:cs="仿宋_GB2312"/>
          <w:strike w:val="0"/>
          <w:dstrike w:val="0"/>
          <w:color w:val="auto"/>
          <w:sz w:val="32"/>
          <w:szCs w:val="32"/>
          <w:highlight w:val="none"/>
          <w:lang w:val="en-US" w:eastAsia="zh-CN"/>
        </w:rPr>
        <w:t>无。</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六、关于</w:t>
      </w:r>
      <w:r>
        <w:rPr>
          <w:rFonts w:hint="eastAsia" w:ascii="黑体" w:hAnsi="黑体" w:eastAsia="黑体" w:cs="Times New Roman"/>
          <w:color w:val="auto"/>
          <w:sz w:val="32"/>
          <w:highlight w:val="none"/>
          <w:shd w:val="clear" w:color="auto" w:fill="FFFFFF"/>
          <w:lang w:eastAsia="zh-CN"/>
        </w:rPr>
        <w:t>三亚中央商务区管理局单位</w:t>
      </w:r>
      <w:r>
        <w:rPr>
          <w:rFonts w:hint="eastAsia" w:ascii="黑体" w:hAnsi="黑体" w:eastAsia="黑体" w:cs="Times New Roman"/>
          <w:color w:val="auto"/>
          <w:sz w:val="32"/>
          <w:highlight w:val="none"/>
          <w:shd w:val="clear" w:color="auto" w:fill="FFFFFF"/>
          <w:lang w:val="en-US" w:eastAsia="zh-CN"/>
        </w:rPr>
        <w:t>2023</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收支预算情况的总体说明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按照综合预算原则，</w:t>
      </w:r>
      <w:r>
        <w:rPr>
          <w:rFonts w:hint="eastAsia" w:ascii="仿宋_GB2312" w:hAnsi="黑体" w:eastAsia="仿宋_GB2312" w:cs="仿宋_GB2312"/>
          <w:color w:val="auto"/>
          <w:sz w:val="32"/>
          <w:szCs w:val="32"/>
          <w:highlight w:val="none"/>
          <w:lang w:eastAsia="zh-CN"/>
        </w:rPr>
        <w:t>三亚中央商务区管理局单位</w:t>
      </w:r>
      <w:r>
        <w:rPr>
          <w:rFonts w:hint="eastAsia" w:ascii="仿宋_GB2312" w:hAnsi="黑体" w:eastAsia="仿宋_GB2312" w:cs="仿宋_GB2312"/>
          <w:color w:val="auto"/>
          <w:sz w:val="32"/>
          <w:szCs w:val="32"/>
          <w:highlight w:val="none"/>
        </w:rPr>
        <w:t>所有收入和支出均纳入部门预算管理。收入包括：一般公共预算收入</w:t>
      </w:r>
      <w:r>
        <w:rPr>
          <w:rFonts w:hint="eastAsia" w:ascii="仿宋_GB2312" w:hAnsi="黑体" w:eastAsia="仿宋_GB2312"/>
          <w:color w:val="auto"/>
          <w:sz w:val="32"/>
          <w:szCs w:val="32"/>
          <w:highlight w:val="none"/>
        </w:rPr>
        <w:t>；支出包括：</w:t>
      </w:r>
      <w:r>
        <w:rPr>
          <w:rFonts w:hint="eastAsia" w:ascii="仿宋_GB2312" w:hAnsi="黑体" w:eastAsia="仿宋_GB2312"/>
          <w:color w:val="auto"/>
          <w:sz w:val="32"/>
          <w:szCs w:val="32"/>
          <w:highlight w:val="none"/>
          <w:lang w:eastAsia="zh-CN"/>
        </w:rPr>
        <w:t>其他</w:t>
      </w:r>
      <w:r>
        <w:rPr>
          <w:rFonts w:hint="eastAsia" w:ascii="仿宋_GB2312" w:hAnsi="黑体" w:eastAsia="仿宋_GB2312"/>
          <w:color w:val="auto"/>
          <w:sz w:val="32"/>
          <w:szCs w:val="32"/>
          <w:highlight w:val="none"/>
        </w:rPr>
        <w:t>支出。</w:t>
      </w:r>
      <w:r>
        <w:rPr>
          <w:rFonts w:hint="eastAsia" w:ascii="仿宋_GB2312" w:hAnsi="黑体" w:eastAsia="仿宋_GB2312" w:cs="仿宋_GB2312"/>
          <w:color w:val="auto"/>
          <w:sz w:val="32"/>
          <w:szCs w:val="32"/>
          <w:highlight w:val="none"/>
          <w:lang w:eastAsia="zh-CN"/>
        </w:rPr>
        <w:t>三亚中央商务区管理局单位</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年收支总预算</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七、关于</w:t>
      </w:r>
      <w:r>
        <w:rPr>
          <w:rFonts w:hint="eastAsia" w:ascii="黑体" w:hAnsi="黑体" w:eastAsia="黑体" w:cs="Times New Roman"/>
          <w:color w:val="auto"/>
          <w:sz w:val="32"/>
          <w:highlight w:val="none"/>
          <w:shd w:val="clear" w:color="auto" w:fill="FFFFFF"/>
          <w:lang w:eastAsia="zh-CN"/>
        </w:rPr>
        <w:t>三亚中央商务区管理局单位</w:t>
      </w:r>
      <w:r>
        <w:rPr>
          <w:rFonts w:hint="eastAsia" w:ascii="黑体" w:hAnsi="黑体" w:eastAsia="黑体" w:cs="Times New Roman"/>
          <w:color w:val="auto"/>
          <w:sz w:val="32"/>
          <w:highlight w:val="none"/>
          <w:shd w:val="clear" w:color="auto" w:fill="FFFFFF"/>
          <w:lang w:val="en-US" w:eastAsia="zh-CN"/>
        </w:rPr>
        <w:t>2023</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收入预算情况说明</w:t>
      </w:r>
    </w:p>
    <w:p>
      <w:pPr>
        <w:keepNext w:val="0"/>
        <w:keepLines w:val="0"/>
        <w:pageBreakBefore w:val="0"/>
        <w:kinsoku/>
        <w:wordWrap/>
        <w:overflowPunct/>
        <w:topLinePunct w:val="0"/>
        <w:bidi w:val="0"/>
        <w:snapToGrid/>
        <w:spacing w:line="578" w:lineRule="exact"/>
        <w:ind w:firstLine="640" w:firstLineChars="200"/>
        <w:textAlignment w:val="auto"/>
        <w:rPr>
          <w:rFonts w:hint="eastAsia" w:ascii="仿宋_GB2312" w:hAnsi="黑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lang w:eastAsia="zh-CN"/>
        </w:rPr>
        <w:t>三亚中央商务区管理局单位</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年收入预算</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万元，其中：经费拨款收入</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100</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政府性基金收入</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%；专项收入</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0</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54.68</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基本持平</w:t>
      </w:r>
      <w:r>
        <w:rPr>
          <w:rFonts w:hint="eastAsia" w:ascii="仿宋_GB2312" w:hAnsi="黑体" w:eastAsia="仿宋_GB2312"/>
          <w:color w:val="auto"/>
          <w:sz w:val="32"/>
          <w:szCs w:val="32"/>
          <w:highlight w:val="none"/>
          <w:lang w:eastAsia="zh-CN"/>
        </w:rPr>
        <w:t>。</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八、关于</w:t>
      </w:r>
      <w:r>
        <w:rPr>
          <w:rFonts w:hint="eastAsia" w:ascii="黑体" w:hAnsi="黑体" w:eastAsia="黑体" w:cs="Times New Roman"/>
          <w:color w:val="auto"/>
          <w:sz w:val="32"/>
          <w:highlight w:val="none"/>
          <w:shd w:val="clear" w:color="auto" w:fill="FFFFFF"/>
          <w:lang w:eastAsia="zh-CN"/>
        </w:rPr>
        <w:t>三亚中央商务区管理局单位</w:t>
      </w:r>
      <w:r>
        <w:rPr>
          <w:rFonts w:hint="eastAsia" w:ascii="黑体" w:hAnsi="黑体" w:eastAsia="黑体" w:cs="Times New Roman"/>
          <w:color w:val="auto"/>
          <w:sz w:val="32"/>
          <w:highlight w:val="none"/>
          <w:shd w:val="clear" w:color="auto" w:fill="FFFFFF"/>
          <w:lang w:val="en-US" w:eastAsia="zh-CN"/>
        </w:rPr>
        <w:t>2023</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支出预算情况说明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eastAsia="zh-CN"/>
        </w:rPr>
        <w:t>三亚中央商务区管理</w:t>
      </w:r>
      <w:bookmarkStart w:id="0" w:name="_GoBack"/>
      <w:bookmarkEnd w:id="0"/>
      <w:r>
        <w:rPr>
          <w:rFonts w:hint="eastAsia" w:ascii="仿宋_GB2312" w:hAnsi="黑体" w:eastAsia="仿宋_GB2312" w:cs="仿宋_GB2312"/>
          <w:color w:val="auto"/>
          <w:sz w:val="32"/>
          <w:szCs w:val="32"/>
          <w:highlight w:val="none"/>
          <w:lang w:eastAsia="zh-CN"/>
        </w:rPr>
        <w:t>局单位</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年支出预算</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万元，其中：项目支出</w:t>
      </w:r>
      <w:r>
        <w:rPr>
          <w:rFonts w:hint="eastAsia" w:ascii="仿宋_GB2312" w:hAnsi="黑体" w:eastAsia="仿宋_GB2312" w:cs="仿宋_GB2312"/>
          <w:color w:val="auto"/>
          <w:sz w:val="32"/>
          <w:szCs w:val="32"/>
          <w:highlight w:val="none"/>
        </w:rPr>
        <w:t>39,153.68</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100</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54.68</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基本持平</w:t>
      </w:r>
      <w:r>
        <w:rPr>
          <w:rFonts w:hint="eastAsia" w:ascii="仿宋_GB2312" w:hAnsi="黑体" w:eastAsia="仿宋_GB2312"/>
          <w:color w:val="auto"/>
          <w:sz w:val="32"/>
          <w:szCs w:val="32"/>
          <w:highlight w:val="none"/>
          <w:lang w:eastAsia="zh-CN"/>
        </w:rPr>
        <w:t>。</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(一)机关运行经费</w:t>
      </w:r>
    </w:p>
    <w:p>
      <w:pPr>
        <w:ind w:firstLine="640" w:firstLineChars="20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2023年</w:t>
      </w:r>
      <w:r>
        <w:rPr>
          <w:rFonts w:hint="eastAsia" w:ascii="仿宋_GB2312" w:hAnsi="黑体" w:eastAsia="仿宋_GB2312" w:cs="仿宋_GB2312"/>
          <w:color w:val="auto"/>
          <w:sz w:val="32"/>
          <w:szCs w:val="32"/>
          <w:highlight w:val="none"/>
          <w:lang w:eastAsia="zh-CN"/>
        </w:rPr>
        <w:t>三亚中央商务区管理局</w:t>
      </w:r>
      <w:r>
        <w:rPr>
          <w:rFonts w:hint="eastAsia" w:ascii="仿宋_GB2312" w:hAnsi="黑体" w:eastAsia="仿宋_GB2312" w:cs="仿宋_GB2312"/>
          <w:color w:val="auto"/>
          <w:sz w:val="32"/>
          <w:szCs w:val="32"/>
          <w:highlight w:val="none"/>
        </w:rPr>
        <w:t>的机关运行经费预算0万元。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(二)政府采购情况</w:t>
      </w:r>
    </w:p>
    <w:p>
      <w:pPr>
        <w:ind w:firstLine="640" w:firstLineChars="200"/>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2023年三亚崖州湾科技城管理局政府采购预算总额0万元,其中:政府采购货物预算0万元,政府采购工程预算0万元,政府采购服务预算0万元。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w:t>
      </w:r>
      <w:r>
        <w:rPr>
          <w:rFonts w:hint="eastAsia" w:ascii="楷体" w:hAnsi="楷体" w:eastAsia="楷体"/>
          <w:color w:val="auto"/>
          <w:sz w:val="32"/>
          <w:szCs w:val="32"/>
          <w:highlight w:val="none"/>
          <w:lang w:eastAsia="zh-CN"/>
        </w:rPr>
        <w:t>三</w:t>
      </w:r>
      <w:r>
        <w:rPr>
          <w:rFonts w:hint="eastAsia" w:ascii="楷体" w:hAnsi="楷体" w:eastAsia="楷体"/>
          <w:color w:val="auto"/>
          <w:sz w:val="32"/>
          <w:szCs w:val="32"/>
          <w:highlight w:val="none"/>
        </w:rPr>
        <w:t>）国有资产占有使用情况</w:t>
      </w:r>
    </w:p>
    <w:p>
      <w:pPr>
        <w:ind w:firstLine="640" w:firstLineChars="200"/>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截至</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年12月31日，</w:t>
      </w:r>
      <w:r>
        <w:rPr>
          <w:rFonts w:hint="eastAsia" w:ascii="仿宋_GB2312" w:hAnsi="黑体" w:eastAsia="仿宋_GB2312" w:cs="仿宋_GB2312"/>
          <w:color w:val="auto"/>
          <w:sz w:val="32"/>
          <w:szCs w:val="32"/>
          <w:highlight w:val="none"/>
          <w:lang w:eastAsia="zh-CN"/>
        </w:rPr>
        <w:t>三亚中央商务区管理局单位</w:t>
      </w:r>
      <w:r>
        <w:rPr>
          <w:rFonts w:hint="eastAsia" w:ascii="仿宋_GB2312" w:hAnsi="黑体" w:eastAsia="仿宋_GB2312" w:cs="仿宋_GB2312"/>
          <w:color w:val="auto"/>
          <w:sz w:val="32"/>
          <w:szCs w:val="32"/>
          <w:highlight w:val="none"/>
        </w:rPr>
        <w:t>共有车辆</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辆，其中，领导干部用车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辆，机要通信应急用车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辆、一般执法执勤用车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辆、特种专业技术用车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辆、其他用车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辆。单位价值100万元以上设备</w:t>
      </w:r>
      <w:r>
        <w:rPr>
          <w:rFonts w:hint="eastAsia" w:ascii="仿宋_GB2312" w:hAnsi="黑体" w:eastAsia="仿宋_GB2312" w:cs="仿宋_GB2312"/>
          <w:color w:val="auto"/>
          <w:sz w:val="32"/>
          <w:szCs w:val="32"/>
          <w:highlight w:val="none"/>
          <w:lang w:val="en-US" w:eastAsia="zh-CN"/>
        </w:rPr>
        <w:t>1</w:t>
      </w:r>
      <w:r>
        <w:rPr>
          <w:rFonts w:hint="eastAsia" w:ascii="仿宋_GB2312" w:hAnsi="黑体" w:eastAsia="仿宋_GB2312" w:cs="仿宋_GB2312"/>
          <w:color w:val="auto"/>
          <w:sz w:val="32"/>
          <w:szCs w:val="32"/>
          <w:highlight w:val="none"/>
        </w:rPr>
        <w:t>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楷体" w:hAnsi="楷体" w:eastAsia="楷体"/>
          <w:color w:val="auto"/>
          <w:sz w:val="32"/>
          <w:szCs w:val="32"/>
          <w:highlight w:val="none"/>
        </w:rPr>
      </w:pPr>
      <w:r>
        <w:rPr>
          <w:rFonts w:hint="eastAsia" w:ascii="楷体" w:hAnsi="楷体" w:eastAsia="楷体"/>
          <w:color w:val="auto"/>
          <w:sz w:val="32"/>
          <w:szCs w:val="32"/>
          <w:highlight w:val="none"/>
        </w:rPr>
        <w:t>（</w:t>
      </w:r>
      <w:r>
        <w:rPr>
          <w:rFonts w:hint="eastAsia" w:ascii="楷体" w:hAnsi="楷体" w:eastAsia="楷体"/>
          <w:color w:val="auto"/>
          <w:sz w:val="32"/>
          <w:szCs w:val="32"/>
          <w:highlight w:val="none"/>
          <w:lang w:eastAsia="zh-CN"/>
        </w:rPr>
        <w:t>四</w:t>
      </w:r>
      <w:r>
        <w:rPr>
          <w:rFonts w:hint="eastAsia" w:ascii="楷体" w:hAnsi="楷体" w:eastAsia="楷体"/>
          <w:color w:val="auto"/>
          <w:sz w:val="32"/>
          <w:szCs w:val="32"/>
          <w:highlight w:val="none"/>
        </w:rPr>
        <w:t>）绩效目标设置情况</w:t>
      </w:r>
    </w:p>
    <w:p>
      <w:pPr>
        <w:ind w:firstLine="640" w:firstLineChars="200"/>
        <w:rPr>
          <w:rFonts w:hint="eastAsia" w:ascii="仿宋_GB2312" w:hAnsi="宋体" w:eastAsia="仿宋_GB2312" w:cs="宋体"/>
          <w:color w:val="auto"/>
          <w:kern w:val="0"/>
          <w:sz w:val="32"/>
          <w:szCs w:val="30"/>
          <w:highlight w:val="none"/>
          <w:lang w:eastAsia="zh-CN"/>
        </w:rPr>
      </w:pP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lang w:eastAsia="zh-CN"/>
        </w:rPr>
        <w:t>三亚中央商务区管理局单位</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s="仿宋_GB2312"/>
          <w:color w:val="auto"/>
          <w:sz w:val="32"/>
          <w:szCs w:val="32"/>
          <w:highlight w:val="none"/>
        </w:rPr>
        <w:t>个项目实行绩效目标管理，涉及一般公共预算39,153.68</w:t>
      </w:r>
      <w:r>
        <w:rPr>
          <w:rFonts w:hint="eastAsia" w:ascii="仿宋_GB2312" w:hAnsi="黑体" w:eastAsia="仿宋_GB2312"/>
          <w:color w:val="auto"/>
          <w:sz w:val="32"/>
          <w:szCs w:val="32"/>
          <w:highlight w:val="none"/>
        </w:rPr>
        <w:t>万元、政府性基金</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第四部分  名词解释</w:t>
      </w:r>
    </w:p>
    <w:p>
      <w:pPr>
        <w:ind w:firstLine="640" w:firstLineChars="200"/>
        <w:jc w:val="left"/>
        <w:rPr>
          <w:rFonts w:ascii="仿宋_GB2312" w:eastAsia="仿宋_GB2312" w:cs="宋体"/>
          <w:bCs/>
          <w:color w:val="auto"/>
          <w:kern w:val="0"/>
          <w:sz w:val="32"/>
          <w:szCs w:val="32"/>
          <w:highlight w:val="none"/>
          <w:lang w:val="zh-CN"/>
        </w:rPr>
      </w:pP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一、财政拨款收入：指本级财政当年拨付的资金。</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64685927">
    <w:nsid w:val="3F75D167"/>
    <w:multiLevelType w:val="singleLevel"/>
    <w:tmpl w:val="3F75D167"/>
    <w:lvl w:ilvl="0" w:tentative="1">
      <w:start w:val="2"/>
      <w:numFmt w:val="chineseCounting"/>
      <w:suff w:val="nothing"/>
      <w:lvlText w:val="（%1）"/>
      <w:lvlJc w:val="left"/>
      <w:rPr>
        <w:rFonts w:hint="eastAsia"/>
      </w:r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0646859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1YmYyNGE1M2E5MWZkNWJiZjkyNmJkMTllYjFmMTkifQ=="/>
  </w:docVars>
  <w:rsids>
    <w:rsidRoot w:val="243133CC"/>
    <w:rsid w:val="01BE5379"/>
    <w:rsid w:val="02543E3F"/>
    <w:rsid w:val="044E5AB8"/>
    <w:rsid w:val="07DE255E"/>
    <w:rsid w:val="097B1AD4"/>
    <w:rsid w:val="0C1F6454"/>
    <w:rsid w:val="135F0592"/>
    <w:rsid w:val="13B87FF9"/>
    <w:rsid w:val="198B6019"/>
    <w:rsid w:val="1B705643"/>
    <w:rsid w:val="21DA2813"/>
    <w:rsid w:val="243133CC"/>
    <w:rsid w:val="248D6037"/>
    <w:rsid w:val="27A2069D"/>
    <w:rsid w:val="2888224F"/>
    <w:rsid w:val="28FF537A"/>
    <w:rsid w:val="2A977A64"/>
    <w:rsid w:val="2BD9691B"/>
    <w:rsid w:val="2C6E0BFF"/>
    <w:rsid w:val="2EF02962"/>
    <w:rsid w:val="313D1E2A"/>
    <w:rsid w:val="31937285"/>
    <w:rsid w:val="32671AD9"/>
    <w:rsid w:val="33D96105"/>
    <w:rsid w:val="3420178B"/>
    <w:rsid w:val="35151A4D"/>
    <w:rsid w:val="407B2CD6"/>
    <w:rsid w:val="42FF495B"/>
    <w:rsid w:val="43DC605E"/>
    <w:rsid w:val="4466057B"/>
    <w:rsid w:val="46D14897"/>
    <w:rsid w:val="473C3EBF"/>
    <w:rsid w:val="49D21227"/>
    <w:rsid w:val="4AEB1653"/>
    <w:rsid w:val="4DBB2B37"/>
    <w:rsid w:val="541859EC"/>
    <w:rsid w:val="56F97A01"/>
    <w:rsid w:val="58B74EA2"/>
    <w:rsid w:val="5FA97E16"/>
    <w:rsid w:val="61F43283"/>
    <w:rsid w:val="65887DE4"/>
    <w:rsid w:val="67BA003E"/>
    <w:rsid w:val="6B547DA0"/>
    <w:rsid w:val="6E2D174F"/>
    <w:rsid w:val="6F49339D"/>
    <w:rsid w:val="79778E0A"/>
    <w:rsid w:val="7D5D187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rPr>
      <w:rFonts w:eastAsia="仿宋_GB2312"/>
      <w:sz w:val="28"/>
      <w:szCs w:val="22"/>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吉阳区</Company>
  <Pages>11</Pages>
  <Words>3365</Words>
  <Characters>3677</Characters>
  <Lines>0</Lines>
  <Paragraphs>0</Paragraphs>
  <TotalTime>0</TotalTime>
  <ScaleCrop>false</ScaleCrop>
  <LinksUpToDate>false</LinksUpToDate>
  <CharactersWithSpaces>3697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2023-01-31T09:53:00Z</dcterms:created>
  <dc:creator>未定义</dc:creator>
  <cp:lastModifiedBy>01</cp:lastModifiedBy>
  <dcterms:modified xsi:type="dcterms:W3CDTF">2024-07-19T10:06:06Z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B45E842BBF4FF69BA3799466EA90309A_42</vt:lpwstr>
  </property>
</Properties>
</file>