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三亚市市场监督管理局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三亚市市场监督管理部门概况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三亚市市场监督管理部门预算表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三亚市市场监督管理部门预算情况说明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三亚市市场监督管理部门概况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(一)贯彻落实党和国家、省有关市场监督管理工作的方针政策、法律法规,执行市委、市政府决策部署和中国(海南)自由贸易试验区、中国特色自由贸易港市场监督管理工作方面的政策措施。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研究拟订并组织实施全市市场监督管理工作政策规定、地方性法规、规章、发展战略,研究推进市场监督管理改革,研究提出中国(海南)自由贸易试验区、中国特色自由贸易港市场监督管理工作方面的意见和建议。</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(三)组织实施质量强市战略、食品安全战略和标准化战略。</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(四)负责市场综合监督管理.拟订并组织实施市场监督管理相关规划。规范和维护市场秩序,加快形成法治化, 国际化、便利化的营商环境和公平开放统一高效的市场环境。</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五)负责市场主体的登记注册。负责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(六)负责市场监督管理执法工作。整合和建设市场监督管理执法队伍,推动实行统一的市场监管。组织查处重大、跨区域和上级部门交办的违法案件.规范市场监管行政执法行为。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七)负责监督管理市场秩序。依法监督管理市场交易、网络商品交易及有关服务的行为。组织查处价格违法违规、不正当竞争、违法直销、传销、侵犯商标专利知识产权和制售假冒伪劣行为。指导广告业发展,监督管理广告活动。组织查处无照生产经营和相关无证生产经营行为。指导三亚市消费者组织开展消费维权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八)负责宏观质量管理。负责统筹质量基础设施协同服务及应用工作。组织统筹质量发展规划。组织实施重大工程设备质量监理制度。组织重大质量安全事故调查。组织落实缺陷产品召回制度。依法监督管理产品防伪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(九)负责产品质量安全监督管理。组织实施产品质量安全风险监控、监督抽检工作。建立并组织实施质量分级制度、质量安全追溯制度.负责工业产品生产许可管理工作。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(十)负责特种设备安全监督管理。综合管理特种设备安全监察、监督工作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监督检查高耗能特种设备节能标准和锅炉环境保护标准的执行情况。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一)负责食品安全监督管理综合协调。督促检查各区政府和市政府有关部门履行食品安全监督管理职责并负责考核评价.负责食品安全应急体系建设,组织协调重大食品安全事件应急处置和调查处理工作。建立健全食品安全重要信息直报制度。承担市食品安全委员会日常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二)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风险分级管理工作。依法实施食品生产食品销售、餐饮服务行政许可。负责对食品生产经营违法行为查处。组织实施辖区重大活动的食品安全保障工作。依法发布食品质量信息。负责食用农产品市场销售质量安全的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(十三)负责食盐监督管理工作.负责食盐经营质量安全监督管理工作。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(十四)负责计量管理工作,落实法定计量单位和国家计量制度.管理计量器具及量值传递和比对工作,监督指导计量技术机构工作.规范、监督商品量和市场计量行为。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五)负责统一管理标准化工作.研究构建经济社会发展标准体系,依法制定市级地方标准。组织开展标准化试点示范,推动标准实施.组织参与国内外标准化活动,全面实施企业标准自我声明公开和监督制度。负责组织、协调、监督管理公共信息标志标准化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六)负责认证认可和检验检测监督管理工作。组织实施认证认可、合格评定和检验检测监督管理制度。指导认证行业与检验检测行业发展。推进检验检测资源整合和改革工作,规范检验检测市场,完善检验检测体系。负责推动管理体系和自愿性产品认证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(十七)负责全市药品(含中药,民族药,下同)医疗器械和化妆品监督管理工作,监督实施国家药品、医疗器械和化妆品法律法规规章。</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(十八)负责全市药品、医疗器械许可备案工作。负责辖区药品零售企业及第三类医疗器械经菅企业许可证审批,负责第一类医疗器械产品备案,第一类医疗器械生产备案和第二类医疗器械经营备案工作。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九)负责全市药品、医疗器械和化妆品质量管理.监督实施药品经营(零售环节)使用和医疗器械生产、经营、使用质量管理规范。监督实施国家化妆品经营管理规范,负责制定并组织实施本市化妆品经营监督管理制度。</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(二十)负责全市药品,医疗器械和化妆品上市后风险管理.建立药品不良反应、医疗器械不良事件和化妆品不良反应监测体系,并开展监测,评价和处置工作. 负责药品,医疗器械和化妆品安全事件应急体泵建设,组织和指导药品,医疗器械和化妆品安全事件应急处置和调查处理工作。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(二十一)负责开展全市药品,医疗器械和化妆品监督检查。负责药品、医疗器械和化妆品检查和处罚。依法监督管理麻醉药品、精神药品、毒性药品,放射性药品,药品类易制毒化学品。</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(二十二)负责开展全市药品,医疗器械和化妆品对外交流合作,安全宣传、教育培训;推动全市药品,医疗器械和化妆品追溯体系,信用体系建设。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(二十三)负贡组织制定并监督实施全市药品,医疗器械和化妆品的抽检计划,发布药品、医疗器械和化妆品质量信息。建立问题产品召回和处理制度并监督实施。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四)拟定并组织实施全市知识产权工作规划和政策措施,起草有关法规规章草案,研究提出推进全市知识产权改革的意见和建议。负责全市商标,专利、原产地地理标志,集成电路布图设计等领域的知识产权保护。建设和优化全市知识产权保护体系。指导和监督全市知识产权保护工作。建立和完善全市知识产权创造,运用管理和服务体系。培育高价值知识产权,拟订知识产权产业化政策.探索知识产权质押融资和信用担保体制,推迟进知识产权运营体系建设,建设和优化知识产权公共服务体系。负责全市知识产权服务机构的监督和管理,拟订知识产权服务业扶持政策,引进知识产权服务机构,培育知识产权服务品牌,加强对知识产权服务机构监督.负责知识产权对外合作与交流。拟订全市知识产权涉外工作的政策,参与涉外知识产权谈判,统筹协调涉外知识产权事务。</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(二十五)负责市场监督管理科技和信息化建设、新闻宣传、对外交流与合作等工作。承担技术性贸易措施有关工作。</w:t>
      </w:r>
    </w:p>
    <w:p>
      <w:pPr>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(二十六)完成市委,市政府和上级部门交办的其他任务。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纳入三亚市市场监督管理部门202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海南省三亚质量技术监督技术所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w:t>
      </w:r>
      <w:r>
        <w:rPr>
          <w:rFonts w:hint="eastAsia" w:ascii="仿宋_GB2312" w:hAnsi="黑体" w:eastAsia="仿宋_GB2312" w:cs="仿宋_GB2312"/>
          <w:sz w:val="32"/>
          <w:szCs w:val="32"/>
          <w:lang w:eastAsia="zh-CN"/>
        </w:rPr>
        <w:t>市</w:t>
      </w:r>
      <w:r>
        <w:rPr>
          <w:rFonts w:hint="eastAsia" w:ascii="仿宋_GB2312" w:hAnsi="黑体" w:eastAsia="仿宋_GB2312" w:cs="仿宋_GB2312"/>
          <w:sz w:val="32"/>
          <w:szCs w:val="32"/>
        </w:rPr>
        <w:t>药品不良反应监测中心</w:t>
      </w:r>
    </w:p>
    <w:p>
      <w:pPr>
        <w:ind w:left="8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三亚市重大活动食品安全保障服务中心</w:t>
      </w:r>
    </w:p>
    <w:p>
      <w:pPr>
        <w:ind w:left="8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三亚市特种设备应急保障服务中心</w:t>
      </w:r>
    </w:p>
    <w:p>
      <w:pPr>
        <w:ind w:left="800"/>
        <w:jc w:val="center"/>
        <w:rPr>
          <w:rFonts w:ascii="黑体" w:hAnsi="黑体" w:eastAsia="黑体"/>
          <w:sz w:val="32"/>
          <w:szCs w:val="32"/>
        </w:rPr>
      </w:pPr>
      <w:r>
        <w:rPr>
          <w:rFonts w:hint="eastAsia" w:ascii="仿宋_GB2312" w:hAnsi="黑体" w:eastAsia="仿宋_GB2312" w:cs="仿宋_GB2312"/>
          <w:sz w:val="32"/>
          <w:szCs w:val="32"/>
          <w:lang w:val="en-US" w:eastAsia="zh-CN"/>
        </w:rPr>
        <w:t xml:space="preserve"> </w:t>
      </w: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三亚市市场监督管理部门202</w:t>
      </w:r>
      <w:r>
        <w:rPr>
          <w:rFonts w:hint="eastAsia" w:ascii="黑体" w:hAnsi="黑体" w:eastAsia="黑体"/>
          <w:sz w:val="32"/>
          <w:szCs w:val="32"/>
          <w:lang w:val="en-US" w:eastAsia="zh-CN"/>
        </w:rPr>
        <w:t>3</w:t>
      </w:r>
      <w:r>
        <w:rPr>
          <w:rFonts w:hint="eastAsia" w:ascii="黑体" w:hAnsi="黑体" w:eastAsia="黑体"/>
          <w:sz w:val="32"/>
          <w:szCs w:val="32"/>
        </w:rPr>
        <w:t>年</w:t>
      </w:r>
    </w:p>
    <w:p>
      <w:pPr>
        <w:ind w:firstLine="640" w:firstLineChars="200"/>
        <w:rPr>
          <w:rFonts w:hint="eastAsia" w:ascii="黑体" w:hAnsi="黑体" w:eastAsia="黑体"/>
          <w:sz w:val="32"/>
          <w:szCs w:val="32"/>
        </w:rPr>
      </w:pPr>
      <w:r>
        <w:rPr>
          <w:rFonts w:hint="eastAsia" w:ascii="黑体" w:hAnsi="黑体" w:eastAsia="黑体"/>
          <w:sz w:val="32"/>
          <w:szCs w:val="32"/>
        </w:rPr>
        <w:t>部门预算表</w:t>
      </w:r>
    </w:p>
    <w:p>
      <w:pPr>
        <w:ind w:firstLine="640" w:firstLineChars="200"/>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三亚市市场监督管理部门202</w:t>
      </w:r>
      <w:r>
        <w:rPr>
          <w:rFonts w:hint="eastAsia" w:ascii="黑体" w:hAnsi="黑体" w:eastAsia="黑体"/>
          <w:sz w:val="32"/>
          <w:szCs w:val="32"/>
          <w:lang w:val="en-US" w:eastAsia="zh-CN"/>
        </w:rPr>
        <w:t>3</w:t>
      </w:r>
      <w:r>
        <w:rPr>
          <w:rFonts w:hint="eastAsia" w:ascii="黑体" w:hAnsi="黑体" w:eastAsia="黑体"/>
          <w:sz w:val="32"/>
          <w:szCs w:val="32"/>
        </w:rPr>
        <w:t>年部门预算情况说明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numPr>
          <w:ilvl w:val="0"/>
          <w:numId w:val="7"/>
        </w:numPr>
        <w:ind w:firstLine="640" w:firstLineChars="200"/>
        <w:jc w:val="left"/>
        <w:rPr>
          <w:rFonts w:hint="eastAsia" w:ascii="黑体" w:hAnsi="黑体" w:eastAsia="黑体"/>
          <w:sz w:val="32"/>
          <w:szCs w:val="32"/>
        </w:rPr>
      </w:pPr>
      <w:r>
        <w:rPr>
          <w:rFonts w:hint="eastAsia" w:ascii="黑体" w:hAnsi="黑体" w:eastAsia="黑体"/>
          <w:sz w:val="32"/>
          <w:szCs w:val="32"/>
        </w:rPr>
        <w:t>关于三亚市市场监督管理202</w:t>
      </w:r>
      <w:r>
        <w:rPr>
          <w:rFonts w:hint="eastAsia" w:ascii="黑体" w:hAnsi="黑体" w:eastAsia="黑体"/>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三亚市市场监督管理部门202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13759.96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16.39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10811.47</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1535.61</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909.46</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519.41</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二、关于三亚市市场监督管理部门202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三亚市市场监督管理部门</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2325.48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基本支出增加了职业年金记实经费。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10811.47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78.48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1535.61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909.46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519.41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1.一般公共服务（类）市场监督管理事务（款）行政运行（项）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4186.31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179.24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人员退休、调出，</w:t>
      </w:r>
      <w:r>
        <w:rPr>
          <w:rFonts w:hint="eastAsia" w:ascii="仿宋_GB2312" w:hAnsi="黑体" w:eastAsia="仿宋_GB2312"/>
          <w:sz w:val="32"/>
          <w:szCs w:val="32"/>
          <w:lang w:val="en-US" w:eastAsia="zh-CN"/>
        </w:rPr>
        <w:t>人员工资减少。</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 市场监督管理事务（款）一般行政管理事务（项）202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393.67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委托业务费等增加。</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3. 一般公共服务（类） 市场监督管理事务（款）市场主体管理（项）202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1672.24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1188.84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创建国家食品安全城市，新增宣传费、劳务费等预算。</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一般公共服务（类） 市场监督管理事务（款）信息化建设（项）202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269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信息化建设项目大部分已完工，本年所需经费减少。</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一般公共服务（类） 市场监督管理事务（款） 药品事务（项）202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38.03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w:t>
      </w:r>
      <w:r>
        <w:rPr>
          <w:rFonts w:hint="eastAsia" w:ascii="仿宋_GB2312" w:hAnsi="黑体" w:eastAsia="仿宋_GB2312"/>
          <w:sz w:val="32"/>
          <w:szCs w:val="32"/>
          <w:highlight w:val="none"/>
          <w:lang w:eastAsia="zh-CN"/>
        </w:rPr>
        <w:t>与上年预算数基本持平。</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一般公共服务（类） 市场监督管理事务（款） 化妆品事务（项）202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一致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xml:space="preserve">. 一般公共服务（类） 市场监督管理事务（款） </w:t>
      </w:r>
      <w:r>
        <w:rPr>
          <w:rFonts w:hint="eastAsia" w:ascii="仿宋_GB2312" w:hAnsi="黑体" w:eastAsia="仿宋_GB2312" w:cs="仿宋_GB2312"/>
          <w:sz w:val="32"/>
          <w:szCs w:val="32"/>
          <w:lang w:eastAsia="zh-CN"/>
        </w:rPr>
        <w:t>质量安全监管</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16万元，该项目主要是省局下拨经费用于购置快检设备</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 一般公共服务（类） 市场监督管理事务（款） 食品安全监管（项）202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1556.94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206.1</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引进中国检验检疫科学研究院，保障重要接待食品安全检测服务，增加购置检测设备费用</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 一般公共服务（类） 市场监督管理事务（款） 事业运行（项）202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1047.95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351.21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下属事业单位人员增加</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 一般公共服务（类） 市场监督管理事务（款）其他市场监督管理事务（项）202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520.6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highlight w:val="none"/>
          <w:lang w:eastAsia="zh-CN"/>
        </w:rPr>
        <w:t>免费刻章项目预算数减少。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 社会保障和就业支出（类）行政事业单位养老支出（款） 机关事业单位基本养老保险缴费支出（项）202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563.93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110.51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养老缴费基数计算方式调整，工资增加。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948.47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719.47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cs="仿宋_GB2312"/>
          <w:sz w:val="32"/>
          <w:szCs w:val="32"/>
        </w:rPr>
        <w:t>机关事业单位职业年金缴费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.社会保障和就业支出（类）抚恤（款）其他优抚支出（项）20</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4.37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供养人员生活补助标准提高，人数增加。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14.</w:t>
      </w:r>
      <w:r>
        <w:rPr>
          <w:rFonts w:hint="eastAsia" w:ascii="仿宋_GB2312" w:hAnsi="黑体" w:eastAsia="仿宋_GB2312" w:cs="仿宋_GB2312"/>
          <w:sz w:val="32"/>
          <w:szCs w:val="32"/>
          <w:highlight w:val="none"/>
        </w:rPr>
        <w:t>卫生健康支</w:t>
      </w:r>
      <w:r>
        <w:rPr>
          <w:rFonts w:hint="eastAsia" w:ascii="仿宋_GB2312" w:hAnsi="黑体" w:eastAsia="仿宋_GB2312" w:cs="仿宋_GB2312"/>
          <w:sz w:val="32"/>
          <w:szCs w:val="32"/>
        </w:rPr>
        <w:t>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（款）突发公共卫生事件应急处理（项）202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64.8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新增用于</w:t>
      </w:r>
      <w:r>
        <w:rPr>
          <w:rFonts w:hint="eastAsia" w:ascii="仿宋_GB2312" w:hAnsi="黑体" w:eastAsia="仿宋_GB2312"/>
          <w:sz w:val="32"/>
          <w:szCs w:val="32"/>
        </w:rPr>
        <w:t>新型冠状病毒疫情防控冷链食品风险集中存储点经费</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rPr>
        <w:t>.卫生健康支</w:t>
      </w:r>
      <w:r>
        <w:rPr>
          <w:rFonts w:hint="eastAsia" w:ascii="仿宋_GB2312" w:hAnsi="黑体" w:eastAsia="仿宋_GB2312" w:cs="仿宋_GB2312"/>
          <w:sz w:val="32"/>
          <w:szCs w:val="32"/>
        </w:rPr>
        <w:t>出（类）行政事业单位医疗（款） 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204.34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与上年预算数基本持平。</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.卫生健康支出（类）行政事业单位医疗（款）事业单位医疗（项）202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48.48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下属事业单位人员增加。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卫生健康支出（类）行政事业单位医疗（款） 公务员医疗补助（项）202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591.84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129.53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工资结构调整，工资增加，</w:t>
      </w:r>
      <w:r>
        <w:rPr>
          <w:rFonts w:hint="eastAsia" w:ascii="仿宋_GB2312" w:hAnsi="黑体" w:eastAsia="仿宋_GB2312" w:cs="仿宋_GB2312"/>
          <w:sz w:val="32"/>
          <w:szCs w:val="32"/>
        </w:rPr>
        <w:t>公务员医疗补助</w:t>
      </w:r>
      <w:r>
        <w:rPr>
          <w:rFonts w:hint="eastAsia" w:ascii="仿宋_GB2312" w:hAnsi="黑体" w:eastAsia="仿宋_GB2312"/>
          <w:sz w:val="32"/>
          <w:szCs w:val="32"/>
          <w:lang w:eastAsia="zh-CN"/>
        </w:rPr>
        <w:t>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住房保障支出（类）住房改革支出（款）住房公积金（项）202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519.41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143.68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工资结构调整，工资增加，</w:t>
      </w:r>
      <w:r>
        <w:rPr>
          <w:rFonts w:hint="eastAsia" w:ascii="仿宋_GB2312" w:hAnsi="黑体" w:eastAsia="仿宋_GB2312" w:cs="仿宋_GB2312"/>
          <w:sz w:val="32"/>
          <w:szCs w:val="32"/>
          <w:lang w:eastAsia="zh-CN"/>
        </w:rPr>
        <w:t>住房公积金</w:t>
      </w:r>
      <w:r>
        <w:rPr>
          <w:rFonts w:hint="eastAsia" w:ascii="仿宋_GB2312" w:hAnsi="黑体" w:eastAsia="仿宋_GB2312"/>
          <w:sz w:val="32"/>
          <w:szCs w:val="32"/>
          <w:lang w:eastAsia="zh-CN"/>
        </w:rPr>
        <w:t>增加。</w:t>
      </w:r>
    </w:p>
    <w:p>
      <w:pPr>
        <w:ind w:firstLine="640" w:firstLineChars="200"/>
        <w:rPr>
          <w:rFonts w:hint="eastAsia" w:ascii="黑体" w:hAnsi="黑体" w:eastAsia="黑体"/>
          <w:sz w:val="32"/>
          <w:szCs w:val="32"/>
        </w:rPr>
      </w:pPr>
      <w:r>
        <w:rPr>
          <w:rFonts w:hint="eastAsia" w:ascii="黑体" w:hAnsi="黑体" w:eastAsia="黑体"/>
          <w:sz w:val="32"/>
          <w:szCs w:val="32"/>
        </w:rPr>
        <w:t>三、关于三亚市市场监督管理部门202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8133.94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7626.14</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生活补助、奖励金、其他对个人和家庭的补助</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507.8</w:t>
      </w:r>
      <w:r>
        <w:rPr>
          <w:rFonts w:hint="eastAsia" w:ascii="仿宋_GB2312" w:hAnsi="黑体" w:eastAsia="仿宋_GB2312"/>
          <w:sz w:val="32"/>
          <w:szCs w:val="32"/>
        </w:rPr>
        <w:t>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三亚市市场监督管理部门202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（一）三亚市市场监督管理部门</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98.01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2023年无出国计划安排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94.01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94.01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sz w:val="32"/>
          <w:szCs w:val="32"/>
          <w:lang w:val="en-US" w:eastAsia="zh-CN"/>
        </w:rPr>
        <w:t>56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40批308人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（二）三亚市市场监督管理</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2023年无出国计划安排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三亚市市场监督管理部门20</w:t>
      </w:r>
      <w:r>
        <w:rPr>
          <w:rFonts w:hint="eastAsia" w:ascii="黑体" w:hAnsi="黑体" w:eastAsia="黑体"/>
          <w:sz w:val="32"/>
          <w:szCs w:val="32"/>
          <w:lang w:val="en-US" w:eastAsia="zh-CN"/>
        </w:rPr>
        <w:t>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三亚市市场监督管理部门20</w:t>
      </w:r>
      <w:r>
        <w:rPr>
          <w:rFonts w:hint="eastAsia" w:ascii="黑体" w:hAnsi="黑体" w:eastAsia="黑体"/>
          <w:sz w:val="32"/>
          <w:szCs w:val="32"/>
          <w:lang w:val="en-US" w:eastAsia="zh-CN"/>
        </w:rPr>
        <w:t>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三亚市市场监督管理</w:t>
      </w:r>
      <w:bookmarkStart w:id="0" w:name="_GoBack"/>
      <w:bookmarkEnd w:id="0"/>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cs="仿宋_GB2312"/>
          <w:sz w:val="32"/>
          <w:szCs w:val="32"/>
        </w:rPr>
        <w:t>一般公共服务支出、</w:t>
      </w:r>
      <w:r>
        <w:rPr>
          <w:rFonts w:hint="eastAsia" w:ascii="仿宋_GB2312" w:hAnsi="黑体" w:eastAsia="仿宋_GB2312"/>
          <w:sz w:val="32"/>
          <w:szCs w:val="32"/>
        </w:rPr>
        <w:t>社会保障和就业支出、卫生健康支出、住房保障支出。三亚市市场监督管理</w:t>
      </w:r>
      <w:r>
        <w:rPr>
          <w:rFonts w:hint="eastAsia" w:ascii="仿宋_GB2312" w:hAnsi="黑体" w:eastAsia="仿宋_GB2312" w:cs="仿宋_GB2312"/>
          <w:sz w:val="32"/>
          <w:szCs w:val="32"/>
        </w:rPr>
        <w:t>部门202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三亚市市场监督管理部门20</w:t>
      </w:r>
      <w:r>
        <w:rPr>
          <w:rFonts w:hint="eastAsia" w:ascii="黑体" w:hAnsi="黑体" w:eastAsia="黑体"/>
          <w:sz w:val="32"/>
          <w:szCs w:val="32"/>
          <w:lang w:val="en-US" w:eastAsia="zh-CN"/>
        </w:rPr>
        <w:t>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三亚市市场监督管理</w:t>
      </w:r>
      <w:r>
        <w:rPr>
          <w:rFonts w:hint="eastAsia" w:ascii="仿宋_GB2312" w:hAnsi="黑体" w:eastAsia="仿宋_GB2312" w:cs="仿宋_GB2312"/>
          <w:sz w:val="32"/>
          <w:szCs w:val="32"/>
        </w:rPr>
        <w:t>部门202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16.39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0.12</w:t>
      </w:r>
      <w:r>
        <w:rPr>
          <w:rFonts w:hint="eastAsia" w:ascii="仿宋_GB2312" w:hAnsi="黑体" w:eastAsia="仿宋_GB2312"/>
          <w:sz w:val="32"/>
          <w:szCs w:val="32"/>
        </w:rPr>
        <w:t>%；经费拨款收入</w:t>
      </w:r>
      <w:r>
        <w:rPr>
          <w:rFonts w:hint="eastAsia" w:ascii="仿宋_GB2312" w:hAnsi="黑体" w:eastAsia="仿宋_GB2312" w:cs="仿宋_GB2312"/>
          <w:color w:val="auto"/>
          <w:sz w:val="32"/>
          <w:szCs w:val="32"/>
          <w:lang w:val="en-US" w:eastAsia="zh-CN"/>
        </w:rPr>
        <w:t>13759.56</w:t>
      </w:r>
      <w:r>
        <w:rPr>
          <w:rFonts w:hint="eastAsia" w:ascii="仿宋_GB2312" w:hAnsi="黑体" w:eastAsia="仿宋_GB2312"/>
          <w:color w:val="auto"/>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99.88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2309.49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cs="仿宋_GB2312"/>
          <w:sz w:val="32"/>
          <w:szCs w:val="32"/>
        </w:rPr>
        <w:t>机关事业单位职业年金缴费</w:t>
      </w:r>
      <w:r>
        <w:rPr>
          <w:rFonts w:hint="eastAsia" w:ascii="仿宋_GB2312" w:hAnsi="黑体" w:eastAsia="仿宋_GB2312" w:cs="仿宋_GB2312"/>
          <w:sz w:val="32"/>
          <w:szCs w:val="32"/>
          <w:lang w:eastAsia="zh-CN"/>
        </w:rPr>
        <w:t>及</w:t>
      </w:r>
      <w:r>
        <w:rPr>
          <w:rFonts w:hint="eastAsia" w:ascii="仿宋_GB2312" w:hAnsi="仿宋_GB2312" w:eastAsia="仿宋_GB2312" w:cs="仿宋_GB2312"/>
          <w:sz w:val="32"/>
          <w:szCs w:val="32"/>
          <w:highlight w:val="none"/>
          <w:lang w:eastAsia="zh-CN"/>
        </w:rPr>
        <w:t>创建国家食品安全城市相关经费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三亚市市场监督管理部门20</w:t>
      </w:r>
      <w:r>
        <w:rPr>
          <w:rFonts w:hint="eastAsia" w:ascii="黑体" w:hAnsi="黑体" w:eastAsia="黑体"/>
          <w:sz w:val="32"/>
          <w:szCs w:val="32"/>
          <w:lang w:val="en-US" w:eastAsia="zh-CN"/>
        </w:rPr>
        <w:t>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三亚市市场监督管理</w:t>
      </w:r>
      <w:r>
        <w:rPr>
          <w:rFonts w:hint="eastAsia" w:ascii="仿宋_GB2312" w:hAnsi="黑体" w:eastAsia="仿宋_GB2312" w:cs="仿宋_GB2312"/>
          <w:sz w:val="32"/>
          <w:szCs w:val="32"/>
        </w:rPr>
        <w:t>部门20</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13775.95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8133.94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59.04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5642.01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40.96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2309.49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cs="仿宋_GB2312"/>
          <w:sz w:val="32"/>
          <w:szCs w:val="32"/>
        </w:rPr>
        <w:t>机关事业单位职业年金缴费</w:t>
      </w:r>
      <w:r>
        <w:rPr>
          <w:rFonts w:hint="eastAsia" w:ascii="仿宋_GB2312" w:hAnsi="黑体" w:eastAsia="仿宋_GB2312" w:cs="仿宋_GB2312"/>
          <w:sz w:val="32"/>
          <w:szCs w:val="32"/>
          <w:lang w:eastAsia="zh-CN"/>
        </w:rPr>
        <w:t>及</w:t>
      </w:r>
      <w:r>
        <w:rPr>
          <w:rFonts w:hint="eastAsia" w:ascii="仿宋_GB2312" w:hAnsi="仿宋_GB2312" w:eastAsia="仿宋_GB2312" w:cs="仿宋_GB2312"/>
          <w:sz w:val="32"/>
          <w:szCs w:val="32"/>
          <w:highlight w:val="none"/>
          <w:lang w:eastAsia="zh-CN"/>
        </w:rPr>
        <w:t>创建国家食品安全城市相关经费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年三亚市市场监督管理</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highlight w:val="none"/>
          <w:lang w:val="en-US" w:eastAsia="zh-CN"/>
        </w:rPr>
        <w:t>1267.8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年三亚市市场监督管理</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1756.39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1756.39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年12月31日，三亚市市场监督管理</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highlight w:val="none"/>
          <w:lang w:val="en-US" w:eastAsia="zh-CN"/>
        </w:rPr>
        <w:t>56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年三亚市市场监督管理</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13759.56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Trebuchet MS"/>
    <w:panose1 w:val="020B0603030804020204"/>
    <w:charset w:val="00"/>
    <w:family w:val="auto"/>
    <w:pitch w:val="default"/>
    <w:sig w:usb0="00000000" w:usb1="00000000"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仿宋">
    <w:panose1 w:val="02010609060101010101"/>
    <w:charset w:val="86"/>
    <w:family w:val="auto"/>
    <w:pitch w:val="default"/>
    <w:sig w:usb0="800002BF" w:usb1="38CF7CFA" w:usb2="00000016" w:usb3="00000000" w:csb0="00040001" w:csb1="00000000"/>
  </w:font>
  <w:font w:name="Arial Rounded MT Bold">
    <w:altName w:val="Arial"/>
    <w:panose1 w:val="020F0704030504030204"/>
    <w:charset w:val="00"/>
    <w:family w:val="auto"/>
    <w:pitch w:val="default"/>
    <w:sig w:usb0="00000000"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幼圆">
    <w:altName w:val="宋体"/>
    <w:panose1 w:val="02010509060101010101"/>
    <w:charset w:val="86"/>
    <w:family w:val="auto"/>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华文细黑">
    <w:altName w:val="宋体"/>
    <w:panose1 w:val="02010600040101010101"/>
    <w:charset w:val="86"/>
    <w:family w:val="auto"/>
    <w:pitch w:val="default"/>
    <w:sig w:usb0="00000000" w:usb1="00000000" w:usb2="00000000" w:usb3="00000000" w:csb0="0004009F" w:csb1="DFD70000"/>
  </w:font>
  <w:font w:name="华文彩云">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华文行楷">
    <w:altName w:val="宋体"/>
    <w:panose1 w:val="02010800040101010101"/>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676347493">
    <w:nsid w:val="63EB0865"/>
    <w:multiLevelType w:val="singleLevel"/>
    <w:tmpl w:val="63EB0865"/>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 w:numId="7">
    <w:abstractNumId w:val="16763474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E7646"/>
    <w:rsid w:val="00441897"/>
    <w:rsid w:val="0046189D"/>
    <w:rsid w:val="00C04FCD"/>
    <w:rsid w:val="00F51878"/>
    <w:rsid w:val="0155341D"/>
    <w:rsid w:val="017A1137"/>
    <w:rsid w:val="023D5AC1"/>
    <w:rsid w:val="026F7F8C"/>
    <w:rsid w:val="02D00144"/>
    <w:rsid w:val="03244BDE"/>
    <w:rsid w:val="03DA535F"/>
    <w:rsid w:val="04317A84"/>
    <w:rsid w:val="044B114F"/>
    <w:rsid w:val="045D3CE4"/>
    <w:rsid w:val="05426925"/>
    <w:rsid w:val="055E7B28"/>
    <w:rsid w:val="05F75FDD"/>
    <w:rsid w:val="068E67BD"/>
    <w:rsid w:val="076D0FBB"/>
    <w:rsid w:val="07AC6F41"/>
    <w:rsid w:val="07F909B5"/>
    <w:rsid w:val="09212994"/>
    <w:rsid w:val="093866AD"/>
    <w:rsid w:val="0A9B12B6"/>
    <w:rsid w:val="0B8B2664"/>
    <w:rsid w:val="0BA51A88"/>
    <w:rsid w:val="0C746240"/>
    <w:rsid w:val="0CB311E7"/>
    <w:rsid w:val="0DC25052"/>
    <w:rsid w:val="0DDE2426"/>
    <w:rsid w:val="0E145517"/>
    <w:rsid w:val="0E5234D0"/>
    <w:rsid w:val="0FD43A02"/>
    <w:rsid w:val="103F33A3"/>
    <w:rsid w:val="10497E4A"/>
    <w:rsid w:val="104D363C"/>
    <w:rsid w:val="11513A86"/>
    <w:rsid w:val="116D6427"/>
    <w:rsid w:val="12752E15"/>
    <w:rsid w:val="13964FBA"/>
    <w:rsid w:val="144E5E30"/>
    <w:rsid w:val="150B3EA0"/>
    <w:rsid w:val="151C0667"/>
    <w:rsid w:val="15392C0B"/>
    <w:rsid w:val="157F08CE"/>
    <w:rsid w:val="15D61B5B"/>
    <w:rsid w:val="15FD5118"/>
    <w:rsid w:val="160F6955"/>
    <w:rsid w:val="1734650F"/>
    <w:rsid w:val="17AC30D4"/>
    <w:rsid w:val="1802009E"/>
    <w:rsid w:val="18AF167B"/>
    <w:rsid w:val="196F16FE"/>
    <w:rsid w:val="19D5DA33"/>
    <w:rsid w:val="19E21490"/>
    <w:rsid w:val="1AE27ECF"/>
    <w:rsid w:val="1AE9019F"/>
    <w:rsid w:val="1B0231EC"/>
    <w:rsid w:val="1B040259"/>
    <w:rsid w:val="1C4A1D5B"/>
    <w:rsid w:val="1D171E14"/>
    <w:rsid w:val="1EB71F26"/>
    <w:rsid w:val="1F603A7C"/>
    <w:rsid w:val="1FBF8E30"/>
    <w:rsid w:val="200E69DD"/>
    <w:rsid w:val="20222A67"/>
    <w:rsid w:val="20543225"/>
    <w:rsid w:val="20930E39"/>
    <w:rsid w:val="22C927E1"/>
    <w:rsid w:val="22DE278B"/>
    <w:rsid w:val="243D5230"/>
    <w:rsid w:val="248C1484"/>
    <w:rsid w:val="24977FE9"/>
    <w:rsid w:val="24F601FE"/>
    <w:rsid w:val="25631F90"/>
    <w:rsid w:val="25FA7AC8"/>
    <w:rsid w:val="27811514"/>
    <w:rsid w:val="278C0484"/>
    <w:rsid w:val="279751BD"/>
    <w:rsid w:val="28342FF5"/>
    <w:rsid w:val="285447FC"/>
    <w:rsid w:val="28924446"/>
    <w:rsid w:val="29DC197F"/>
    <w:rsid w:val="2A012FE8"/>
    <w:rsid w:val="2A165715"/>
    <w:rsid w:val="2ADC6667"/>
    <w:rsid w:val="2B530D79"/>
    <w:rsid w:val="2B9032A2"/>
    <w:rsid w:val="2BDF0DC0"/>
    <w:rsid w:val="2BE618A8"/>
    <w:rsid w:val="2C011B4F"/>
    <w:rsid w:val="2C76408D"/>
    <w:rsid w:val="2E7A291F"/>
    <w:rsid w:val="2E8671D5"/>
    <w:rsid w:val="2EB021D4"/>
    <w:rsid w:val="2EF23A92"/>
    <w:rsid w:val="2F656DFE"/>
    <w:rsid w:val="2F8E6CE3"/>
    <w:rsid w:val="2FBD0D0A"/>
    <w:rsid w:val="2FF7110D"/>
    <w:rsid w:val="2FFFCED3"/>
    <w:rsid w:val="300012BC"/>
    <w:rsid w:val="301944BA"/>
    <w:rsid w:val="30A22BA8"/>
    <w:rsid w:val="311D6C4E"/>
    <w:rsid w:val="319E61FF"/>
    <w:rsid w:val="32080393"/>
    <w:rsid w:val="321B69BD"/>
    <w:rsid w:val="332077BF"/>
    <w:rsid w:val="341E1324"/>
    <w:rsid w:val="35123674"/>
    <w:rsid w:val="35A770EE"/>
    <w:rsid w:val="35C04863"/>
    <w:rsid w:val="3604459F"/>
    <w:rsid w:val="364E0070"/>
    <w:rsid w:val="365F5274"/>
    <w:rsid w:val="36B03E2E"/>
    <w:rsid w:val="38FA7159"/>
    <w:rsid w:val="3A2847A2"/>
    <w:rsid w:val="3AA03FF1"/>
    <w:rsid w:val="3B4378EC"/>
    <w:rsid w:val="3B7622BE"/>
    <w:rsid w:val="3BAB05C3"/>
    <w:rsid w:val="3CA72DDB"/>
    <w:rsid w:val="3D100B60"/>
    <w:rsid w:val="3D8A3115"/>
    <w:rsid w:val="3E284CCE"/>
    <w:rsid w:val="3E62066A"/>
    <w:rsid w:val="3E9C590A"/>
    <w:rsid w:val="3EA5219D"/>
    <w:rsid w:val="3F4C155C"/>
    <w:rsid w:val="3F7FB4B5"/>
    <w:rsid w:val="3FAD4D11"/>
    <w:rsid w:val="405230B0"/>
    <w:rsid w:val="40877A6B"/>
    <w:rsid w:val="41CB1C0A"/>
    <w:rsid w:val="42372896"/>
    <w:rsid w:val="431D3387"/>
    <w:rsid w:val="43C56809"/>
    <w:rsid w:val="455D5989"/>
    <w:rsid w:val="45D5183C"/>
    <w:rsid w:val="46320194"/>
    <w:rsid w:val="464B56D5"/>
    <w:rsid w:val="46FE41FC"/>
    <w:rsid w:val="48280238"/>
    <w:rsid w:val="48953A29"/>
    <w:rsid w:val="48B63885"/>
    <w:rsid w:val="492F0084"/>
    <w:rsid w:val="495530FF"/>
    <w:rsid w:val="496733C9"/>
    <w:rsid w:val="4D271614"/>
    <w:rsid w:val="4D992BFB"/>
    <w:rsid w:val="4DD415D5"/>
    <w:rsid w:val="4EB82B8B"/>
    <w:rsid w:val="4EF234D1"/>
    <w:rsid w:val="4F1C1ADC"/>
    <w:rsid w:val="4F961461"/>
    <w:rsid w:val="4FB80849"/>
    <w:rsid w:val="502212A1"/>
    <w:rsid w:val="50703EF4"/>
    <w:rsid w:val="514C0B9D"/>
    <w:rsid w:val="51522D19"/>
    <w:rsid w:val="51AE03F2"/>
    <w:rsid w:val="51D773E0"/>
    <w:rsid w:val="51DB4BF7"/>
    <w:rsid w:val="52694FD7"/>
    <w:rsid w:val="52B4069A"/>
    <w:rsid w:val="52C16C8E"/>
    <w:rsid w:val="52D51271"/>
    <w:rsid w:val="53DA4FA1"/>
    <w:rsid w:val="53E03761"/>
    <w:rsid w:val="53FD4D37"/>
    <w:rsid w:val="54D15E8A"/>
    <w:rsid w:val="55860130"/>
    <w:rsid w:val="55AA44A5"/>
    <w:rsid w:val="55C43CE7"/>
    <w:rsid w:val="56672EA7"/>
    <w:rsid w:val="575A0E52"/>
    <w:rsid w:val="58394BAA"/>
    <w:rsid w:val="587F06AD"/>
    <w:rsid w:val="588406DF"/>
    <w:rsid w:val="59573688"/>
    <w:rsid w:val="595C4825"/>
    <w:rsid w:val="597C26C3"/>
    <w:rsid w:val="5A146D94"/>
    <w:rsid w:val="5A7B7428"/>
    <w:rsid w:val="5A882DEA"/>
    <w:rsid w:val="5AFF024E"/>
    <w:rsid w:val="5C8916A7"/>
    <w:rsid w:val="5CC0053C"/>
    <w:rsid w:val="5CC2463D"/>
    <w:rsid w:val="5CD6578B"/>
    <w:rsid w:val="5D717C20"/>
    <w:rsid w:val="5DAA7F06"/>
    <w:rsid w:val="5DB7E539"/>
    <w:rsid w:val="5E5E52B7"/>
    <w:rsid w:val="5F6C7AD2"/>
    <w:rsid w:val="60917B7E"/>
    <w:rsid w:val="61841F3C"/>
    <w:rsid w:val="61C23C6C"/>
    <w:rsid w:val="6267105A"/>
    <w:rsid w:val="626747E9"/>
    <w:rsid w:val="62912D65"/>
    <w:rsid w:val="62AA0647"/>
    <w:rsid w:val="63E06E94"/>
    <w:rsid w:val="64A22651"/>
    <w:rsid w:val="65496AB9"/>
    <w:rsid w:val="658615CB"/>
    <w:rsid w:val="65C81235"/>
    <w:rsid w:val="662756E0"/>
    <w:rsid w:val="66762E8F"/>
    <w:rsid w:val="669B2F4A"/>
    <w:rsid w:val="66DACB0B"/>
    <w:rsid w:val="67A97794"/>
    <w:rsid w:val="67F64E7B"/>
    <w:rsid w:val="694D00D2"/>
    <w:rsid w:val="697BF56A"/>
    <w:rsid w:val="697D6842"/>
    <w:rsid w:val="6A11370F"/>
    <w:rsid w:val="6A8E2EA0"/>
    <w:rsid w:val="6B4774D5"/>
    <w:rsid w:val="6B6CE30F"/>
    <w:rsid w:val="6B82702C"/>
    <w:rsid w:val="6C7F1319"/>
    <w:rsid w:val="6CC53FFE"/>
    <w:rsid w:val="6DDF74AC"/>
    <w:rsid w:val="6E0D6C8C"/>
    <w:rsid w:val="6ECD2314"/>
    <w:rsid w:val="6EEB551C"/>
    <w:rsid w:val="6FAF0D8D"/>
    <w:rsid w:val="6FCFCADC"/>
    <w:rsid w:val="6FFA4FE6"/>
    <w:rsid w:val="70D420D3"/>
    <w:rsid w:val="720078ED"/>
    <w:rsid w:val="720E7424"/>
    <w:rsid w:val="72101B2D"/>
    <w:rsid w:val="72796055"/>
    <w:rsid w:val="73443940"/>
    <w:rsid w:val="734D5E87"/>
    <w:rsid w:val="75515F5A"/>
    <w:rsid w:val="756414E7"/>
    <w:rsid w:val="75CE5A1F"/>
    <w:rsid w:val="75FB0B04"/>
    <w:rsid w:val="76C46DA8"/>
    <w:rsid w:val="7787396D"/>
    <w:rsid w:val="79F7B683"/>
    <w:rsid w:val="7A713C94"/>
    <w:rsid w:val="7AB4765F"/>
    <w:rsid w:val="7AE33BB8"/>
    <w:rsid w:val="7B2919EB"/>
    <w:rsid w:val="7BFC7DEA"/>
    <w:rsid w:val="7C6736B0"/>
    <w:rsid w:val="7CDE1DFC"/>
    <w:rsid w:val="7D137413"/>
    <w:rsid w:val="7D224D7A"/>
    <w:rsid w:val="7D73BCCE"/>
    <w:rsid w:val="7DD02DF2"/>
    <w:rsid w:val="7DE79FA0"/>
    <w:rsid w:val="7DEBCAFF"/>
    <w:rsid w:val="7E1B6601"/>
    <w:rsid w:val="7E254038"/>
    <w:rsid w:val="7E42095B"/>
    <w:rsid w:val="7EB51866"/>
    <w:rsid w:val="7EDD8B29"/>
    <w:rsid w:val="7F8704E0"/>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2023-03-02T02:30:43Z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