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48"/>
          <w:szCs w:val="48"/>
        </w:rPr>
      </w:pPr>
      <w:r>
        <w:rPr>
          <w:rFonts w:hint="eastAsia"/>
          <w:sz w:val="48"/>
          <w:szCs w:val="48"/>
          <w:lang w:val="en-US" w:eastAsia="zh-CN"/>
        </w:rPr>
        <w:t>2023</w:t>
      </w:r>
      <w:r>
        <w:rPr>
          <w:rFonts w:hint="eastAsia"/>
          <w:sz w:val="48"/>
          <w:szCs w:val="48"/>
        </w:rPr>
        <w:t>年</w:t>
      </w:r>
      <w:r>
        <w:rPr>
          <w:rFonts w:hint="eastAsia"/>
          <w:sz w:val="48"/>
          <w:szCs w:val="48"/>
          <w:lang w:val="en-US" w:eastAsia="zh-CN"/>
        </w:rPr>
        <w:t>三亚市土地储备开发中心</w:t>
      </w:r>
      <w:r>
        <w:rPr>
          <w:rFonts w:hint="eastAsia"/>
          <w:sz w:val="48"/>
          <w:szCs w:val="48"/>
        </w:rPr>
        <w:t>预算</w:t>
      </w:r>
    </w:p>
    <w:p>
      <w:pPr>
        <w:ind w:firstLine="1680"/>
        <w:jc w:val="center"/>
        <w:rPr>
          <w:sz w:val="48"/>
          <w:szCs w:val="48"/>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48"/>
          <w:szCs w:val="48"/>
        </w:rPr>
      </w:pPr>
    </w:p>
    <w:p>
      <w:pPr>
        <w:jc w:val="center"/>
        <w:rPr>
          <w:rFonts w:hint="eastAsia" w:ascii="黑体" w:hAnsi="黑体" w:eastAsia="黑体"/>
          <w:sz w:val="48"/>
          <w:szCs w:val="48"/>
        </w:rPr>
      </w:pPr>
    </w:p>
    <w:p>
      <w:pPr>
        <w:jc w:val="center"/>
        <w:rPr>
          <w:rFonts w:ascii="黑体" w:hAnsi="黑体" w:eastAsia="黑体"/>
          <w:sz w:val="48"/>
          <w:szCs w:val="48"/>
        </w:rPr>
      </w:pPr>
      <w:r>
        <w:rPr>
          <w:rFonts w:hint="eastAsia" w:ascii="黑体" w:hAnsi="黑体" w:eastAsia="黑体"/>
          <w:sz w:val="48"/>
          <w:szCs w:val="48"/>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三亚市土地储备开发中心</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三亚市土地储备开发中心</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三亚市土地储备开发中心</w:t>
      </w:r>
      <w:r>
        <w:rPr>
          <w:rFonts w:hint="eastAsia" w:ascii="黑体" w:hAnsi="黑体" w:eastAsia="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三亚市土地储备开发中心</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三亚市土地储备开发中心</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三亚市土地储备开发中心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ind w:firstLine="480" w:firstLineChars="150"/>
        <w:rPr>
          <w:rFonts w:hint="eastAsia"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5"/>
        <w:ind w:firstLine="480" w:firstLineChars="150"/>
        <w:rPr>
          <w:rFonts w:hint="eastAsia" w:ascii="仿宋" w:hAnsi="仿宋" w:eastAsia="仿宋" w:cs="仿宋"/>
          <w:color w:val="000024"/>
          <w:kern w:val="2"/>
          <w:sz w:val="32"/>
          <w:szCs w:val="32"/>
        </w:rPr>
      </w:pPr>
      <w:r>
        <w:rPr>
          <w:rFonts w:hint="eastAsia" w:ascii="仿宋" w:hAnsi="仿宋" w:eastAsia="仿宋" w:cs="仿宋"/>
          <w:sz w:val="32"/>
          <w:szCs w:val="32"/>
          <w:lang w:val="en-US" w:eastAsia="zh-CN"/>
        </w:rPr>
        <w:t>(</w:t>
      </w:r>
      <w:r>
        <w:rPr>
          <w:rFonts w:hint="eastAsia" w:ascii="仿宋" w:hAnsi="仿宋" w:eastAsia="仿宋" w:cs="仿宋"/>
          <w:color w:val="000024"/>
          <w:kern w:val="2"/>
          <w:sz w:val="32"/>
          <w:szCs w:val="32"/>
        </w:rPr>
        <w:t>1）依照市政府土地储备委员会的决定和相关法律、法规、规章规定，负责土地储备的各项具体工作。</w:t>
      </w:r>
    </w:p>
    <w:p>
      <w:pPr>
        <w:pStyle w:val="5"/>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（2）根据土地利用和城市总体规划要求，拟定土地收购储备和出让计划，并报市政府土地储备委员会批准后执行。</w:t>
      </w:r>
    </w:p>
    <w:p>
      <w:pPr>
        <w:pStyle w:val="5"/>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（3）依市下达的年度及中长期计划，编制列入土地储备计划的土地资源的调查、统计和整理土地专项规划。</w:t>
      </w:r>
    </w:p>
    <w:p>
      <w:pPr>
        <w:pStyle w:val="5"/>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（4）依照有关规定对国有存量土地及其他需要储备的土地进行拆迁和储备。</w:t>
      </w:r>
    </w:p>
    <w:p>
      <w:pPr>
        <w:pStyle w:val="5"/>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（5）对收购储备的土地进行符合规划的整理和出让前的合理利用。</w:t>
      </w:r>
    </w:p>
    <w:p>
      <w:pPr>
        <w:pStyle w:val="5"/>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（6）筹措运作土地储备的资金。</w:t>
      </w:r>
    </w:p>
    <w:p>
      <w:pPr>
        <w:pStyle w:val="5"/>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（7）负责公开出让土地底价的测算评估。</w:t>
      </w:r>
    </w:p>
    <w:p>
      <w:pPr>
        <w:pStyle w:val="5"/>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（7）监督土地出让交财政专户。</w:t>
      </w:r>
    </w:p>
    <w:p>
      <w:pPr>
        <w:pStyle w:val="5"/>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（9）定期向社会发布本市经营性土地使用权供求信息、市场行情和指导价格，做好招商引资工作，为境内外投资者提供服务。</w:t>
      </w:r>
    </w:p>
    <w:p>
      <w:pPr>
        <w:pStyle w:val="4"/>
        <w:numPr>
          <w:ilvl w:val="0"/>
          <w:numId w:val="0"/>
        </w:numPr>
        <w:ind w:leftChars="0"/>
        <w:jc w:val="left"/>
        <w:rPr>
          <w:rFonts w:hint="eastAsia" w:ascii="仿宋" w:hAnsi="仿宋" w:eastAsia="仿宋" w:cs="仿宋"/>
          <w:sz w:val="32"/>
          <w:szCs w:val="32"/>
        </w:rPr>
      </w:pPr>
      <w:r>
        <w:rPr>
          <w:rFonts w:hint="eastAsia" w:ascii="仿宋" w:hAnsi="仿宋" w:eastAsia="仿宋" w:cs="仿宋"/>
          <w:color w:val="000024"/>
          <w:kern w:val="2"/>
          <w:sz w:val="32"/>
          <w:szCs w:val="32"/>
          <w:lang w:val="en-US" w:eastAsia="zh-CN"/>
        </w:rPr>
        <w:t xml:space="preserve">  </w:t>
      </w:r>
      <w:r>
        <w:rPr>
          <w:rFonts w:hint="eastAsia" w:ascii="仿宋" w:hAnsi="仿宋" w:eastAsia="仿宋" w:cs="仿宋"/>
          <w:color w:val="000024"/>
          <w:kern w:val="2"/>
          <w:sz w:val="32"/>
          <w:szCs w:val="32"/>
        </w:rPr>
        <w:t>（10）完成市委、市政府交办的其他工作任务。</w:t>
      </w:r>
    </w:p>
    <w:p>
      <w:pPr>
        <w:pStyle w:val="5"/>
        <w:ind w:firstLine="480" w:firstLineChars="150"/>
        <w:rPr>
          <w:rFonts w:hint="eastAsia" w:ascii="仿宋" w:hAnsi="仿宋" w:eastAsia="仿宋" w:cs="仿宋"/>
          <w:color w:val="000024"/>
          <w:kern w:val="2"/>
          <w:sz w:val="32"/>
          <w:szCs w:val="32"/>
        </w:rPr>
      </w:pPr>
      <w:r>
        <w:rPr>
          <w:rFonts w:hint="eastAsia" w:ascii="黑体" w:hAnsi="黑体" w:eastAsia="黑体" w:cs="黑体"/>
          <w:sz w:val="32"/>
          <w:szCs w:val="32"/>
          <w:lang w:eastAsia="zh-CN"/>
        </w:rPr>
        <w:t>二、机构设置</w:t>
      </w:r>
    </w:p>
    <w:p>
      <w:pPr>
        <w:pStyle w:val="5"/>
        <w:ind w:left="315" w:left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本单位设置5个内设机构</w:t>
      </w:r>
    </w:p>
    <w:p>
      <w:pPr>
        <w:pStyle w:val="5"/>
        <w:ind w:firstLine="320" w:firstLineChars="10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1）办公室：负责起草和审核有关综合性文件和重要报告；负责会务、秘书事务、信息综合、文电处理、文书档案管理和机要保密工作；负责本单位机构编制、人事、财务和党群等工作；负责日常行政管理工作，制定内部规章制度；负责计划生育、安全保卫等工作；承办人大建议、政协议案提案。</w:t>
      </w:r>
    </w:p>
    <w:p>
      <w:pPr>
        <w:pStyle w:val="5"/>
        <w:ind w:firstLine="320" w:firstLineChars="10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2）综合策划科：负责制定中长期土地储备计划；组织收集经营性土地使用权供求信息、市场行情和指导价格等信息，为投资者提供服务；策划包装储备土地项目，做好招商引资工作；负责办理储备用地各项内业手续，包括储备用地土地性质变更手续、《储备土地权益证》等；负责办理储备用地融资抵押担保手续；负责筹措运作土地专项资金。</w:t>
      </w:r>
    </w:p>
    <w:p>
      <w:pPr>
        <w:pStyle w:val="5"/>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 xml:space="preserve">  （3）开发整理科：负责合理利用出让前的储备用地；负责对需要开发的储备土地进行前期开发整理，使其具备出让条件；负责巡查、防护储备用地等日常管理工作，防止储备用地受到非法侵占。</w:t>
      </w:r>
    </w:p>
    <w:p>
      <w:pPr>
        <w:pStyle w:val="5"/>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 xml:space="preserve">  （4）储备一科：负责拟定年度土地储备计划，报市政府批准后组织实施；编制储备土地出让计划，由市土地行政主管部门汇总上报市政府批准后统一组织实施供应；负责土地储备的各项前期工作，包括办理储备前期报批手续及协助市土地行政主管部门办理土地供应手续等；负责建立全市土地管理信息系统，建立台账和档案，并进行动态更新；负责组织已储备用地的档案资料管理工作。</w:t>
      </w:r>
    </w:p>
    <w:p>
      <w:pPr>
        <w:pStyle w:val="5"/>
        <w:rPr>
          <w:rFonts w:hint="eastAsia" w:ascii="黑体" w:hAnsi="黑体" w:eastAsia="黑体" w:cs="黑体"/>
          <w:sz w:val="32"/>
          <w:szCs w:val="32"/>
          <w:lang w:val="en-US" w:eastAsia="zh-CN"/>
        </w:rPr>
      </w:pPr>
      <w:r>
        <w:rPr>
          <w:rFonts w:hint="eastAsia" w:ascii="仿宋" w:hAnsi="仿宋" w:eastAsia="仿宋" w:cs="仿宋"/>
          <w:color w:val="000024"/>
          <w:kern w:val="2"/>
          <w:sz w:val="32"/>
          <w:szCs w:val="32"/>
        </w:rPr>
        <w:t xml:space="preserve">  （5）储备二科：负责调查全市范围内土地后备资源；负责实地调查拟储备用地，组织实测算收储费用、制订收储方案等工作；负责收回和收购批准纳入储备的土地；负责协助各区（镇）完成储备用地的征收拆迁等各项收储工作。</w:t>
      </w:r>
      <w:r>
        <w:rPr>
          <w:rFonts w:hint="eastAsia" w:ascii="黑体" w:hAnsi="黑体" w:eastAsia="黑体" w:cs="黑体"/>
          <w:sz w:val="32"/>
          <w:szCs w:val="32"/>
          <w:lang w:val="en-US" w:eastAsia="zh-CN"/>
        </w:rPr>
        <w:t xml:space="preserve">    </w:t>
      </w:r>
    </w:p>
    <w:p>
      <w:pPr>
        <w:numPr>
          <w:ilvl w:val="0"/>
          <w:numId w:val="5"/>
        </w:numPr>
        <w:ind w:firstLine="640" w:firstLineChars="200"/>
        <w:rPr>
          <w:rFonts w:ascii="黑体" w:hAnsi="黑体" w:eastAsia="黑体"/>
          <w:sz w:val="32"/>
          <w:szCs w:val="32"/>
        </w:rPr>
      </w:pP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三亚市土地储备开发中心</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三亚市土地储备开发中心</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三亚市土地储备开发中心</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三亚市土地储备开发中心</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三亚市土地储备开发中心</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三亚市土地储备开发中心</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7266</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。其中，收入总计7266万元，包括一般公共预算本年收入7266万元，政府性基金预算本年收入0元、上年结转0元；支出总计7266万元，包括农林水支出为1000万元、自然资源海洋气象等支出为6266万元。</w:t>
      </w:r>
    </w:p>
    <w:p>
      <w:pPr>
        <w:numPr>
          <w:ilvl w:val="0"/>
          <w:numId w:val="6"/>
        </w:numPr>
        <w:ind w:firstLine="640"/>
        <w:jc w:val="left"/>
        <w:rPr>
          <w:rFonts w:hint="eastAsia" w:ascii="黑体" w:hAnsi="黑体" w:eastAsia="黑体"/>
          <w:sz w:val="32"/>
          <w:szCs w:val="32"/>
        </w:rPr>
      </w:pPr>
      <w:r>
        <w:rPr>
          <w:rFonts w:hint="eastAsia" w:ascii="黑体" w:hAnsi="黑体" w:eastAsia="黑体"/>
          <w:sz w:val="32"/>
          <w:szCs w:val="32"/>
        </w:rPr>
        <w:t>关于</w:t>
      </w:r>
      <w:r>
        <w:rPr>
          <w:rFonts w:hint="eastAsia" w:ascii="黑体" w:hAnsi="黑体" w:eastAsia="黑体"/>
          <w:sz w:val="32"/>
          <w:szCs w:val="32"/>
          <w:lang w:eastAsia="zh-CN"/>
        </w:rPr>
        <w:t>三亚市土地储备开发中</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numPr>
          <w:ilvl w:val="0"/>
          <w:numId w:val="0"/>
        </w:numPr>
        <w:jc w:val="left"/>
        <w:rPr>
          <w:rFonts w:hint="eastAsia" w:ascii="仿宋" w:hAnsi="仿宋" w:eastAsia="仿宋" w:cs="仿宋"/>
          <w:sz w:val="32"/>
          <w:szCs w:val="32"/>
          <w:lang w:val="en-US" w:eastAsia="zh-CN"/>
        </w:rPr>
      </w:pPr>
      <w:r>
        <w:rPr>
          <w:rFonts w:hint="eastAsia" w:ascii="黑体" w:hAnsi="黑体" w:eastAsia="黑体"/>
          <w:sz w:val="32"/>
          <w:szCs w:val="32"/>
          <w:lang w:val="en-US" w:eastAsia="zh-CN"/>
        </w:rPr>
        <w:t xml:space="preserve">  </w:t>
      </w:r>
      <w:r>
        <w:rPr>
          <w:rFonts w:hint="eastAsia" w:ascii="仿宋" w:hAnsi="仿宋" w:eastAsia="仿宋" w:cs="仿宋"/>
          <w:sz w:val="32"/>
          <w:szCs w:val="32"/>
          <w:lang w:val="en-US" w:eastAsia="zh-CN"/>
        </w:rPr>
        <w:t>(一）一般公共预算当年规模变化情况</w:t>
      </w:r>
    </w:p>
    <w:p>
      <w:pPr>
        <w:numPr>
          <w:ilvl w:val="-1"/>
          <w:numId w:val="0"/>
        </w:numPr>
        <w:ind w:firstLine="640"/>
        <w:jc w:val="left"/>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三亚市土地储备开发中心</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一般公共预算当年拨款为</w:t>
      </w:r>
      <w:r>
        <w:rPr>
          <w:rFonts w:hint="eastAsia" w:ascii="仿宋_GB2312" w:hAnsi="黑体" w:eastAsia="仿宋_GB2312"/>
          <w:sz w:val="32"/>
          <w:szCs w:val="32"/>
          <w:lang w:val="en-US" w:eastAsia="zh-CN"/>
        </w:rPr>
        <w:t>7266万元，与上年预算数增加7266万元，主要是当年增加土地收储相关费用预算。</w:t>
      </w:r>
    </w:p>
    <w:p>
      <w:pPr>
        <w:numPr>
          <w:ilvl w:val="-1"/>
          <w:numId w:val="0"/>
        </w:numPr>
        <w:jc w:val="left"/>
        <w:rPr>
          <w:rFonts w:hint="eastAsia" w:ascii="仿宋" w:hAnsi="仿宋" w:eastAsia="仿宋" w:cs="仿宋"/>
          <w:sz w:val="32"/>
          <w:szCs w:val="32"/>
          <w:lang w:val="en-US" w:eastAsia="zh-CN"/>
        </w:rPr>
      </w:pPr>
      <w:r>
        <w:rPr>
          <w:rFonts w:hint="eastAsia" w:ascii="仿宋_GB2312" w:hAnsi="黑体" w:eastAsia="仿宋_GB2312"/>
          <w:sz w:val="32"/>
          <w:szCs w:val="32"/>
          <w:lang w:val="en-US" w:eastAsia="zh-CN"/>
        </w:rPr>
        <w:t xml:space="preserve">  </w:t>
      </w:r>
      <w:r>
        <w:rPr>
          <w:rFonts w:hint="eastAsia" w:ascii="仿宋" w:hAnsi="仿宋" w:eastAsia="仿宋" w:cs="仿宋"/>
          <w:sz w:val="32"/>
          <w:szCs w:val="32"/>
          <w:lang w:val="en-US" w:eastAsia="zh-CN"/>
        </w:rPr>
        <w:t>（二）一般公共预算当年拨款结构情况</w:t>
      </w:r>
    </w:p>
    <w:p>
      <w:pPr>
        <w:numPr>
          <w:ilvl w:val="-1"/>
          <w:numId w:val="0"/>
        </w:numPr>
        <w:jc w:val="left"/>
        <w:rPr>
          <w:rFonts w:hint="eastAsia" w:ascii="仿宋_GB2312" w:hAnsi="黑体" w:eastAsia="仿宋_GB2312"/>
          <w:sz w:val="32"/>
          <w:szCs w:val="32"/>
          <w:lang w:val="en-US" w:eastAsia="zh-CN"/>
        </w:rPr>
      </w:pPr>
      <w:r>
        <w:rPr>
          <w:rFonts w:hint="eastAsia" w:ascii="黑体" w:hAnsi="黑体" w:eastAsia="黑体" w:cs="黑体"/>
          <w:sz w:val="32"/>
          <w:szCs w:val="32"/>
          <w:lang w:val="en-US" w:eastAsia="zh-CN"/>
        </w:rPr>
        <w:t xml:space="preserve">   </w:t>
      </w:r>
      <w:r>
        <w:rPr>
          <w:rFonts w:hint="eastAsia" w:ascii="仿宋_GB2312" w:hAnsi="黑体" w:eastAsia="仿宋_GB2312"/>
          <w:sz w:val="32"/>
          <w:szCs w:val="32"/>
          <w:lang w:eastAsia="zh-CN"/>
        </w:rPr>
        <w:t>农林水支出为</w:t>
      </w:r>
      <w:r>
        <w:rPr>
          <w:rFonts w:hint="eastAsia" w:ascii="仿宋_GB2312" w:hAnsi="黑体" w:eastAsia="仿宋_GB2312"/>
          <w:sz w:val="32"/>
          <w:szCs w:val="32"/>
          <w:lang w:val="en-US" w:eastAsia="zh-CN"/>
        </w:rPr>
        <w:t>1000万元，占13.76%；自然资源海洋气象等支出为6266万元</w:t>
      </w:r>
      <w:r>
        <w:rPr>
          <w:rFonts w:hint="eastAsia" w:ascii="仿宋_GB2312" w:hAnsi="黑体" w:eastAsia="仿宋_GB2312"/>
          <w:sz w:val="32"/>
          <w:szCs w:val="32"/>
          <w:lang w:eastAsia="zh-CN"/>
        </w:rPr>
        <w:t>，占</w:t>
      </w:r>
      <w:r>
        <w:rPr>
          <w:rFonts w:hint="eastAsia" w:ascii="仿宋_GB2312" w:hAnsi="黑体" w:eastAsia="仿宋_GB2312"/>
          <w:sz w:val="32"/>
          <w:szCs w:val="32"/>
          <w:lang w:val="en-US" w:eastAsia="zh-CN"/>
        </w:rPr>
        <w:t>86.24%。</w:t>
      </w:r>
    </w:p>
    <w:p>
      <w:pPr>
        <w:numPr>
          <w:ilvl w:val="-1"/>
          <w:numId w:val="0"/>
        </w:numPr>
        <w:jc w:val="left"/>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  （三）一般公共预算当年拨款具体使用情况</w:t>
      </w:r>
    </w:p>
    <w:p>
      <w:pPr>
        <w:numPr>
          <w:ilvl w:val="-1"/>
          <w:numId w:val="0"/>
        </w:numPr>
        <w:jc w:val="left"/>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 xml:space="preserve">   1.农林水支出（类）林业和草原（款）森林资源培育（项）2023年预算数为1000万元，比上年预算数增加1000万元，主要是当年土地收储中发生的森林植被恢复费为1000万元。</w:t>
      </w:r>
    </w:p>
    <w:p>
      <w:pPr>
        <w:numPr>
          <w:ilvl w:val="-1"/>
          <w:numId w:val="0"/>
        </w:numPr>
        <w:jc w:val="left"/>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 xml:space="preserve">   2.自然资源海洋气象等支出（类）自然资源事务（款）自然资源规划及管理（项）2023年预算数为6266万元，比上年预算数增加6266万元，主要是当年土地收储工作中发生的耕地占使税等相关税费为3000万元、耕地开垦费为3000万元、土壤污染现状调查费为150万元、农转用勘测定界费36万元、使用林地可行性费为80万元。</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三亚市土地储备开发中心</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三亚市土地储备开发中心</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三亚市土地储备开发中心</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三亚市</w:t>
      </w:r>
      <w:r>
        <w:rPr>
          <w:rFonts w:hint="eastAsia" w:ascii="楷体_GB2312" w:hAnsi="楷体_GB2312" w:eastAsia="楷体_GB2312" w:cs="楷体_GB2312"/>
          <w:sz w:val="32"/>
          <w:szCs w:val="32"/>
          <w:lang w:val="en-US" w:eastAsia="zh-CN"/>
        </w:rPr>
        <w:t>土地储备开发中心</w:t>
      </w:r>
      <w:r>
        <w:rPr>
          <w:rFonts w:hint="default" w:ascii="Times New Roman" w:hAnsi="Times New Roman" w:eastAsia="楷体_GB2312" w:cs="Times New Roman"/>
          <w:sz w:val="32"/>
          <w:szCs w:val="32"/>
          <w:lang w:val="en-US" w:eastAsia="zh-CN"/>
        </w:rPr>
        <w:t>202</w:t>
      </w:r>
      <w:r>
        <w:rPr>
          <w:rFonts w:hint="eastAsia" w:ascii="Times New Roman" w:hAnsi="Times New Roman" w:eastAsia="楷体_GB2312" w:cs="Times New Roman"/>
          <w:sz w:val="32"/>
          <w:szCs w:val="32"/>
          <w:lang w:val="en-US" w:eastAsia="zh-CN"/>
        </w:rPr>
        <w:t>3</w:t>
      </w:r>
      <w:r>
        <w:rPr>
          <w:rFonts w:hint="eastAsia" w:ascii="楷体_GB2312" w:hAnsi="楷体_GB2312" w:eastAsia="楷体_GB2312" w:cs="楷体_GB2312"/>
          <w:sz w:val="32"/>
          <w:szCs w:val="32"/>
        </w:rPr>
        <w:t>年一般公共预算“三公”经费预算数为</w:t>
      </w:r>
      <w:r>
        <w:rPr>
          <w:rFonts w:hint="default" w:ascii="Times New Roman" w:hAnsi="Times New Roman" w:eastAsia="楷体_GB2312" w:cs="Times New Roman"/>
          <w:sz w:val="32"/>
          <w:szCs w:val="32"/>
          <w:lang w:val="en-US" w:eastAsia="zh-CN"/>
        </w:rPr>
        <w:t>0</w:t>
      </w:r>
      <w:r>
        <w:rPr>
          <w:rFonts w:hint="eastAsia" w:ascii="楷体_GB2312" w:hAnsi="楷体_GB2312" w:eastAsia="楷体_GB2312" w:cs="楷体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主要原因为近两年本单位无一</w:t>
      </w:r>
      <w:r>
        <w:rPr>
          <w:rFonts w:hint="eastAsia" w:ascii="楷体_GB2312" w:hAnsi="楷体_GB2312" w:eastAsia="楷体_GB2312" w:cs="楷体_GB2312"/>
          <w:sz w:val="32"/>
          <w:szCs w:val="32"/>
        </w:rPr>
        <w:t>般公共预算“三公”经费预算数</w:t>
      </w:r>
      <w:r>
        <w:rPr>
          <w:rFonts w:hint="eastAsia" w:ascii="楷体_GB2312" w:hAnsi="楷体_GB2312" w:eastAsia="楷体_GB2312" w:cs="楷体_GB2312"/>
          <w:sz w:val="32"/>
          <w:szCs w:val="32"/>
          <w:lang w:eastAsia="zh-CN"/>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val="en-US" w:eastAsia="zh-CN"/>
        </w:rPr>
        <w:t>三亚市土地储备开发中心</w:t>
      </w:r>
      <w:r>
        <w:rPr>
          <w:rFonts w:ascii="Times New Roman" w:hAnsi="Times New Roman" w:eastAsia="仿宋_GB2312" w:cs="Times New Roman"/>
          <w:sz w:val="32"/>
          <w:shd w:val="clear" w:color="auto" w:fill="FFFFFF"/>
        </w:rPr>
        <w:t>安排的</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lang w:val="en-US" w:eastAsia="zh-CN"/>
        </w:rPr>
        <w:t>0</w:t>
      </w:r>
      <w:r>
        <w:rPr>
          <w:rFonts w:ascii="Times New Roman" w:hAnsi="Times New Roman" w:eastAsia="仿宋_GB2312" w:cs="Times New Roman"/>
          <w:sz w:val="32"/>
          <w:shd w:val="clear" w:color="auto" w:fill="FFFFFF"/>
        </w:rPr>
        <w:t>次，出国（境）</w:t>
      </w:r>
      <w:r>
        <w:rPr>
          <w:rFonts w:hint="default" w:ascii="Times New Roman" w:hAnsi="Times New Roman" w:eastAsia="仿宋_GB2312" w:cs="Times New Roman"/>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default" w:ascii="Times New Roman" w:hAnsi="Times New Roman" w:eastAsia="仿宋_GB2312" w:cs="Times New Roman"/>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default" w:ascii="Times New Roman" w:hAnsi="Times New Roman" w:eastAsia="仿宋_GB2312" w:cs="Times New Roman"/>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default" w:ascii="Times New Roman" w:hAnsi="Times New Roman" w:eastAsia="仿宋_GB2312" w:cs="Times New Roman"/>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default" w:ascii="Times New Roman" w:hAnsi="Times New Roman" w:eastAsia="仿宋_GB2312" w:cs="Times New Roman"/>
          <w:sz w:val="32"/>
          <w:szCs w:val="32"/>
          <w:lang w:val="en-US" w:eastAsia="zh-CN"/>
        </w:rPr>
        <w:t>0</w:t>
      </w:r>
      <w:r>
        <w:rPr>
          <w:rFonts w:hint="eastAsia" w:ascii="仿宋_GB2312" w:hAnsi="黑体" w:eastAsia="仿宋_GB2312" w:cs="仿宋_GB2312"/>
          <w:sz w:val="32"/>
          <w:szCs w:val="32"/>
        </w:rPr>
        <w:t>辆，计划购置</w:t>
      </w:r>
      <w:r>
        <w:rPr>
          <w:rFonts w:hint="default" w:ascii="Times New Roman" w:hAnsi="Times New Roman" w:eastAsia="仿宋_GB2312" w:cs="Times New Roman"/>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default" w:ascii="Times New Roman" w:hAnsi="Times New Roman" w:eastAsia="仿宋_GB2312" w:cs="Times New Roman"/>
          <w:sz w:val="32"/>
          <w:szCs w:val="32"/>
          <w:lang w:val="en-US" w:eastAsia="zh-CN"/>
        </w:rPr>
        <w:t>0</w:t>
      </w:r>
      <w:r>
        <w:rPr>
          <w:rFonts w:hint="eastAsia" w:ascii="仿宋_GB2312" w:hAnsi="黑体" w:eastAsia="仿宋_GB2312" w:cs="仿宋_GB2312"/>
          <w:sz w:val="32"/>
          <w:szCs w:val="32"/>
        </w:rPr>
        <w:t>批</w:t>
      </w:r>
      <w:r>
        <w:rPr>
          <w:rFonts w:hint="default" w:ascii="Times New Roman" w:hAnsi="Times New Roman" w:eastAsia="仿宋_GB2312" w:cs="Times New Roman"/>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eastAsia="zh-CN"/>
        </w:rPr>
        <w:t>三亚市</w:t>
      </w:r>
      <w:r>
        <w:rPr>
          <w:rFonts w:hint="eastAsia" w:ascii="楷体_GB2312" w:hAnsi="楷体_GB2312" w:eastAsia="楷体_GB2312" w:cs="楷体_GB2312"/>
          <w:sz w:val="32"/>
          <w:szCs w:val="32"/>
          <w:lang w:val="en-US" w:eastAsia="zh-CN"/>
        </w:rPr>
        <w:t>土地储备开发中心</w:t>
      </w:r>
      <w:r>
        <w:rPr>
          <w:rFonts w:hint="default" w:ascii="Times New Roman" w:hAnsi="Times New Roman" w:eastAsia="楷体_GB2312" w:cs="Times New Roman"/>
          <w:sz w:val="32"/>
          <w:szCs w:val="32"/>
          <w:lang w:val="en-US" w:eastAsia="zh-CN"/>
        </w:rPr>
        <w:t>202</w:t>
      </w:r>
      <w:r>
        <w:rPr>
          <w:rFonts w:hint="eastAsia" w:ascii="Times New Roman" w:hAnsi="Times New Roman" w:eastAsia="楷体_GB2312" w:cs="Times New Roman"/>
          <w:sz w:val="32"/>
          <w:szCs w:val="32"/>
          <w:lang w:val="en-US" w:eastAsia="zh-CN"/>
        </w:rPr>
        <w:t>3</w:t>
      </w:r>
      <w:r>
        <w:rPr>
          <w:rFonts w:hint="eastAsia" w:ascii="楷体_GB2312" w:hAnsi="楷体_GB2312" w:eastAsia="楷体_GB2312" w:cs="楷体_GB2312"/>
          <w:sz w:val="32"/>
          <w:szCs w:val="32"/>
        </w:rPr>
        <w:t>年政府性基金预算“三公”经费预算数为</w:t>
      </w:r>
      <w:r>
        <w:rPr>
          <w:rFonts w:hint="default" w:ascii="Times New Roman" w:hAnsi="Times New Roman" w:eastAsia="楷体_GB2312" w:cs="Times New Roman"/>
          <w:sz w:val="32"/>
          <w:szCs w:val="32"/>
          <w:lang w:val="en-US" w:eastAsia="zh-CN"/>
        </w:rPr>
        <w:t>0</w:t>
      </w:r>
      <w:r>
        <w:rPr>
          <w:rFonts w:hint="eastAsia" w:ascii="楷体_GB2312" w:hAnsi="楷体_GB2312" w:eastAsia="楷体_GB2312" w:cs="楷体_GB2312"/>
          <w:sz w:val="32"/>
          <w:szCs w:val="32"/>
        </w:rPr>
        <w:t>万元，其中：</w:t>
      </w:r>
    </w:p>
    <w:p>
      <w:pPr>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 xml:space="preserve"> </w:t>
      </w:r>
      <w:r>
        <w:rPr>
          <w:rFonts w:ascii="Times New Roman" w:hAnsi="Times New Roman" w:eastAsia="仿宋_GB2312" w:cs="Times New Roman"/>
          <w:sz w:val="32"/>
          <w:shd w:val="clear" w:color="auto" w:fill="FFFFFF"/>
        </w:rPr>
        <w:t xml:space="preserve"> 因公出国（境）经费</w:t>
      </w:r>
      <w:r>
        <w:rPr>
          <w:rFonts w:hint="default" w:ascii="Times New Roman" w:hAnsi="Times New Roman" w:eastAsia="仿宋_GB2312" w:cs="Times New Roman"/>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主要原因为近两年本单位无</w:t>
      </w:r>
      <w:r>
        <w:rPr>
          <w:rFonts w:hint="eastAsia" w:ascii="楷体_GB2312" w:hAnsi="楷体_GB2312" w:eastAsia="楷体_GB2312" w:cs="楷体_GB2312"/>
          <w:sz w:val="32"/>
          <w:szCs w:val="32"/>
        </w:rPr>
        <w:t>政府性基金预算“三公”经费预算数</w:t>
      </w:r>
      <w:r>
        <w:rPr>
          <w:rFonts w:hint="eastAsia" w:ascii="楷体_GB2312" w:hAnsi="楷体_GB2312" w:eastAsia="楷体_GB2312" w:cs="楷体_GB2312"/>
          <w:sz w:val="32"/>
          <w:szCs w:val="32"/>
          <w:lang w:eastAsia="zh-CN"/>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val="en-US" w:eastAsia="zh-CN"/>
        </w:rPr>
        <w:t>三亚市土地储备开发中心</w:t>
      </w:r>
      <w:r>
        <w:rPr>
          <w:rFonts w:ascii="Times New Roman" w:hAnsi="Times New Roman" w:eastAsia="仿宋_GB2312" w:cs="Times New Roman"/>
          <w:sz w:val="32"/>
          <w:shd w:val="clear" w:color="auto" w:fill="FFFFFF"/>
        </w:rPr>
        <w:t>安排的</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lang w:val="en-US" w:eastAsia="zh-CN"/>
        </w:rPr>
        <w:t>0</w:t>
      </w:r>
      <w:r>
        <w:rPr>
          <w:rFonts w:ascii="Times New Roman" w:hAnsi="Times New Roman" w:eastAsia="仿宋_GB2312" w:cs="Times New Roman"/>
          <w:sz w:val="32"/>
          <w:shd w:val="clear" w:color="auto" w:fill="FFFFFF"/>
        </w:rPr>
        <w:t>次，出国（境）</w:t>
      </w:r>
      <w:r>
        <w:rPr>
          <w:rFonts w:hint="default" w:ascii="Times New Roman" w:hAnsi="Times New Roman" w:eastAsia="仿宋_GB2312" w:cs="Times New Roman"/>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default" w:ascii="Times New Roman" w:hAnsi="Times New Roman" w:eastAsia="仿宋_GB2312" w:cs="Times New Roman"/>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default" w:ascii="Times New Roman" w:hAnsi="Times New Roman" w:eastAsia="仿宋_GB2312" w:cs="Times New Roman"/>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default" w:ascii="Times New Roman" w:hAnsi="Times New Roman" w:eastAsia="仿宋_GB2312" w:cs="Times New Roman"/>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default" w:ascii="Times New Roman" w:hAnsi="Times New Roman" w:eastAsia="仿宋_GB2312" w:cs="Times New Roman"/>
          <w:sz w:val="32"/>
          <w:szCs w:val="32"/>
          <w:lang w:val="en-US" w:eastAsia="zh-CN"/>
        </w:rPr>
        <w:t>0</w:t>
      </w:r>
      <w:r>
        <w:rPr>
          <w:rFonts w:hint="eastAsia" w:ascii="仿宋_GB2312" w:hAnsi="黑体" w:eastAsia="仿宋_GB2312" w:cs="仿宋_GB2312"/>
          <w:sz w:val="32"/>
          <w:szCs w:val="32"/>
        </w:rPr>
        <w:t>辆，计划购置</w:t>
      </w:r>
      <w:r>
        <w:rPr>
          <w:rFonts w:hint="default" w:ascii="Times New Roman" w:hAnsi="Times New Roman" w:eastAsia="仿宋_GB2312" w:cs="Times New Roman"/>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default" w:ascii="Times New Roman" w:hAnsi="Times New Roman" w:eastAsia="仿宋_GB2312" w:cs="Times New Roman"/>
          <w:sz w:val="32"/>
          <w:szCs w:val="32"/>
          <w:lang w:val="en-US" w:eastAsia="zh-CN"/>
        </w:rPr>
        <w:t>0</w:t>
      </w:r>
      <w:r>
        <w:rPr>
          <w:rFonts w:hint="eastAsia" w:ascii="仿宋_GB2312" w:hAnsi="黑体" w:eastAsia="仿宋_GB2312" w:cs="仿宋_GB2312"/>
          <w:sz w:val="32"/>
          <w:szCs w:val="32"/>
        </w:rPr>
        <w:t>批</w:t>
      </w:r>
      <w:r>
        <w:rPr>
          <w:rFonts w:hint="default" w:ascii="Times New Roman" w:hAnsi="Times New Roman" w:eastAsia="仿宋_GB2312" w:cs="Times New Roman"/>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numPr>
          <w:ilvl w:val="0"/>
          <w:numId w:val="7"/>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Times New Roman"/>
          <w:sz w:val="32"/>
          <w:shd w:val="clear" w:color="auto" w:fill="FFFFFF"/>
          <w:lang w:eastAsia="zh-CN"/>
        </w:rPr>
        <w:t>三亚市土地储备开发中心</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numPr>
          <w:ilvl w:val="0"/>
          <w:numId w:val="0"/>
        </w:numPr>
        <w:rPr>
          <w:rFonts w:hint="eastAsia" w:ascii="黑体" w:hAnsi="黑体" w:eastAsia="黑体" w:cs="Times New Roman"/>
          <w:sz w:val="32"/>
          <w:shd w:val="clear" w:color="auto" w:fill="FFFFFF"/>
          <w:lang w:val="en-US" w:eastAsia="zh-CN"/>
        </w:rPr>
      </w:pPr>
      <w:r>
        <w:rPr>
          <w:rFonts w:hint="eastAsia" w:ascii="黑体" w:hAnsi="黑体" w:eastAsia="黑体" w:cs="Times New Roman"/>
          <w:sz w:val="32"/>
          <w:shd w:val="clear" w:color="auto" w:fill="FFFFFF"/>
          <w:lang w:val="en-US" w:eastAsia="zh-CN"/>
        </w:rPr>
        <w:t xml:space="preserve">   </w:t>
      </w: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年政府性基金预算当年拨款</w:t>
      </w:r>
      <w:r>
        <w:rPr>
          <w:rFonts w:hint="eastAsia" w:ascii="仿宋_GB2312" w:hAnsi="黑体" w:eastAsia="仿宋_GB2312" w:cs="仿宋_GB2312"/>
          <w:sz w:val="32"/>
          <w:szCs w:val="32"/>
          <w:lang w:eastAsia="zh-CN"/>
        </w:rPr>
        <w:t>为</w:t>
      </w:r>
      <w:r>
        <w:rPr>
          <w:rFonts w:hint="eastAsia" w:ascii="仿宋_GB2312" w:hAnsi="黑体" w:eastAsia="仿宋_GB2312" w:cs="仿宋_GB2312"/>
          <w:sz w:val="32"/>
          <w:szCs w:val="32"/>
          <w:lang w:val="en-US" w:eastAsia="zh-CN"/>
        </w:rPr>
        <w:t>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三亚市土地储备开发中心</w:t>
      </w:r>
      <w:r>
        <w:rPr>
          <w:rFonts w:hint="eastAsia" w:ascii="黑体" w:hAnsi="黑体" w:eastAsia="黑体" w:cs="Times New Roman"/>
          <w:sz w:val="32"/>
          <w:shd w:val="clear" w:color="auto" w:fill="FFFFFF"/>
          <w:lang w:val="en-US" w:eastAsia="zh-CN"/>
        </w:rPr>
        <w:t>2023</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rPr>
        <w:t>所有收入和支出均纳入部门预算管理。收入包括：</w:t>
      </w:r>
      <w:r>
        <w:rPr>
          <w:rFonts w:hint="eastAsia" w:ascii="仿宋_GB2312" w:hAnsi="黑体" w:eastAsia="仿宋_GB2312" w:cs="仿宋_GB2312"/>
          <w:sz w:val="32"/>
          <w:szCs w:val="32"/>
          <w:lang w:eastAsia="zh-CN"/>
        </w:rPr>
        <w:t>一般公共预算收入、上年结转</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eastAsia="zh-CN"/>
        </w:rPr>
        <w:t>、卫生健康支出、自然资源海洋气象等支出、住房保障支出、结转下年</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8116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三亚市土地储备开发中心2023</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8116</w:t>
      </w:r>
      <w:r>
        <w:rPr>
          <w:rFonts w:hint="eastAsia" w:ascii="仿宋_GB2312" w:hAnsi="黑体" w:eastAsia="仿宋_GB2312"/>
          <w:sz w:val="32"/>
          <w:szCs w:val="32"/>
        </w:rPr>
        <w:t>万元，其中：</w:t>
      </w:r>
      <w:r>
        <w:rPr>
          <w:rFonts w:hint="eastAsia" w:ascii="仿宋_GB2312" w:hAnsi="黑体" w:eastAsia="仿宋_GB2312"/>
          <w:sz w:val="32"/>
          <w:szCs w:val="32"/>
          <w:lang w:eastAsia="zh-CN"/>
        </w:rPr>
        <w:t>一般公共预算收入为</w:t>
      </w:r>
      <w:r>
        <w:rPr>
          <w:rFonts w:hint="eastAsia" w:ascii="仿宋_GB2312" w:hAnsi="黑体" w:eastAsia="仿宋_GB2312"/>
          <w:sz w:val="32"/>
          <w:szCs w:val="32"/>
          <w:lang w:val="en-US" w:eastAsia="zh-CN"/>
        </w:rPr>
        <w:t>7266万元，占89.53%；</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850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10.47</w:t>
      </w:r>
      <w:r>
        <w:rPr>
          <w:rFonts w:hint="eastAsia" w:ascii="仿宋_GB2312" w:hAnsi="黑体" w:eastAsia="仿宋_GB2312"/>
          <w:sz w:val="32"/>
          <w:szCs w:val="32"/>
        </w:rPr>
        <w:t>%</w:t>
      </w:r>
      <w:r>
        <w:rPr>
          <w:rFonts w:hint="eastAsia" w:ascii="仿宋_GB2312" w:hAnsi="黑体" w:eastAsia="仿宋_GB2312"/>
          <w:sz w:val="32"/>
          <w:szCs w:val="32"/>
          <w:lang w:eastAsia="zh-CN"/>
        </w:rPr>
        <w:t>。比</w:t>
      </w:r>
      <w:r>
        <w:rPr>
          <w:rFonts w:hint="eastAsia" w:ascii="仿宋_GB2312" w:hAnsi="黑体" w:eastAsia="仿宋_GB2312" w:cs="仿宋_GB2312"/>
          <w:sz w:val="32"/>
          <w:szCs w:val="32"/>
          <w:lang w:val="en-US" w:eastAsia="zh-CN"/>
        </w:rPr>
        <w:t>上年预算数增加7266万元，主要是今年增加土地收储相关费用预算收入</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三亚市土地储备开发中心</w:t>
      </w:r>
      <w:r>
        <w:rPr>
          <w:rFonts w:hint="eastAsia" w:ascii="黑体" w:hAnsi="黑体" w:eastAsia="黑体" w:cs="Times New Roman"/>
          <w:sz w:val="32"/>
          <w:shd w:val="clear" w:color="auto" w:fill="FFFFFF"/>
          <w:lang w:val="en-US" w:eastAsia="zh-CN"/>
        </w:rPr>
        <w:t>2023</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8116</w:t>
      </w:r>
      <w:r>
        <w:rPr>
          <w:rFonts w:hint="eastAsia" w:ascii="仿宋_GB2312" w:hAnsi="黑体" w:eastAsia="仿宋_GB2312"/>
          <w:sz w:val="32"/>
          <w:szCs w:val="32"/>
        </w:rPr>
        <w:t>万元，其中：基本支出</w:t>
      </w:r>
      <w:r>
        <w:rPr>
          <w:rFonts w:hint="eastAsia" w:ascii="仿宋_GB2312" w:hAnsi="黑体" w:eastAsia="仿宋_GB2312"/>
          <w:sz w:val="32"/>
          <w:szCs w:val="32"/>
          <w:lang w:eastAsia="zh-CN"/>
        </w:rPr>
        <w:t>为</w:t>
      </w:r>
      <w:r>
        <w:rPr>
          <w:rFonts w:hint="eastAsia" w:ascii="仿宋_GB2312" w:hAnsi="黑体" w:eastAsia="仿宋_GB2312" w:cs="仿宋_GB2312"/>
          <w:sz w:val="32"/>
          <w:szCs w:val="32"/>
          <w:lang w:val="en-US" w:eastAsia="zh-CN"/>
        </w:rPr>
        <w:t>786.81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w:t>
      </w:r>
      <w:r>
        <w:rPr>
          <w:rFonts w:hint="eastAsia" w:ascii="仿宋_GB2312" w:hAnsi="黑体" w:eastAsia="仿宋_GB2312"/>
          <w:sz w:val="32"/>
          <w:szCs w:val="32"/>
        </w:rPr>
        <w:t>%；</w:t>
      </w:r>
      <w:r>
        <w:rPr>
          <w:rFonts w:hint="eastAsia" w:ascii="仿宋_GB2312" w:hAnsi="黑体" w:eastAsia="仿宋_GB2312"/>
          <w:sz w:val="32"/>
          <w:szCs w:val="32"/>
          <w:lang w:eastAsia="zh-CN"/>
        </w:rPr>
        <w:t>项目支出为</w:t>
      </w:r>
      <w:r>
        <w:rPr>
          <w:rFonts w:hint="eastAsia" w:ascii="仿宋_GB2312" w:hAnsi="黑体" w:eastAsia="仿宋_GB2312"/>
          <w:sz w:val="32"/>
          <w:szCs w:val="32"/>
          <w:lang w:val="en-US" w:eastAsia="zh-CN"/>
        </w:rPr>
        <w:t>7266万元，占89.53%；结转下年为63.19万元，占0.77%。</w:t>
      </w:r>
      <w:r>
        <w:rPr>
          <w:rFonts w:hint="eastAsia" w:ascii="仿宋_GB2312" w:hAnsi="黑体" w:eastAsia="仿宋_GB2312"/>
          <w:sz w:val="32"/>
          <w:szCs w:val="32"/>
          <w:lang w:eastAsia="zh-CN"/>
        </w:rPr>
        <w:t>比上年预算增加</w:t>
      </w:r>
      <w:r>
        <w:rPr>
          <w:rFonts w:hint="eastAsia" w:ascii="仿宋_GB2312" w:hAnsi="黑体" w:eastAsia="仿宋_GB2312"/>
          <w:sz w:val="32"/>
          <w:szCs w:val="32"/>
          <w:lang w:val="en-US" w:eastAsia="zh-CN"/>
        </w:rPr>
        <w:t>7216万元，主要是</w:t>
      </w:r>
      <w:r>
        <w:rPr>
          <w:rFonts w:hint="eastAsia" w:ascii="仿宋_GB2312" w:hAnsi="黑体" w:eastAsia="仿宋_GB2312" w:cs="仿宋_GB2312"/>
          <w:sz w:val="32"/>
          <w:szCs w:val="32"/>
          <w:lang w:val="en-US" w:eastAsia="zh-CN"/>
        </w:rPr>
        <w:t>今年增加土地收储相关费用预算支出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一</w:t>
      </w:r>
      <w:r>
        <w:rPr>
          <w:rFonts w:hint="eastAsia" w:ascii="楷体" w:hAnsi="楷体" w:eastAsia="楷体"/>
          <w:sz w:val="32"/>
          <w:szCs w:val="32"/>
        </w:rPr>
        <w:t>）政府采购情况</w:t>
      </w:r>
    </w:p>
    <w:p>
      <w:pPr>
        <w:ind w:firstLine="64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为0</w:t>
      </w:r>
      <w:r>
        <w:rPr>
          <w:rFonts w:hint="eastAsia" w:ascii="仿宋_GB2312" w:hAnsi="黑体" w:eastAsia="仿宋_GB2312"/>
          <w:sz w:val="32"/>
          <w:szCs w:val="32"/>
        </w:rPr>
        <w:t>万元，其中：</w:t>
      </w:r>
      <w:r>
        <w:rPr>
          <w:rFonts w:hint="eastAsia" w:ascii="仿宋_GB2312" w:hAnsi="黑体" w:eastAsia="仿宋_GB2312"/>
          <w:sz w:val="32"/>
          <w:szCs w:val="32"/>
          <w:lang w:eastAsia="zh-CN"/>
        </w:rPr>
        <w:t>政府采购办公设备预算为</w:t>
      </w:r>
      <w:r>
        <w:rPr>
          <w:rFonts w:hint="eastAsia" w:ascii="仿宋_GB2312" w:hAnsi="黑体" w:eastAsia="仿宋_GB2312"/>
          <w:sz w:val="32"/>
          <w:szCs w:val="32"/>
          <w:lang w:val="en-US" w:eastAsia="zh-CN"/>
        </w:rPr>
        <w:t>0万元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）国有资产占有使用情况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三亚市土地储备开发中心</w:t>
      </w:r>
      <w:r>
        <w:rPr>
          <w:rFonts w:hint="eastAsia" w:ascii="仿宋_GB2312" w:hAnsi="黑体" w:eastAsia="仿宋_GB2312" w:cs="仿宋_GB2312"/>
          <w:sz w:val="32"/>
          <w:szCs w:val="32"/>
        </w:rPr>
        <w:t>本级预算单位有车辆</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辆，其中，其他用车</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车辆价值总计为</w:t>
      </w:r>
      <w:r>
        <w:rPr>
          <w:rFonts w:hint="eastAsia" w:ascii="仿宋_GB2312" w:hAnsi="黑体" w:eastAsia="仿宋_GB2312" w:cs="仿宋_GB2312"/>
          <w:sz w:val="32"/>
          <w:szCs w:val="32"/>
          <w:lang w:val="en-US" w:eastAsia="zh-CN"/>
        </w:rPr>
        <w:t>84.18万元。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）绩效目标设置情况</w:t>
      </w:r>
    </w:p>
    <w:p>
      <w:pPr>
        <w:ind w:firstLine="640" w:firstLineChars="200"/>
        <w:rPr>
          <w:rFonts w:hint="default" w:ascii="仿宋_GB2312" w:hAnsi="黑体" w:eastAsia="仿宋_GB2312" w:cs="仿宋_GB2312"/>
          <w:sz w:val="32"/>
          <w:szCs w:val="32"/>
          <w:u w:val="none"/>
          <w:lang w:val="en-US"/>
        </w:rPr>
      </w:pPr>
      <w:r>
        <w:rPr>
          <w:rFonts w:hint="default" w:ascii="Times New Roman" w:hAnsi="Times New Roman" w:eastAsia="仿宋_GB2312" w:cs="Times New Roman"/>
          <w:sz w:val="32"/>
          <w:szCs w:val="32"/>
          <w:lang w:val="en-US" w:eastAsia="zh-CN"/>
        </w:rPr>
        <w:t>20</w:t>
      </w:r>
      <w:r>
        <w:rPr>
          <w:rFonts w:hint="eastAsia" w:ascii="Times New Roman" w:hAnsi="Times New Roman" w:eastAsia="仿宋_GB2312" w:cs="Times New Roman"/>
          <w:sz w:val="32"/>
          <w:szCs w:val="32"/>
          <w:lang w:val="en-US" w:eastAsia="zh-CN"/>
        </w:rPr>
        <w:t>23</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三亚市土地储备开发中心</w:t>
      </w:r>
      <w:r>
        <w:rPr>
          <w:rFonts w:hint="eastAsia" w:ascii="Times New Roman" w:hAnsi="Times New Roman" w:eastAsia="仿宋_GB2312" w:cs="Times New Roman"/>
          <w:sz w:val="32"/>
          <w:szCs w:val="32"/>
          <w:lang w:val="en-US" w:eastAsia="zh-CN"/>
        </w:rPr>
        <w:t>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eastAsia="zh-CN"/>
        </w:rPr>
        <w:t>为</w:t>
      </w:r>
      <w:r>
        <w:rPr>
          <w:rFonts w:hint="eastAsia" w:ascii="Times New Roman" w:hAnsi="Times New Roman" w:eastAsia="仿宋_GB2312" w:cs="Times New Roman"/>
          <w:sz w:val="32"/>
          <w:szCs w:val="32"/>
          <w:lang w:val="en-US" w:eastAsia="zh-CN"/>
        </w:rPr>
        <w:t>7266</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7个项目分别为土壤污染现状调查、农转用勘测定界项目、使用林地可行性报告编制、森林植被恢复项目、储备土地相关税金和费用项目、耕地开垦费项目和土地储备专项资金项目。上述项目设置绩效目标情况均为按时限时完成土壤污染现状调查、农转用勘测定界工作、使用林地可行性报告编制、森林植被恢复工作、缴纳储备土地相关税金和费用、缴纳耕地开垦费和及时完成土地征收工作。使2023年度增加土地收储量达到3000亩，增加土地出让金收入60亿元。</w:t>
      </w:r>
      <w:bookmarkStart w:id="0" w:name="_GoBack"/>
      <w:bookmarkEnd w:id="0"/>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w:t>
      </w:r>
      <w:r>
        <w:rPr>
          <w:rFonts w:hint="eastAsia" w:ascii="仿宋_GB2312" w:hAnsi="宋体" w:eastAsia="仿宋_GB2312" w:cs="宋体"/>
          <w:color w:val="000000"/>
          <w:kern w:val="0"/>
          <w:sz w:val="32"/>
          <w:szCs w:val="30"/>
          <w:lang w:eastAsia="zh-CN"/>
        </w:rPr>
        <w:t>事业</w:t>
      </w:r>
      <w:r>
        <w:rPr>
          <w:rFonts w:hint="eastAsia" w:ascii="仿宋_GB2312" w:hAnsi="宋体" w:eastAsia="仿宋_GB2312" w:cs="宋体"/>
          <w:color w:val="000000"/>
          <w:kern w:val="0"/>
          <w:sz w:val="32"/>
          <w:szCs w:val="30"/>
        </w:rPr>
        <w:t>运行经费：为保障</w:t>
      </w:r>
      <w:r>
        <w:rPr>
          <w:rFonts w:hint="eastAsia" w:ascii="仿宋_GB2312" w:hAnsi="宋体" w:eastAsia="仿宋_GB2312" w:cs="宋体"/>
          <w:color w:val="000000"/>
          <w:kern w:val="0"/>
          <w:sz w:val="32"/>
          <w:szCs w:val="30"/>
          <w:lang w:eastAsia="zh-CN"/>
        </w:rPr>
        <w:t>事业</w:t>
      </w:r>
      <w:r>
        <w:rPr>
          <w:rFonts w:hint="eastAsia" w:ascii="仿宋_GB2312" w:hAnsi="宋体" w:eastAsia="仿宋_GB2312" w:cs="宋体"/>
          <w:color w:val="000000"/>
          <w:kern w:val="0"/>
          <w:sz w:val="32"/>
          <w:szCs w:val="30"/>
        </w:rPr>
        <w:t>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2AB157"/>
    <w:multiLevelType w:val="singleLevel"/>
    <w:tmpl w:val="5A2AB157"/>
    <w:lvl w:ilvl="0" w:tentative="0">
      <w:start w:val="2"/>
      <w:numFmt w:val="chineseCounting"/>
      <w:suff w:val="space"/>
      <w:lvlText w:val="第%1部分"/>
      <w:lvlJc w:val="left"/>
      <w:rPr>
        <w:rFonts w:hint="eastAsia"/>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49C65A"/>
    <w:multiLevelType w:val="singleLevel"/>
    <w:tmpl w:val="6049C65A"/>
    <w:lvl w:ilvl="0" w:tentative="0">
      <w:start w:val="2"/>
      <w:numFmt w:val="chineseCounting"/>
      <w:suff w:val="nothing"/>
      <w:lvlText w:val="%1、"/>
      <w:lvlJc w:val="left"/>
    </w:lvl>
  </w:abstractNum>
  <w:abstractNum w:abstractNumId="5">
    <w:nsid w:val="6049C7A9"/>
    <w:multiLevelType w:val="singleLevel"/>
    <w:tmpl w:val="6049C7A9"/>
    <w:lvl w:ilvl="0" w:tentative="0">
      <w:start w:val="5"/>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3"/>
  </w:num>
  <w:num w:numId="4">
    <w:abstractNumId w:val="6"/>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1OTBhNDhlZTU2YmIxYzVlYzliZTA3ZmNiMTJiZTYifQ=="/>
  </w:docVars>
  <w:rsids>
    <w:rsidRoot w:val="3B105C7D"/>
    <w:rsid w:val="00470F18"/>
    <w:rsid w:val="00886105"/>
    <w:rsid w:val="008F211F"/>
    <w:rsid w:val="021E2D72"/>
    <w:rsid w:val="032700B1"/>
    <w:rsid w:val="0342075F"/>
    <w:rsid w:val="050139AA"/>
    <w:rsid w:val="052947EB"/>
    <w:rsid w:val="052B41A1"/>
    <w:rsid w:val="058A4E4E"/>
    <w:rsid w:val="07716517"/>
    <w:rsid w:val="07E73498"/>
    <w:rsid w:val="09000221"/>
    <w:rsid w:val="0A49583C"/>
    <w:rsid w:val="0A922CED"/>
    <w:rsid w:val="0B462432"/>
    <w:rsid w:val="0BB74548"/>
    <w:rsid w:val="0C0918E7"/>
    <w:rsid w:val="0E954A73"/>
    <w:rsid w:val="0F486942"/>
    <w:rsid w:val="1032270C"/>
    <w:rsid w:val="11AE4D0E"/>
    <w:rsid w:val="11F2116E"/>
    <w:rsid w:val="132B77F5"/>
    <w:rsid w:val="134472A2"/>
    <w:rsid w:val="13FD1683"/>
    <w:rsid w:val="15A83DD6"/>
    <w:rsid w:val="190D17E3"/>
    <w:rsid w:val="19A93B33"/>
    <w:rsid w:val="19B45A75"/>
    <w:rsid w:val="19DC5CD3"/>
    <w:rsid w:val="1A1313E7"/>
    <w:rsid w:val="1DA25D9C"/>
    <w:rsid w:val="1FEC039B"/>
    <w:rsid w:val="2237532A"/>
    <w:rsid w:val="233F1ADA"/>
    <w:rsid w:val="23A81C78"/>
    <w:rsid w:val="25906417"/>
    <w:rsid w:val="25B03B64"/>
    <w:rsid w:val="26D738BF"/>
    <w:rsid w:val="2747374C"/>
    <w:rsid w:val="2AE93B65"/>
    <w:rsid w:val="2E5B3FED"/>
    <w:rsid w:val="38CB4B91"/>
    <w:rsid w:val="391B5DA5"/>
    <w:rsid w:val="39797DD1"/>
    <w:rsid w:val="39EB4D8D"/>
    <w:rsid w:val="3B105C7D"/>
    <w:rsid w:val="3B363DEC"/>
    <w:rsid w:val="3B5A1CD9"/>
    <w:rsid w:val="3B6A68F0"/>
    <w:rsid w:val="3C8C2F1E"/>
    <w:rsid w:val="3CB700E1"/>
    <w:rsid w:val="3D230842"/>
    <w:rsid w:val="3E335B0B"/>
    <w:rsid w:val="411D2E03"/>
    <w:rsid w:val="425C40B2"/>
    <w:rsid w:val="426D7D09"/>
    <w:rsid w:val="446D485F"/>
    <w:rsid w:val="47BC4D2D"/>
    <w:rsid w:val="481707E5"/>
    <w:rsid w:val="4897633E"/>
    <w:rsid w:val="48F67C52"/>
    <w:rsid w:val="4A69232E"/>
    <w:rsid w:val="4A6E6BD4"/>
    <w:rsid w:val="4B7F56E0"/>
    <w:rsid w:val="4DCA24FC"/>
    <w:rsid w:val="4EC42AF8"/>
    <w:rsid w:val="4F372D3B"/>
    <w:rsid w:val="4F9442F8"/>
    <w:rsid w:val="506808D6"/>
    <w:rsid w:val="50C40589"/>
    <w:rsid w:val="511A121C"/>
    <w:rsid w:val="517F7307"/>
    <w:rsid w:val="52E8709F"/>
    <w:rsid w:val="53587A55"/>
    <w:rsid w:val="53784EA9"/>
    <w:rsid w:val="54823D03"/>
    <w:rsid w:val="54F12D51"/>
    <w:rsid w:val="574363FA"/>
    <w:rsid w:val="579E6E20"/>
    <w:rsid w:val="581D0E97"/>
    <w:rsid w:val="58620E89"/>
    <w:rsid w:val="586C6306"/>
    <w:rsid w:val="592B7A71"/>
    <w:rsid w:val="59705080"/>
    <w:rsid w:val="59AF56A3"/>
    <w:rsid w:val="5B955B74"/>
    <w:rsid w:val="5D7A4054"/>
    <w:rsid w:val="5DD77278"/>
    <w:rsid w:val="5EA313C1"/>
    <w:rsid w:val="6014600E"/>
    <w:rsid w:val="606D5BA2"/>
    <w:rsid w:val="61384E8C"/>
    <w:rsid w:val="61934B76"/>
    <w:rsid w:val="654F39EC"/>
    <w:rsid w:val="65582D92"/>
    <w:rsid w:val="66484743"/>
    <w:rsid w:val="667445D0"/>
    <w:rsid w:val="68227300"/>
    <w:rsid w:val="68334BDE"/>
    <w:rsid w:val="68343D61"/>
    <w:rsid w:val="68DE1E33"/>
    <w:rsid w:val="6CB36011"/>
    <w:rsid w:val="6CB509B7"/>
    <w:rsid w:val="6E007400"/>
    <w:rsid w:val="6E084BF2"/>
    <w:rsid w:val="6FB606FE"/>
    <w:rsid w:val="70596334"/>
    <w:rsid w:val="70AB1C6A"/>
    <w:rsid w:val="72A135F5"/>
    <w:rsid w:val="74643BCA"/>
    <w:rsid w:val="7466144E"/>
    <w:rsid w:val="75394550"/>
    <w:rsid w:val="75902625"/>
    <w:rsid w:val="76F01360"/>
    <w:rsid w:val="77335BF5"/>
    <w:rsid w:val="78057EE7"/>
    <w:rsid w:val="785A3C0F"/>
    <w:rsid w:val="78734196"/>
    <w:rsid w:val="78A72CB6"/>
    <w:rsid w:val="79312F28"/>
    <w:rsid w:val="795D3D1D"/>
    <w:rsid w:val="7D0E4EF7"/>
    <w:rsid w:val="7DB41098"/>
    <w:rsid w:val="7DC223A1"/>
    <w:rsid w:val="7E9A67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msonospacing"/>
    <w:basedOn w:val="1"/>
    <w:qFormat/>
    <w:uiPriority w:val="0"/>
    <w:pPr>
      <w:widowControl/>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3945</Words>
  <Characters>4167</Characters>
  <Lines>0</Lines>
  <Paragraphs>0</Paragraphs>
  <TotalTime>16</TotalTime>
  <ScaleCrop>false</ScaleCrop>
  <LinksUpToDate>false</LinksUpToDate>
  <CharactersWithSpaces>4222</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2021-03-11T07:26:00Z</dcterms:created>
  <dc:creator>Administrator</dc:creator>
  <cp:lastModifiedBy>Administrator</cp:lastModifiedBy>
  <dcterms:modified xsi:type="dcterms:W3CDTF">2024-07-17T08:09:00Z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3E65DC52D61D486188E6F3A652093F22_12</vt:lpwstr>
  </property>
</Properties>
</file>