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中共三亚市委宣传部</w:t>
      </w: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中共三亚市委宣传部部门</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预算构成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黑体" w:hAnsi="黑体" w:eastAsia="黑体"/>
          <w:sz w:val="32"/>
          <w:szCs w:val="32"/>
          <w:lang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（一）贯彻执行中央、省委有关宣传和新闻发布工作的方针政策；拟定并组织实施全市宣传工作的发展规划与计划。</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（二）加强对意识形态领域工作的指导与协调，开展调查研究，掌握社会思想动态，负责全市社会宣传工作。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（三）负责指导全市理论研究、理论学习、理论宣传和理论教育工作。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（四）负责引导社会舆论，坚持正确的舆论导向，指导、协调全市各新闻</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的工作，对三亚日报社、三亚广播电视台的工作实施方针、政策上的指导。</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（五）负责从宏观上指导全市精神产品的生产；联系市文化广电出版体育局、市文联、市社科联，并在政治方向和方针政策方面实施领导。</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（六）负责拟定并组织实施全市精神文明建设总体规划；协调、指导全市开展精神文明建设、军（警）民共建活动；对全市的精神文明建设工作进行检查、督促和评比。</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（七）负责全市的对外宣传工作，指导和协调各有关</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做好对外宣传工作；负责全市网络宣传和网络舆情管理工作。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（八）负责规划、部署全市的思想政治工作任务；配合市委组织部做好党员教育工作；指导协调各区各</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开展国防教育。</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（九）负责贯彻落实中央和省、市关于文化产业发展的法律、法规和方针政策；负责全市文化体制改革和文化产业发展的日常工作；管理文化产业发展专项资金。</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（十）负责全市党报党刊发行工作。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（十一）负责全市宣传系统工作人员的教育培训工作。按有关规定，负责对三亚日报社和三亚广播电视台科级领导干部的任免备案。</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（十二）承办市委和上级</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交办的工作；检查指导各区宣传、思想、精神文明建设等工作。</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（十三）检查指导各区宣传、思想、精神文明建设等工作。</w:t>
      </w: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二、部门</w:t>
      </w:r>
      <w:r>
        <w:rPr>
          <w:rFonts w:hint="eastAsia" w:ascii="黑体" w:hAnsi="黑体" w:eastAsia="黑体" w:cs="仿宋_GB2312"/>
          <w:sz w:val="32"/>
          <w:szCs w:val="32"/>
        </w:rPr>
        <w:t>预算构成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预算编制范围的二级预算</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包括：</w:t>
      </w:r>
    </w:p>
    <w:p>
      <w:pPr>
        <w:pStyle w:val="7"/>
        <w:numPr>
          <w:ilvl w:val="-1"/>
          <w:numId w:val="0"/>
        </w:numPr>
        <w:ind w:left="0" w:firstLine="640" w:firstLineChars="0"/>
        <w:jc w:val="left"/>
        <w:rPr>
          <w:rFonts w:hint="eastAsia" w:ascii="仿宋_GB2312" w:eastAsia="仿宋_GB2312"/>
          <w:sz w:val="32"/>
          <w:szCs w:val="32"/>
        </w:rPr>
      </w:pPr>
      <w:r>
        <w:rPr>
          <w:rFonts w:hint="eastAsia" w:ascii="仿宋_GB2312" w:hAnsi="黑体" w:eastAsia="仿宋_GB2312" w:cs="仿宋_GB2312"/>
          <w:sz w:val="32"/>
          <w:szCs w:val="32"/>
        </w:rPr>
        <w:t>中共三亚市委宣传部本级，</w:t>
      </w:r>
      <w:r>
        <w:rPr>
          <w:rFonts w:hint="eastAsia" w:ascii="仿宋_GB2312" w:eastAsia="仿宋_GB2312"/>
          <w:sz w:val="32"/>
          <w:szCs w:val="32"/>
        </w:rPr>
        <w:t>没有二级预算</w:t>
      </w:r>
      <w:r>
        <w:rPr>
          <w:rFonts w:hint="eastAsia" w:ascii="仿宋_GB2312" w:eastAsia="仿宋_GB2312"/>
          <w:sz w:val="32"/>
          <w:szCs w:val="32"/>
          <w:lang w:eastAsia="zh-CN"/>
        </w:rPr>
        <w:t>部门</w:t>
      </w:r>
      <w:r>
        <w:rPr>
          <w:rFonts w:hint="eastAsia" w:ascii="仿宋_GB2312" w:eastAsia="仿宋_GB2312"/>
          <w:sz w:val="32"/>
          <w:szCs w:val="32"/>
        </w:rPr>
        <w:t>。</w:t>
      </w:r>
    </w:p>
    <w:p>
      <w:pPr>
        <w:pStyle w:val="7"/>
        <w:numPr>
          <w:ilvl w:val="-1"/>
          <w:numId w:val="0"/>
        </w:numPr>
        <w:ind w:left="0" w:firstLine="640" w:firstLineChars="0"/>
        <w:jc w:val="left"/>
        <w:rPr>
          <w:rFonts w:hint="eastAsia" w:ascii="仿宋_GB2312" w:hAnsi="仿宋_GB2312" w:eastAsia="仿宋_GB2312" w:cs="仿宋_GB2312"/>
          <w:b w:val="0"/>
          <w:color w:val="auto"/>
          <w:kern w:val="2"/>
          <w:sz w:val="32"/>
          <w:szCs w:val="32"/>
          <w:lang w:val="en-US" w:eastAsia="zh-CN" w:bidi="ar-SA"/>
        </w:rPr>
      </w:pPr>
      <w:r>
        <w:rPr>
          <w:rFonts w:hint="eastAsia" w:ascii="仿宋_GB2312" w:eastAsia="仿宋_GB2312" w:cs="仿宋_GB2312"/>
          <w:color w:val="auto"/>
          <w:kern w:val="0"/>
          <w:sz w:val="32"/>
          <w:szCs w:val="32"/>
          <w:lang w:val="zh-CN"/>
        </w:rPr>
        <w:t>中共三亚市委宣传部设置</w:t>
      </w:r>
      <w:r>
        <w:rPr>
          <w:rFonts w:ascii="仿宋_GB2312" w:eastAsia="仿宋_GB2312" w:cs="仿宋_GB2312"/>
          <w:color w:val="auto"/>
          <w:kern w:val="0"/>
          <w:sz w:val="32"/>
          <w:szCs w:val="32"/>
          <w:lang w:val="zh-CN"/>
        </w:rPr>
        <w:t>1</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lang w:val="zh-CN"/>
        </w:rPr>
        <w:t>个内设机构：</w:t>
      </w:r>
      <w:r>
        <w:rPr>
          <w:rFonts w:hint="eastAsia" w:ascii="仿宋_GB2312" w:hAnsi="仿宋_GB2312" w:eastAsia="仿宋_GB2312" w:cs="仿宋_GB2312"/>
          <w:b w:val="0"/>
          <w:color w:val="auto"/>
          <w:kern w:val="2"/>
          <w:sz w:val="32"/>
          <w:szCs w:val="32"/>
          <w:lang w:val="en-US" w:eastAsia="zh-CN" w:bidi="ar-SA"/>
        </w:rPr>
        <w:t>（1）办公室；（2）新闻宣传科；（3）理论教育科；（4）社会宣传文化科（全民国防教育科）；（5）组织人事科；（6）市文化体制改革与文化产业发展办公室；（7）出版电影科（8）意识形态和舆情信息科；（9）中共三亚市委理论讲师团；（10）机关党委。</w:t>
      </w:r>
    </w:p>
    <w:p>
      <w:pPr>
        <w:rPr>
          <w:rFonts w:hint="eastAsia" w:ascii="黑体" w:hAnsi="黑体" w:eastAsia="黑体"/>
          <w:sz w:val="32"/>
          <w:szCs w:val="32"/>
        </w:rPr>
      </w:pPr>
    </w:p>
    <w:p>
      <w:pPr>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中共三亚市委宣传部</w:t>
      </w:r>
      <w:bookmarkStart w:id="0" w:name="_GoBack"/>
      <w:bookmarkEnd w:id="0"/>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中共三亚市委宣传部部门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中共三亚市委宣传部部门</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中共三亚市委宣传部部门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12038.36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12038.36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10,433.04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1065.32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12,038.36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7,984.49</w:t>
      </w:r>
      <w:r>
        <w:rPr>
          <w:rFonts w:hint="eastAsia" w:ascii="仿宋_GB2312" w:hAnsi="黑体" w:eastAsia="仿宋_GB2312"/>
          <w:sz w:val="32"/>
          <w:szCs w:val="32"/>
        </w:rPr>
        <w:t>万元、文化旅游体育与传媒支出</w:t>
      </w:r>
      <w:r>
        <w:rPr>
          <w:rFonts w:hint="eastAsia" w:ascii="仿宋_GB2312" w:hAnsi="黑体" w:eastAsia="仿宋_GB2312" w:cs="仿宋_GB2312"/>
          <w:sz w:val="32"/>
          <w:szCs w:val="32"/>
        </w:rPr>
        <w:t>3,661.96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77.40</w:t>
      </w:r>
      <w:r>
        <w:rPr>
          <w:rFonts w:hint="eastAsia" w:ascii="仿宋_GB2312" w:hAnsi="黑体" w:eastAsia="仿宋_GB2312"/>
          <w:sz w:val="32"/>
          <w:szCs w:val="32"/>
        </w:rPr>
        <w:t>万元、住房保障支出44.47</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中共三亚市委宣传部部门</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（一）一般公共预算当年规模变化情况</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中共三亚市委宣传部</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10433.04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3933.54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2023年度预算安排减少。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一般公共服务（类）支出7984.49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%；文化旅游体育与传媒（类）</w:t>
      </w:r>
      <w:r>
        <w:rPr>
          <w:rFonts w:hint="eastAsia" w:ascii="仿宋_GB2312" w:hAnsi="黑体" w:eastAsia="仿宋_GB2312" w:cs="仿宋_GB2312"/>
          <w:sz w:val="32"/>
          <w:szCs w:val="32"/>
        </w:rPr>
        <w:t>支出3661.96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支出270.04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支出77.40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rPr>
        <w:t>44.47</w:t>
      </w:r>
      <w:r>
        <w:rPr>
          <w:rFonts w:hint="eastAsia" w:ascii="仿宋_GB2312" w:hAnsi="黑体" w:eastAsia="仿宋_GB2312"/>
          <w:sz w:val="32"/>
          <w:szCs w:val="32"/>
          <w:lang w:val="en-US"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（三）一般公共预算当年拨款具体使用情况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1.一般公共服务（类）宣传事务（款）行政运行（项）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434.49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54.25万</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2023年度，人员工资及办公经费的增加。</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highlight w:val="none"/>
        </w:rPr>
        <w:t>一般公共服务（类）宣传事务（款）一般行政管理事务（项）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400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4731</w:t>
      </w:r>
      <w:r>
        <w:rPr>
          <w:rFonts w:hint="eastAsia" w:ascii="仿宋_GB2312" w:hAnsi="黑体" w:eastAsia="仿宋_GB2312"/>
          <w:sz w:val="32"/>
          <w:szCs w:val="32"/>
          <w:highlight w:val="none"/>
        </w:rPr>
        <w:t>万元，主要是主要是</w:t>
      </w:r>
      <w:r>
        <w:rPr>
          <w:rFonts w:hint="eastAsia" w:ascii="仿宋_GB2312" w:hAnsi="黑体" w:eastAsia="仿宋_GB2312"/>
          <w:sz w:val="32"/>
          <w:szCs w:val="32"/>
          <w:highlight w:val="none"/>
          <w:lang w:val="en-US" w:eastAsia="zh-CN"/>
        </w:rPr>
        <w:t>类款项的调整。</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rPr>
        <w:t>一般公共服务（类）宣传事务（款）</w:t>
      </w:r>
      <w:r>
        <w:rPr>
          <w:rFonts w:hint="eastAsia" w:ascii="仿宋_GB2312" w:hAnsi="黑体" w:eastAsia="仿宋_GB2312" w:cs="仿宋_GB2312"/>
          <w:sz w:val="32"/>
          <w:szCs w:val="32"/>
          <w:highlight w:val="none"/>
          <w:lang w:eastAsia="zh-CN"/>
        </w:rPr>
        <w:t>宣传事务</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元，主要是主要是</w:t>
      </w:r>
      <w:r>
        <w:rPr>
          <w:rFonts w:hint="eastAsia" w:ascii="仿宋_GB2312" w:hAnsi="黑体" w:eastAsia="仿宋_GB2312"/>
          <w:sz w:val="32"/>
          <w:szCs w:val="32"/>
          <w:highlight w:val="none"/>
          <w:lang w:val="en-US" w:eastAsia="zh-CN"/>
        </w:rPr>
        <w:t>类款项的调整。</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一般公共服务（类）宣传事务（款）</w:t>
      </w:r>
      <w:r>
        <w:rPr>
          <w:rFonts w:hint="eastAsia" w:ascii="仿宋_GB2312" w:hAnsi="黑体" w:eastAsia="仿宋_GB2312" w:cs="仿宋_GB2312"/>
          <w:sz w:val="32"/>
          <w:szCs w:val="32"/>
          <w:highlight w:val="none"/>
          <w:lang w:eastAsia="zh-CN"/>
        </w:rPr>
        <w:t>其他宣传事务支出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5150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5150</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val="en-US" w:eastAsia="zh-CN"/>
        </w:rPr>
        <w:t>类款项的调整。</w:t>
      </w:r>
    </w:p>
    <w:p>
      <w:pPr>
        <w:numPr>
          <w:ilvl w:val="0"/>
          <w:numId w:val="5"/>
        </w:num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文化旅游体育与传媒支出（类）新闻出版电影（</w:t>
      </w:r>
      <w:r>
        <w:rPr>
          <w:rFonts w:hint="eastAsia" w:ascii="仿宋_GB2312" w:hAnsi="黑体" w:eastAsia="仿宋_GB2312" w:cs="仿宋_GB2312"/>
          <w:sz w:val="32"/>
          <w:szCs w:val="32"/>
        </w:rPr>
        <w:t>款）一般行政管理事</w:t>
      </w:r>
      <w:r>
        <w:rPr>
          <w:rFonts w:hint="eastAsia" w:ascii="仿宋_GB2312" w:hAnsi="黑体" w:eastAsia="仿宋_GB2312" w:cs="仿宋_GB2312"/>
          <w:sz w:val="32"/>
          <w:szCs w:val="32"/>
          <w:highlight w:val="none"/>
        </w:rPr>
        <w:t>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405万元，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1821.82</w:t>
      </w:r>
      <w:r>
        <w:rPr>
          <w:rFonts w:hint="eastAsia" w:ascii="仿宋_GB2312" w:hAnsi="黑体" w:eastAsia="仿宋_GB2312"/>
          <w:sz w:val="32"/>
          <w:szCs w:val="32"/>
          <w:highlight w:val="none"/>
        </w:rPr>
        <w:t>万元，主要是主要是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w:t>
      </w:r>
    </w:p>
    <w:p>
      <w:pPr>
        <w:numPr>
          <w:ilvl w:val="0"/>
          <w:numId w:val="5"/>
        </w:num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文化旅游体育与传媒支出（类）新闻出版电影（款）其他文化旅游体育与传媒支出（项）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3,256.64万元，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增加3,256.64</w:t>
      </w:r>
      <w:r>
        <w:rPr>
          <w:rFonts w:hint="eastAsia" w:ascii="仿宋_GB2312" w:hAnsi="黑体" w:eastAsia="仿宋_GB2312"/>
          <w:sz w:val="32"/>
          <w:szCs w:val="32"/>
        </w:rPr>
        <w:t>万元，主要是</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w:t>
      </w:r>
    </w:p>
    <w:p>
      <w:pPr>
        <w:numPr>
          <w:ilvl w:val="0"/>
          <w:numId w:val="0"/>
        </w:num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cs="仿宋_GB2312"/>
          <w:sz w:val="32"/>
          <w:szCs w:val="32"/>
          <w:highlight w:val="none"/>
        </w:rPr>
        <w:t>文化旅游体育与传媒支出（类）其他文化旅游体育与传媒支出（款）文化产业发展专项支出（项）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2000万元，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500</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本年度</w:t>
      </w:r>
      <w:r>
        <w:rPr>
          <w:rFonts w:hint="eastAsia" w:ascii="仿宋_GB2312" w:hAnsi="黑体" w:eastAsia="仿宋_GB2312" w:cs="仿宋_GB2312"/>
          <w:sz w:val="32"/>
          <w:szCs w:val="32"/>
          <w:highlight w:val="none"/>
          <w:lang w:eastAsia="zh-CN"/>
        </w:rPr>
        <w:t>本年度文化产业补助安排比往年减少。</w:t>
      </w:r>
    </w:p>
    <w:p>
      <w:pPr>
        <w:numPr>
          <w:ilvl w:val="0"/>
          <w:numId w:val="0"/>
        </w:num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8.</w:t>
      </w:r>
      <w:r>
        <w:rPr>
          <w:rFonts w:hint="eastAsia" w:ascii="仿宋_GB2312" w:hAnsi="黑体" w:eastAsia="仿宋_GB2312" w:cs="仿宋_GB2312"/>
          <w:sz w:val="32"/>
          <w:szCs w:val="32"/>
          <w:highlight w:val="none"/>
        </w:rPr>
        <w:t>文化旅游体育与传媒支出（类）其他文化旅游体育与传媒支出（款）其他文化旅游体育与传媒支出（项）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1,256.64万元，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1256.64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类款项的调整</w:t>
      </w:r>
      <w:r>
        <w:rPr>
          <w:rFonts w:hint="eastAsia" w:ascii="仿宋_GB2312" w:hAnsi="黑体" w:eastAsia="仿宋_GB2312"/>
          <w:sz w:val="32"/>
          <w:szCs w:val="32"/>
          <w:highlight w:val="none"/>
          <w:lang w:eastAsia="zh-CN"/>
        </w:rPr>
        <w:t>，其中含有三亚传媒影视集团公益性事业补贴。</w:t>
      </w:r>
    </w:p>
    <w:p>
      <w:pPr>
        <w:numPr>
          <w:ilvl w:val="0"/>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社会保障和就业支出（类）行政事业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养老支出（款）机关事业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46.69万元，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本年度部门人数工资标准提高。</w:t>
      </w:r>
    </w:p>
    <w:p>
      <w:pPr>
        <w:numPr>
          <w:ilvl w:val="0"/>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社会保障和就业支出（类）行政事业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养老支出（款）机关事业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223.35万元，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223.35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本年度安排职业年金补缴。</w:t>
      </w:r>
    </w:p>
    <w:p>
      <w:pPr>
        <w:numPr>
          <w:ilvl w:val="0"/>
          <w:numId w:val="0"/>
        </w:num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11.</w:t>
      </w:r>
      <w:r>
        <w:rPr>
          <w:rFonts w:hint="eastAsia" w:ascii="仿宋_GB2312" w:hAnsi="黑体" w:eastAsia="仿宋_GB2312" w:cs="仿宋_GB2312"/>
          <w:sz w:val="32"/>
          <w:szCs w:val="32"/>
        </w:rPr>
        <w:t>卫生健康支出（类）行政事业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医疗（款）行政</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22.34万元，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本年度部门人数工资标准提高。</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卫生健康支出（类）行政事业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55.06万元，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本年度部门人员有变动，加之计算标准有变化。</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住房保障支出（类）住房改革支出（款）住房公积金（项）</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44.47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rPr>
        <w:t>了</w:t>
      </w:r>
      <w:r>
        <w:rPr>
          <w:rFonts w:hint="eastAsia" w:ascii="仿宋_GB2312" w:hAnsi="黑体" w:eastAsia="仿宋_GB2312"/>
          <w:sz w:val="32"/>
          <w:szCs w:val="32"/>
          <w:lang w:val="en-US" w:eastAsia="zh-CN"/>
        </w:rPr>
        <w:t>14.01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本年度部门人数工资标准提高</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中共三亚市委宣传部部门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中共三亚市委宣传部2023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826.40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791.95</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34.46</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rPr>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中共三亚市委宣传部部门2023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7.50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30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576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仿宋_GB2312" w:hAnsi="黑体" w:eastAsia="仿宋_GB2312" w:cs="Times New Roman"/>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中共三亚市委宣传部部门</w:t>
      </w:r>
      <w:r>
        <w:rPr>
          <w:rFonts w:hint="eastAsia" w:ascii="仿宋_GB2312" w:hAnsi="黑体" w:eastAsia="仿宋_GB2312"/>
          <w:sz w:val="32"/>
          <w:szCs w:val="32"/>
        </w:rPr>
        <w:t>或</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我部无政府性基金预算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我部无政府性基金预算</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eastAsia="zh-CN"/>
        </w:rPr>
        <w:t>中共三亚市委宣传部部门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持平</w:t>
      </w:r>
      <w:r>
        <w:rPr>
          <w:rFonts w:hint="eastAsia" w:ascii="仿宋_GB2312" w:hAnsi="黑体" w:eastAsia="仿宋_GB2312"/>
          <w:color w:val="auto"/>
          <w:sz w:val="32"/>
          <w:szCs w:val="32"/>
          <w:highlight w:val="none"/>
        </w:rPr>
        <w:t>，主要</w:t>
      </w:r>
      <w:r>
        <w:rPr>
          <w:rFonts w:hint="eastAsia" w:ascii="仿宋_GB2312" w:hAnsi="黑体" w:eastAsia="仿宋_GB2312"/>
          <w:sz w:val="32"/>
          <w:szCs w:val="32"/>
        </w:rPr>
        <w:t>是</w:t>
      </w:r>
      <w:r>
        <w:rPr>
          <w:rFonts w:hint="eastAsia" w:ascii="Times New Roman" w:hAnsi="Times New Roman" w:eastAsia="仿宋_GB2312" w:cs="Times New Roman"/>
          <w:sz w:val="32"/>
          <w:shd w:val="clear" w:color="auto" w:fill="FFFFFF"/>
          <w:lang w:eastAsia="zh-CN"/>
        </w:rPr>
        <w:t>我部无政府性基金预算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中共三亚市委宣传部部门</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文化旅游体育与传媒支出</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中共三亚市委宣传</w:t>
      </w:r>
      <w:r>
        <w:rPr>
          <w:rFonts w:hint="eastAsia" w:ascii="仿宋_GB2312" w:hAnsi="黑体" w:eastAsia="仿宋_GB2312"/>
          <w:sz w:val="32"/>
          <w:szCs w:val="32"/>
          <w:lang w:eastAsia="zh-CN"/>
        </w:rPr>
        <w:t>部</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中共三亚市委宣传部部门2023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1,605.32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10433.04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我部无政府性基金预算安排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中共三亚市委宣传部</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中共三亚市委宣传部部门2023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12,038.36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826.41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%；项目支出</w:t>
      </w:r>
      <w:r>
        <w:rPr>
          <w:rFonts w:hint="eastAsia" w:ascii="仿宋_GB2312" w:hAnsi="黑体" w:eastAsia="仿宋_GB2312" w:cs="仿宋_GB2312"/>
          <w:sz w:val="32"/>
          <w:szCs w:val="32"/>
        </w:rPr>
        <w:t>11,211.96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2895.99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2023年度预算安排金额减少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中共三亚市委宣传部部门</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826.40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中共三亚市委宣传部部门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1021.59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121.59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900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w:t>
      </w:r>
      <w:r>
        <w:rPr>
          <w:rFonts w:hint="eastAsia" w:ascii="仿宋_GB2312" w:hAnsi="黑体" w:eastAsia="仿宋_GB2312" w:cs="仿宋_GB2312"/>
          <w:sz w:val="32"/>
          <w:szCs w:val="32"/>
        </w:rPr>
        <w:t>1日，</w:t>
      </w:r>
      <w:r>
        <w:rPr>
          <w:rFonts w:hint="eastAsia" w:ascii="仿宋_GB2312" w:hAnsi="黑体" w:eastAsia="仿宋_GB2312" w:cs="仿宋_GB2312"/>
          <w:sz w:val="32"/>
          <w:szCs w:val="32"/>
          <w:lang w:eastAsia="zh-CN"/>
        </w:rPr>
        <w:t>中共三亚市委宣传部部门</w:t>
      </w:r>
      <w:r>
        <w:rPr>
          <w:rFonts w:hint="eastAsia" w:ascii="仿宋_GB2312" w:hAnsi="黑体" w:eastAsia="仿宋_GB2312" w:cs="仿宋_GB2312"/>
          <w:sz w:val="32"/>
          <w:szCs w:val="32"/>
        </w:rPr>
        <w:t>本级及下属各预算</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 xml:space="preserve"> </w:t>
      </w:r>
      <w:r>
        <w:rPr>
          <w:rFonts w:hint="eastAsia" w:ascii="仿宋_GB2312" w:hAnsi="黑体" w:eastAsia="仿宋_GB2312" w:cs="仿宋_GB2312"/>
          <w:sz w:val="32"/>
          <w:szCs w:val="32"/>
        </w:rPr>
        <w:t>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2023年中共三亚市委宣传部部门16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9386.19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 xml:space="preserve">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部门</w:t>
      </w:r>
      <w:r>
        <w:rPr>
          <w:rFonts w:hint="eastAsia" w:ascii="仿宋_GB2312" w:hAnsi="宋体" w:eastAsia="仿宋_GB2312" w:cs="宋体"/>
          <w:color w:val="000000"/>
          <w:kern w:val="0"/>
          <w:sz w:val="32"/>
          <w:szCs w:val="30"/>
        </w:rPr>
        <w:t>、各</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公务出国（境）的国际旅费、国外城市间交通费、住宿费、伙食费、培训费、公杂费等支出；公务用车购置及运行费指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（含参照公务员法管理的事业</w:t>
      </w:r>
      <w:r>
        <w:rPr>
          <w:rFonts w:hint="eastAsia" w:ascii="仿宋_GB2312" w:hAnsi="宋体" w:eastAsia="仿宋_GB2312" w:cs="宋体"/>
          <w:color w:val="000000"/>
          <w:kern w:val="0"/>
          <w:sz w:val="32"/>
          <w:szCs w:val="30"/>
          <w:lang w:eastAsia="zh-CN"/>
        </w:rPr>
        <w:t xml:space="preserve"> </w:t>
      </w:r>
      <w:r>
        <w:rPr>
          <w:rFonts w:hint="eastAsia" w:ascii="仿宋_GB2312" w:hAnsi="宋体" w:eastAsia="仿宋_GB2312" w:cs="宋体"/>
          <w:color w:val="000000"/>
          <w:kern w:val="0"/>
          <w:sz w:val="32"/>
          <w:szCs w:val="30"/>
        </w:rPr>
        <w:t>）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E9B25F"/>
    <w:multiLevelType w:val="singleLevel"/>
    <w:tmpl w:val="63E9B25F"/>
    <w:lvl w:ilvl="0" w:tentative="0">
      <w:start w:val="5"/>
      <w:numFmt w:val="decimal"/>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E1184"/>
    <w:rsid w:val="027948B4"/>
    <w:rsid w:val="02DA1B59"/>
    <w:rsid w:val="04B70455"/>
    <w:rsid w:val="050532D9"/>
    <w:rsid w:val="069A6835"/>
    <w:rsid w:val="070F3596"/>
    <w:rsid w:val="076E1DE4"/>
    <w:rsid w:val="0A58294A"/>
    <w:rsid w:val="0D716432"/>
    <w:rsid w:val="0FB32629"/>
    <w:rsid w:val="14441E07"/>
    <w:rsid w:val="1527278D"/>
    <w:rsid w:val="164C1E4D"/>
    <w:rsid w:val="19D5DA33"/>
    <w:rsid w:val="1A246FA0"/>
    <w:rsid w:val="1AE21AC0"/>
    <w:rsid w:val="1B4D7596"/>
    <w:rsid w:val="1B845ADE"/>
    <w:rsid w:val="1C4837AE"/>
    <w:rsid w:val="1CE56298"/>
    <w:rsid w:val="1CF961BB"/>
    <w:rsid w:val="1D421880"/>
    <w:rsid w:val="1D61689E"/>
    <w:rsid w:val="1DAF77FF"/>
    <w:rsid w:val="1EC71636"/>
    <w:rsid w:val="1F3B6595"/>
    <w:rsid w:val="1FB37066"/>
    <w:rsid w:val="1FBF8E30"/>
    <w:rsid w:val="200D54E2"/>
    <w:rsid w:val="2037437D"/>
    <w:rsid w:val="21240058"/>
    <w:rsid w:val="24BC12E2"/>
    <w:rsid w:val="251652CD"/>
    <w:rsid w:val="25DB2EE1"/>
    <w:rsid w:val="26D24C0D"/>
    <w:rsid w:val="276725DD"/>
    <w:rsid w:val="276B7BAF"/>
    <w:rsid w:val="284F08F5"/>
    <w:rsid w:val="297305FB"/>
    <w:rsid w:val="2B65289F"/>
    <w:rsid w:val="2BD27D64"/>
    <w:rsid w:val="2BDF0DC0"/>
    <w:rsid w:val="2C45229C"/>
    <w:rsid w:val="2D7F432D"/>
    <w:rsid w:val="2FC337C2"/>
    <w:rsid w:val="2FF7110D"/>
    <w:rsid w:val="2FFFCED3"/>
    <w:rsid w:val="30093AF5"/>
    <w:rsid w:val="300F76E9"/>
    <w:rsid w:val="33D836EE"/>
    <w:rsid w:val="3453239F"/>
    <w:rsid w:val="3531516F"/>
    <w:rsid w:val="36CB73C7"/>
    <w:rsid w:val="36FE4816"/>
    <w:rsid w:val="39823DC6"/>
    <w:rsid w:val="39B66B87"/>
    <w:rsid w:val="3A5B60EA"/>
    <w:rsid w:val="3BA83019"/>
    <w:rsid w:val="3C5E46DB"/>
    <w:rsid w:val="3DAF58CA"/>
    <w:rsid w:val="3E3C04E1"/>
    <w:rsid w:val="3F7FB4B5"/>
    <w:rsid w:val="3FAD4D11"/>
    <w:rsid w:val="40261692"/>
    <w:rsid w:val="405F5598"/>
    <w:rsid w:val="40A739F0"/>
    <w:rsid w:val="42191356"/>
    <w:rsid w:val="42533DB6"/>
    <w:rsid w:val="444D7F22"/>
    <w:rsid w:val="44986E20"/>
    <w:rsid w:val="44EC5469"/>
    <w:rsid w:val="45407B8F"/>
    <w:rsid w:val="45622E6F"/>
    <w:rsid w:val="49A71CFD"/>
    <w:rsid w:val="4BF93C54"/>
    <w:rsid w:val="4CD068F3"/>
    <w:rsid w:val="4E615953"/>
    <w:rsid w:val="4E6D0F96"/>
    <w:rsid w:val="4FA33732"/>
    <w:rsid w:val="4FB80849"/>
    <w:rsid w:val="503B4857"/>
    <w:rsid w:val="511854AA"/>
    <w:rsid w:val="5186274E"/>
    <w:rsid w:val="531A4910"/>
    <w:rsid w:val="53D25270"/>
    <w:rsid w:val="565B2BC5"/>
    <w:rsid w:val="56DC7756"/>
    <w:rsid w:val="571B31DA"/>
    <w:rsid w:val="58073A03"/>
    <w:rsid w:val="582E3AF4"/>
    <w:rsid w:val="589609D4"/>
    <w:rsid w:val="59295B29"/>
    <w:rsid w:val="59EF469A"/>
    <w:rsid w:val="59F70323"/>
    <w:rsid w:val="5B7D5320"/>
    <w:rsid w:val="5CA33871"/>
    <w:rsid w:val="5CBD5C84"/>
    <w:rsid w:val="5CC74662"/>
    <w:rsid w:val="5D8316B9"/>
    <w:rsid w:val="5DB7E539"/>
    <w:rsid w:val="5F6F301C"/>
    <w:rsid w:val="5FCD35C9"/>
    <w:rsid w:val="622F386D"/>
    <w:rsid w:val="6351541E"/>
    <w:rsid w:val="64EE6B82"/>
    <w:rsid w:val="661A2C64"/>
    <w:rsid w:val="668F18CA"/>
    <w:rsid w:val="66DACB0B"/>
    <w:rsid w:val="66EF37EA"/>
    <w:rsid w:val="675D34FD"/>
    <w:rsid w:val="67AA6E18"/>
    <w:rsid w:val="68077405"/>
    <w:rsid w:val="680D0FD6"/>
    <w:rsid w:val="682E1926"/>
    <w:rsid w:val="697BF56A"/>
    <w:rsid w:val="69A43BD4"/>
    <w:rsid w:val="6AA500C2"/>
    <w:rsid w:val="6B0D4DDE"/>
    <w:rsid w:val="6B6CE30F"/>
    <w:rsid w:val="6C7F1319"/>
    <w:rsid w:val="6DDF74AC"/>
    <w:rsid w:val="6DED4B15"/>
    <w:rsid w:val="6F03754B"/>
    <w:rsid w:val="6FAF0D8D"/>
    <w:rsid w:val="6FCFCADC"/>
    <w:rsid w:val="6FFA4FE6"/>
    <w:rsid w:val="70C70E82"/>
    <w:rsid w:val="71A51AF1"/>
    <w:rsid w:val="726B02FF"/>
    <w:rsid w:val="73232563"/>
    <w:rsid w:val="735F1ED9"/>
    <w:rsid w:val="73D2244F"/>
    <w:rsid w:val="75FB0B04"/>
    <w:rsid w:val="77987ECD"/>
    <w:rsid w:val="77CD4E98"/>
    <w:rsid w:val="78E818CE"/>
    <w:rsid w:val="78FA4A7D"/>
    <w:rsid w:val="79407582"/>
    <w:rsid w:val="796136C2"/>
    <w:rsid w:val="79F7B683"/>
    <w:rsid w:val="7A0639D9"/>
    <w:rsid w:val="7A692B06"/>
    <w:rsid w:val="7ACF7FAA"/>
    <w:rsid w:val="7B1F2F9A"/>
    <w:rsid w:val="7BF709C6"/>
    <w:rsid w:val="7C364079"/>
    <w:rsid w:val="7C375240"/>
    <w:rsid w:val="7D001EFE"/>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hint="default" w:ascii="Arial" w:hAnsi="Arial" w:eastAsia="黑体"/>
      <w:b/>
      <w:sz w:val="32"/>
      <w:szCs w:val="32"/>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paragraph" w:customStyle="1" w:styleId="11">
    <w:name w:val="样式 标题 2 + 楷体 小三 段前: 0 磅 段后: 0 磅 行距: 单倍行距"/>
    <w:basedOn w:val="2"/>
    <w:qFormat/>
    <w:uiPriority w:val="0"/>
    <w:pPr>
      <w:spacing w:before="0" w:after="0" w:line="240" w:lineRule="auto"/>
    </w:pPr>
    <w:rPr>
      <w:rFonts w:hint="default" w:ascii="楷体" w:hAnsi="楷体" w:eastAsia="楷体" w:cs="宋体"/>
      <w:b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dcterms:modified xsi:type="dcterms:W3CDTF">2024-07-29T02:16:59Z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