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rPr>
          <w:rFonts w:ascii="Times New Roman" w:hAnsi="Times New Roman" w:cs="Times New Roman"/>
          <w:sz w:val="52"/>
          <w:szCs w:val="52"/>
        </w:rPr>
      </w:pPr>
      <w:r>
        <w:rPr>
          <w:rFonts w:ascii="Times New Roman" w:hAnsi="Times New Roman" w:cs="Times New Roman"/>
          <w:sz w:val="52"/>
          <w:szCs w:val="52"/>
        </w:rPr>
        <w:t>202</w:t>
      </w:r>
      <w:r>
        <w:rPr>
          <w:rFonts w:hint="eastAsia" w:ascii="Times New Roman" w:hAnsi="Times New Roman" w:cs="Times New Roman"/>
          <w:sz w:val="52"/>
          <w:szCs w:val="52"/>
        </w:rPr>
        <w:t>3</w:t>
      </w:r>
      <w:r>
        <w:rPr>
          <w:rFonts w:ascii="Times New Roman" w:hAnsi="Times New Roman" w:cs="Times New Roman"/>
          <w:sz w:val="52"/>
          <w:szCs w:val="52"/>
        </w:rPr>
        <w:t>年三亚市公共资源交易中心预算</w:t>
      </w:r>
      <w:r>
        <w:rPr>
          <w:rFonts w:hint="eastAsia" w:ascii="Times New Roman" w:hAnsi="Times New Roman" w:cs="Times New Roman"/>
          <w:sz w:val="52"/>
          <w:szCs w:val="52"/>
        </w:rPr>
        <w:t>公开</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jc w:val="center"/>
        <w:rPr>
          <w:rFonts w:ascii="Times New Roman" w:hAnsi="Times New Roman" w:eastAsia="黑体" w:cs="Times New Roman"/>
          <w:sz w:val="52"/>
          <w:szCs w:val="52"/>
        </w:rPr>
      </w:pPr>
      <w:r>
        <w:rPr>
          <w:rFonts w:ascii="Times New Roman" w:hAnsi="Times New Roman" w:eastAsia="黑体" w:cs="Times New Roman"/>
          <w:sz w:val="52"/>
          <w:szCs w:val="52"/>
        </w:rPr>
        <w:t>目录</w:t>
      </w:r>
    </w:p>
    <w:p>
      <w:pPr>
        <w:pStyle w:val="6"/>
        <w:numPr>
          <w:ilvl w:val="0"/>
          <w:numId w:val="1"/>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 xml:space="preserve">  </w:t>
      </w:r>
      <w:r>
        <w:rPr>
          <w:rFonts w:ascii="Times New Roman" w:hAnsi="Times New Roman" w:eastAsia="仿宋_GB2312" w:cs="Times New Roman"/>
          <w:sz w:val="32"/>
          <w:szCs w:val="32"/>
        </w:rPr>
        <w:t xml:space="preserve"> </w:t>
      </w:r>
      <w:r>
        <w:rPr>
          <w:rFonts w:ascii="Times New Roman" w:hAnsi="Times New Roman" w:eastAsia="黑体" w:cs="Times New Roman"/>
          <w:sz w:val="32"/>
          <w:szCs w:val="32"/>
        </w:rPr>
        <w:t>三亚市公共资源交易中心概况</w:t>
      </w:r>
    </w:p>
    <w:p>
      <w:pPr>
        <w:pStyle w:val="6"/>
        <w:numPr>
          <w:ilvl w:val="0"/>
          <w:numId w:val="2"/>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pStyle w:val="6"/>
        <w:numPr>
          <w:ilvl w:val="0"/>
          <w:numId w:val="1"/>
        </w:numPr>
        <w:ind w:firstLineChars="0"/>
        <w:rPr>
          <w:rFonts w:ascii="Times New Roman" w:hAnsi="Times New Roman" w:eastAsia="黑体" w:cs="Times New Roman"/>
          <w:sz w:val="32"/>
          <w:szCs w:val="32"/>
        </w:rPr>
      </w:pPr>
      <w:r>
        <w:rPr>
          <w:rFonts w:ascii="Times New Roman" w:hAnsi="Times New Roman" w:eastAsia="黑体" w:cs="Times New Roman"/>
          <w:sz w:val="32"/>
          <w:szCs w:val="32"/>
        </w:rPr>
        <w:t xml:space="preserve"> 三亚市公共资源交易中心</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年单位预算表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财政拨款收支总表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一般公共预算基本支出表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一般公共预算“三公”经费支出表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政府性基金预算“三公”经费支出表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单位收支总表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单位收入总表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单位支出总表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项目支出绩效信息表</w:t>
      </w:r>
    </w:p>
    <w:p>
      <w:pPr>
        <w:pStyle w:val="6"/>
        <w:numPr>
          <w:ilvl w:val="0"/>
          <w:numId w:val="1"/>
        </w:numPr>
        <w:ind w:firstLineChars="0"/>
        <w:jc w:val="left"/>
        <w:rPr>
          <w:rFonts w:ascii="Times New Roman" w:hAnsi="Times New Roman" w:eastAsia="仿宋_GB2312" w:cs="Times New Roman"/>
          <w:sz w:val="32"/>
          <w:szCs w:val="32"/>
        </w:rPr>
      </w:pPr>
      <w:r>
        <w:rPr>
          <w:rFonts w:ascii="Times New Roman" w:hAnsi="Times New Roman" w:eastAsia="黑体" w:cs="Times New Roman"/>
          <w:sz w:val="32"/>
          <w:szCs w:val="32"/>
        </w:rPr>
        <w:t xml:space="preserve">  三亚市公共资源交易中心</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年单位预算情况说明</w:t>
      </w:r>
    </w:p>
    <w:p>
      <w:pPr>
        <w:pStyle w:val="6"/>
        <w:numPr>
          <w:ilvl w:val="0"/>
          <w:numId w:val="1"/>
        </w:numPr>
        <w:ind w:firstLineChars="0"/>
        <w:jc w:val="left"/>
        <w:rPr>
          <w:rFonts w:ascii="Times New Roman" w:hAnsi="Times New Roman" w:eastAsia="仿宋_GB2312" w:cs="Times New Roman"/>
          <w:sz w:val="32"/>
          <w:szCs w:val="32"/>
        </w:rPr>
      </w:pPr>
      <w:r>
        <w:rPr>
          <w:rFonts w:ascii="Times New Roman" w:hAnsi="Times New Roman" w:eastAsia="黑体" w:cs="Times New Roman"/>
          <w:sz w:val="32"/>
          <w:szCs w:val="32"/>
        </w:rPr>
        <w:t xml:space="preserve">   名词解释</w:t>
      </w:r>
    </w:p>
    <w:p>
      <w:pPr>
        <w:pStyle w:val="6"/>
        <w:ind w:left="1320" w:firstLine="0" w:firstLineChars="0"/>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pStyle w:val="6"/>
        <w:numPr>
          <w:ilvl w:val="0"/>
          <w:numId w:val="4"/>
        </w:numPr>
        <w:ind w:firstLineChars="0"/>
        <w:jc w:val="center"/>
        <w:rPr>
          <w:rFonts w:ascii="Times New Roman" w:hAnsi="Times New Roman" w:eastAsia="仿宋_GB2312" w:cs="Times New Roman"/>
          <w:sz w:val="32"/>
          <w:szCs w:val="32"/>
        </w:rPr>
      </w:pPr>
      <w:r>
        <w:rPr>
          <w:rFonts w:ascii="Times New Roman" w:hAnsi="Times New Roman" w:eastAsia="黑体" w:cs="Times New Roman"/>
          <w:sz w:val="32"/>
          <w:szCs w:val="32"/>
        </w:rPr>
        <w:t xml:space="preserve">    三亚市公共资源交易中心概况</w:t>
      </w:r>
    </w:p>
    <w:p>
      <w:pPr>
        <w:jc w:val="left"/>
        <w:rPr>
          <w:rFonts w:ascii="Times New Roman" w:hAnsi="Times New Roman" w:eastAsia="仿宋_GB2312" w:cs="Times New Roman"/>
          <w:sz w:val="32"/>
          <w:szCs w:val="32"/>
        </w:rPr>
      </w:pPr>
    </w:p>
    <w:p>
      <w:pPr>
        <w:pStyle w:val="6"/>
        <w:numPr>
          <w:ilvl w:val="0"/>
          <w:numId w:val="5"/>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pStyle w:val="9"/>
        <w:numPr>
          <w:ilvl w:val="0"/>
          <w:numId w:val="0"/>
        </w:numPr>
        <w:rPr>
          <w:rFonts w:ascii="黑体" w:hAnsi="黑体" w:eastAsia="黑体" w:cs="仿宋_GB2312"/>
          <w:sz w:val="32"/>
          <w:szCs w:val="32"/>
        </w:rPr>
      </w:pPr>
      <w:r>
        <w:rPr>
          <w:rFonts w:hint="eastAsia" w:ascii="黑体" w:hAnsi="黑体" w:eastAsia="黑体" w:cs="仿宋_GB2312"/>
          <w:sz w:val="32"/>
          <w:szCs w:val="32"/>
          <w:lang w:val="en-US" w:eastAsia="zh-CN"/>
        </w:rPr>
        <w:t>1、市公共资源交易中心的主要职责是：</w:t>
      </w:r>
    </w:p>
    <w:p>
      <w:pPr>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三亚市公共资源交易中心隶属三亚市人民政府政务服务中心，列入从事公益服务的公益一类事业单位，副处级。主要负责：</w:t>
      </w:r>
    </w:p>
    <w:p>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(一)为我市各类公共资源交易活动提供场所、设施和服务，承担交易项目申报材料的受理登记、信息发布、专家抽取、数据统计、档案管理及查询等服务工作.</w:t>
      </w:r>
    </w:p>
    <w:p>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(二)为进场交易项目提供现场管理及见证，为交易各方主体提供咨询服务。</w:t>
      </w:r>
    </w:p>
    <w:p>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(三)承担政府采购集中代理工作。</w:t>
      </w:r>
    </w:p>
    <w:p>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(四)协助有关部门处理交易活动中产生的争议和纠纷。</w:t>
      </w:r>
    </w:p>
    <w:p>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(五)承担公共资源交易系统信息化建设和维护管理。</w:t>
      </w:r>
    </w:p>
    <w:p>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(六)承担代理机构和评审专家的日常考核工作。</w:t>
      </w:r>
    </w:p>
    <w:p>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(七)承办上级部门交办的其他工作。</w:t>
      </w:r>
    </w:p>
    <w:p>
      <w:pPr>
        <w:pStyle w:val="9"/>
        <w:numPr>
          <w:ilvl w:val="0"/>
          <w:numId w:val="0"/>
        </w:numPr>
        <w:ind w:leftChars="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2、市公共资源交易中心设下列内设机构：</w:t>
      </w:r>
    </w:p>
    <w:p>
      <w:pPr>
        <w:widowControl/>
        <w:spacing w:line="578" w:lineRule="exact"/>
        <w:ind w:firstLine="640"/>
        <w:jc w:val="left"/>
        <w:rPr>
          <w:rFonts w:hint="eastAsia" w:ascii="宋体" w:hAnsi="宋体" w:cs="宋体"/>
          <w:sz w:val="19"/>
          <w:szCs w:val="19"/>
        </w:rPr>
      </w:pPr>
      <w:r>
        <w:rPr>
          <w:rFonts w:ascii="仿宋_GB2312" w:hAnsi="宋体" w:eastAsia="仿宋_GB2312" w:cs="仿宋_GB2312"/>
          <w:kern w:val="0"/>
          <w:sz w:val="32"/>
          <w:szCs w:val="32"/>
          <w:lang w:bidi="ar"/>
        </w:rPr>
        <w:t>三亚市公共资源交易中心设置综合信息科、建设工程与产权交易科、政府采购科等</w:t>
      </w:r>
      <w:r>
        <w:rPr>
          <w:rFonts w:eastAsia="仿宋_GB2312"/>
          <w:sz w:val="32"/>
          <w:szCs w:val="32"/>
        </w:rPr>
        <w:t>3</w:t>
      </w:r>
      <w:r>
        <w:rPr>
          <w:rFonts w:ascii="仿宋_GB2312" w:hAnsi="宋体" w:eastAsia="仿宋_GB2312" w:cs="仿宋_GB2312"/>
          <w:kern w:val="0"/>
          <w:sz w:val="32"/>
          <w:szCs w:val="32"/>
          <w:lang w:bidi="ar"/>
        </w:rPr>
        <w:t>个科级内设机构。</w:t>
      </w:r>
    </w:p>
    <w:p>
      <w:pPr>
        <w:widowControl/>
        <w:spacing w:line="578" w:lineRule="exact"/>
        <w:ind w:firstLine="640"/>
        <w:jc w:val="left"/>
        <w:rPr>
          <w:rFonts w:hint="eastAsia" w:ascii="宋体" w:hAnsi="宋体" w:cs="宋体"/>
          <w:sz w:val="19"/>
          <w:szCs w:val="19"/>
        </w:rPr>
      </w:pPr>
      <w:r>
        <w:rPr>
          <w:rFonts w:ascii="仿宋_GB2312" w:hAnsi="宋体" w:eastAsia="仿宋_GB2312" w:cs="仿宋_GB2312"/>
          <w:kern w:val="0"/>
          <w:sz w:val="32"/>
          <w:szCs w:val="32"/>
          <w:lang w:bidi="ar"/>
        </w:rPr>
        <w:t>（一）综合信息科</w:t>
      </w:r>
    </w:p>
    <w:p>
      <w:pPr>
        <w:widowControl/>
        <w:spacing w:line="578" w:lineRule="exact"/>
        <w:ind w:firstLine="640"/>
        <w:jc w:val="left"/>
        <w:rPr>
          <w:rFonts w:hint="eastAsia" w:ascii="宋体" w:hAnsi="宋体" w:cs="宋体"/>
          <w:sz w:val="19"/>
          <w:szCs w:val="19"/>
        </w:rPr>
      </w:pPr>
      <w:r>
        <w:rPr>
          <w:rFonts w:ascii="仿宋_GB2312" w:hAnsi="宋体" w:eastAsia="仿宋_GB2312" w:cs="仿宋_GB2312"/>
          <w:kern w:val="0"/>
          <w:sz w:val="32"/>
          <w:szCs w:val="32"/>
          <w:lang w:bidi="ar"/>
        </w:rPr>
        <w:t>协调部门政务工作，建立健全部门各项规章制度；负责部门各类文件收发、文书处理、印章管理、档案管理，并做好保密工作；协调科室之间的工作，传达、督促办理领导批示及领导交办的事项；负责中心预算及收支管理；负责网络设备维护与管理。</w:t>
      </w:r>
    </w:p>
    <w:p>
      <w:pPr>
        <w:widowControl/>
        <w:spacing w:line="578" w:lineRule="exact"/>
        <w:ind w:firstLine="640"/>
        <w:jc w:val="left"/>
        <w:rPr>
          <w:rFonts w:hint="eastAsia" w:ascii="宋体" w:hAnsi="宋体" w:cs="宋体"/>
          <w:sz w:val="19"/>
          <w:szCs w:val="19"/>
        </w:rPr>
      </w:pPr>
      <w:r>
        <w:rPr>
          <w:rFonts w:ascii="仿宋_GB2312" w:hAnsi="宋体" w:eastAsia="仿宋_GB2312" w:cs="仿宋_GB2312"/>
          <w:kern w:val="0"/>
          <w:sz w:val="32"/>
          <w:szCs w:val="32"/>
          <w:lang w:bidi="ar"/>
        </w:rPr>
        <w:t>（二）建设工程与产权交易科</w:t>
      </w:r>
    </w:p>
    <w:p>
      <w:pPr>
        <w:widowControl/>
        <w:spacing w:line="578" w:lineRule="exact"/>
        <w:ind w:firstLine="640"/>
        <w:jc w:val="left"/>
        <w:rPr>
          <w:rFonts w:hint="eastAsia" w:ascii="宋体" w:hAnsi="宋体" w:cs="宋体"/>
          <w:sz w:val="19"/>
          <w:szCs w:val="19"/>
        </w:rPr>
      </w:pPr>
      <w:r>
        <w:rPr>
          <w:rFonts w:ascii="仿宋_GB2312" w:hAnsi="宋体" w:eastAsia="仿宋_GB2312" w:cs="仿宋_GB2312"/>
          <w:kern w:val="0"/>
          <w:sz w:val="32"/>
          <w:szCs w:val="32"/>
          <w:lang w:bidi="ar"/>
        </w:rPr>
        <w:t>受理建设工程及产权交易项目进场登记;为项目开标、评标活动过程提供现场见证、管理和服务;对相关评审专家和代理机构进行日常考核;对建设工程及产权交易项目数据进行统计分析，归档管理项目交易资料;数据采集和汇总分析等工作; 提供场地预约、前台项目资料受理、专家抽取、交易档案管理、保证金管理等服务工作；协助有关部门处理交易活动中产生的争议和纠纷。</w:t>
      </w:r>
    </w:p>
    <w:p>
      <w:pPr>
        <w:widowControl/>
        <w:spacing w:line="578" w:lineRule="exact"/>
        <w:ind w:firstLine="640"/>
        <w:jc w:val="left"/>
        <w:rPr>
          <w:rFonts w:hint="eastAsia" w:ascii="宋体" w:hAnsi="宋体" w:cs="宋体"/>
          <w:sz w:val="19"/>
          <w:szCs w:val="19"/>
        </w:rPr>
      </w:pPr>
      <w:r>
        <w:rPr>
          <w:rFonts w:ascii="仿宋_GB2312" w:hAnsi="宋体" w:eastAsia="仿宋_GB2312" w:cs="仿宋_GB2312"/>
          <w:kern w:val="0"/>
          <w:sz w:val="32"/>
          <w:szCs w:val="32"/>
          <w:lang w:bidi="ar"/>
        </w:rPr>
        <w:t>（三）政府采购科</w:t>
      </w:r>
    </w:p>
    <w:p>
      <w:pPr>
        <w:widowControl/>
        <w:spacing w:line="578" w:lineRule="exact"/>
        <w:ind w:firstLine="640"/>
        <w:jc w:val="left"/>
        <w:rPr>
          <w:rFonts w:ascii="仿宋_GB2312" w:hAnsi="宋体" w:eastAsia="仿宋_GB2312" w:cs="仿宋_GB2312"/>
          <w:kern w:val="0"/>
          <w:sz w:val="32"/>
          <w:szCs w:val="32"/>
          <w:lang w:bidi="ar"/>
        </w:rPr>
      </w:pPr>
      <w:r>
        <w:rPr>
          <w:rFonts w:ascii="仿宋_GB2312" w:hAnsi="宋体" w:eastAsia="仿宋_GB2312" w:cs="仿宋_GB2312"/>
          <w:kern w:val="0"/>
          <w:sz w:val="32"/>
          <w:szCs w:val="32"/>
          <w:lang w:bidi="ar"/>
        </w:rPr>
        <w:t>承担政府采购集中代理工作;受理政府采购项目进场登记;为政府采购项目开标、评标活动过程提供现场见证和服务管理;对政府采购评审专家和代理机构进行日常考核;对政府采购项目交易数据进行统计分析，归档管理项目交易资料;协助有关部门处理交易活动中产生的争议和纠纷。</w:t>
      </w:r>
    </w:p>
    <w:p>
      <w:pPr>
        <w:pStyle w:val="9"/>
        <w:numPr>
          <w:ilvl w:val="0"/>
          <w:numId w:val="0"/>
        </w:numPr>
        <w:ind w:leftChars="0"/>
        <w:jc w:val="left"/>
        <w:rPr>
          <w:rFonts w:hint="eastAsia" w:ascii="仿宋_GB2312" w:hAnsi="黑体" w:eastAsia="仿宋_GB2312" w:cs="仿宋_GB2312"/>
          <w:sz w:val="32"/>
          <w:szCs w:val="32"/>
          <w:lang w:val="en-US" w:eastAsia="zh-CN"/>
        </w:rPr>
      </w:pPr>
      <w:r>
        <w:rPr>
          <w:rFonts w:hint="eastAsia" w:ascii="黑体" w:hAnsi="黑体" w:eastAsia="黑体" w:cs="仿宋_GB2312"/>
          <w:sz w:val="32"/>
          <w:szCs w:val="32"/>
          <w:lang w:val="en-US" w:eastAsia="zh-CN"/>
        </w:rPr>
        <w:t>3、市公共资源交易中心人员情况：</w:t>
      </w:r>
    </w:p>
    <w:p>
      <w:pPr>
        <w:widowControl/>
        <w:spacing w:line="578" w:lineRule="exact"/>
        <w:jc w:val="left"/>
        <w:rPr>
          <w:rFonts w:hint="eastAsia" w:ascii="仿宋_GB2312" w:hAnsi="宋体" w:eastAsia="仿宋_GB2312" w:cs="仿宋_GB2312"/>
          <w:kern w:val="0"/>
          <w:sz w:val="32"/>
          <w:szCs w:val="32"/>
          <w:lang w:bidi="ar"/>
        </w:rPr>
      </w:pPr>
      <w:r>
        <w:rPr>
          <w:rFonts w:hint="eastAsia" w:eastAsia="仿宋_GB2312"/>
          <w:sz w:val="32"/>
          <w:szCs w:val="32"/>
          <w:lang w:val="en-US" w:eastAsia="zh-CN"/>
        </w:rPr>
        <w:t xml:space="preserve">  </w:t>
      </w:r>
      <w:r>
        <w:rPr>
          <w:rFonts w:hint="eastAsia" w:ascii="仿宋_GB2312" w:hAnsi="宋体" w:eastAsia="仿宋_GB2312" w:cs="仿宋_GB2312"/>
          <w:kern w:val="0"/>
          <w:sz w:val="32"/>
          <w:szCs w:val="32"/>
          <w:lang w:val="en-US" w:eastAsia="zh-CN" w:bidi="ar"/>
        </w:rPr>
        <w:t xml:space="preserve"> </w:t>
      </w:r>
      <w:r>
        <w:rPr>
          <w:rFonts w:ascii="仿宋_GB2312" w:hAnsi="宋体" w:eastAsia="仿宋_GB2312" w:cs="仿宋_GB2312"/>
          <w:kern w:val="0"/>
          <w:sz w:val="32"/>
          <w:szCs w:val="32"/>
          <w:lang w:bidi="ar"/>
        </w:rPr>
        <w:t>三亚市公共资源交易中心隶属三亚市</w:t>
      </w:r>
      <w:r>
        <w:rPr>
          <w:rFonts w:hint="eastAsia" w:ascii="仿宋_GB2312" w:hAnsi="宋体" w:eastAsia="仿宋_GB2312" w:cs="仿宋_GB2312"/>
          <w:kern w:val="0"/>
          <w:sz w:val="32"/>
          <w:szCs w:val="32"/>
          <w:lang w:eastAsia="zh-CN" w:bidi="ar"/>
        </w:rPr>
        <w:t>发展和改革委员会</w:t>
      </w:r>
      <w:r>
        <w:rPr>
          <w:rFonts w:ascii="仿宋_GB2312" w:hAnsi="宋体" w:eastAsia="仿宋_GB2312" w:cs="仿宋_GB2312"/>
          <w:kern w:val="0"/>
          <w:sz w:val="32"/>
          <w:szCs w:val="32"/>
          <w:lang w:bidi="ar"/>
        </w:rPr>
        <w:t>，列入从事公益服务的公益一类事业单位，副处级。</w:t>
      </w:r>
      <w:r>
        <w:rPr>
          <w:rFonts w:hint="eastAsia" w:ascii="仿宋_GB2312" w:hAnsi="宋体" w:eastAsia="仿宋_GB2312" w:cs="仿宋_GB2312"/>
          <w:kern w:val="0"/>
          <w:sz w:val="32"/>
          <w:szCs w:val="32"/>
          <w:lang w:bidi="ar"/>
        </w:rPr>
        <w:t>市</w:t>
      </w:r>
      <w:r>
        <w:rPr>
          <w:rFonts w:ascii="仿宋_GB2312" w:hAnsi="宋体" w:eastAsia="仿宋_GB2312" w:cs="仿宋_GB2312"/>
          <w:kern w:val="0"/>
          <w:sz w:val="32"/>
          <w:szCs w:val="32"/>
          <w:lang w:bidi="ar"/>
        </w:rPr>
        <w:t>公共资源交易中心</w:t>
      </w:r>
      <w:r>
        <w:rPr>
          <w:rFonts w:hint="eastAsia" w:ascii="仿宋_GB2312" w:hAnsi="宋体" w:eastAsia="仿宋_GB2312" w:cs="仿宋_GB2312"/>
          <w:kern w:val="0"/>
          <w:sz w:val="32"/>
          <w:szCs w:val="32"/>
          <w:lang w:bidi="ar"/>
        </w:rPr>
        <w:t>事业编制</w:t>
      </w:r>
      <w:r>
        <w:rPr>
          <w:rFonts w:ascii="仿宋_GB2312" w:hAnsi="宋体" w:eastAsia="仿宋_GB2312" w:cs="仿宋_GB2312"/>
          <w:kern w:val="0"/>
          <w:sz w:val="32"/>
          <w:szCs w:val="32"/>
          <w:lang w:bidi="ar"/>
        </w:rPr>
        <w:t>12</w:t>
      </w:r>
      <w:r>
        <w:rPr>
          <w:rFonts w:hint="eastAsia" w:ascii="仿宋_GB2312" w:hAnsi="宋体" w:eastAsia="仿宋_GB2312" w:cs="仿宋_GB2312"/>
          <w:kern w:val="0"/>
          <w:sz w:val="32"/>
          <w:szCs w:val="32"/>
          <w:lang w:bidi="ar"/>
        </w:rPr>
        <w:t>名。设主任1名，副主任2名；科级领导职数4名，其中正科级3名，副科级1名。</w:t>
      </w:r>
    </w:p>
    <w:p>
      <w:pPr>
        <w:pStyle w:val="10"/>
        <w:numPr>
          <w:ilvl w:val="-1"/>
          <w:numId w:val="0"/>
        </w:numPr>
        <w:ind w:left="0" w:firstLine="0" w:firstLine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二、</w:t>
      </w:r>
      <w:r>
        <w:rPr>
          <w:rFonts w:hint="eastAsia" w:ascii="黑体" w:hAnsi="黑体" w:eastAsia="黑体" w:cs="仿宋_GB2312"/>
          <w:sz w:val="32"/>
          <w:szCs w:val="32"/>
        </w:rPr>
        <w:t>预算单位构成</w:t>
      </w:r>
    </w:p>
    <w:p>
      <w:pPr>
        <w:spacing w:line="578" w:lineRule="exact"/>
        <w:rPr>
          <w:ins w:id="0" w:author="user" w:date="2023-10-11T08:32:00Z"/>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ins w:id="1" w:author="user" w:date="2023-10-11T08:32:00Z">
        <w:r>
          <w:rPr>
            <w:rFonts w:hint="eastAsia" w:ascii="仿宋_GB2312" w:hAnsi="仿宋_GB2312" w:eastAsia="仿宋_GB2312" w:cs="仿宋_GB2312"/>
            <w:sz w:val="32"/>
            <w:szCs w:val="32"/>
          </w:rPr>
          <w:t>纳入三亚市公共资源交易中心</w:t>
        </w:r>
      </w:ins>
      <w:ins w:id="2" w:author="user" w:date="2023-10-11T08:32:00Z">
        <w:r>
          <w:rPr>
            <w:rFonts w:hint="default" w:ascii="仿宋_GB2312" w:hAnsi="仿宋_GB2312" w:eastAsia="仿宋_GB2312" w:cs="仿宋_GB2312"/>
            <w:sz w:val="32"/>
            <w:szCs w:val="32"/>
          </w:rPr>
          <w:t>2022</w:t>
        </w:r>
      </w:ins>
      <w:ins w:id="3" w:author="user" w:date="2023-10-11T08:32:00Z">
        <w:r>
          <w:rPr>
            <w:rFonts w:hint="eastAsia" w:ascii="仿宋_GB2312" w:hAnsi="仿宋_GB2312" w:eastAsia="仿宋_GB2312" w:cs="仿宋_GB2312"/>
            <w:sz w:val="32"/>
            <w:szCs w:val="32"/>
          </w:rPr>
          <w:t>年度部门决算编制范围的二级预算单位包括</w:t>
        </w:r>
      </w:ins>
    </w:p>
    <w:p>
      <w:pPr>
        <w:spacing w:line="578" w:lineRule="exact"/>
        <w:ind w:firstLine="640" w:firstLineChars="200"/>
        <w:rPr>
          <w:ins w:id="4" w:author="user" w:date="2023-10-11T08:32:00Z"/>
          <w:rFonts w:hint="eastAsia" w:ascii="仿宋_GB2312" w:hAnsi="仿宋_GB2312" w:eastAsia="仿宋_GB2312" w:cs="仿宋_GB2312"/>
          <w:sz w:val="32"/>
          <w:szCs w:val="32"/>
        </w:rPr>
      </w:pPr>
      <w:ins w:id="5" w:author="user" w:date="2023-10-11T08:32:00Z">
        <w:r>
          <w:rPr>
            <w:rFonts w:hint="eastAsia" w:ascii="仿宋_GB2312" w:hAnsi="仿宋_GB2312" w:eastAsia="仿宋_GB2312" w:cs="仿宋_GB2312"/>
            <w:sz w:val="32"/>
            <w:szCs w:val="32"/>
          </w:rPr>
          <w:t>（一）三亚市公共资源交易中心本级</w:t>
        </w:r>
      </w:ins>
      <w:bookmarkStart w:id="0" w:name="_GoBack"/>
      <w:bookmarkEnd w:id="0"/>
    </w:p>
    <w:p>
      <w:pPr>
        <w:spacing w:line="578" w:lineRule="exact"/>
        <w:ind w:firstLine="640" w:firstLineChars="200"/>
        <w:rPr>
          <w:ins w:id="6" w:author="user" w:date="2023-10-11T08:32:00Z"/>
          <w:rFonts w:hint="eastAsia" w:ascii="仿宋_GB2312" w:hAnsi="仿宋_GB2312" w:eastAsia="仿宋_GB2312" w:cs="仿宋_GB2312"/>
          <w:sz w:val="32"/>
          <w:szCs w:val="32"/>
        </w:rPr>
      </w:pPr>
      <w:ins w:id="7" w:author="user" w:date="2023-10-11T08:32:00Z">
        <w:r>
          <w:rPr>
            <w:rFonts w:hint="eastAsia" w:ascii="仿宋_GB2312" w:hAnsi="仿宋_GB2312" w:eastAsia="仿宋_GB2312" w:cs="仿宋_GB2312"/>
            <w:sz w:val="32"/>
            <w:szCs w:val="32"/>
          </w:rPr>
          <w:t>（二）无（下属单位）</w:t>
        </w:r>
      </w:ins>
    </w:p>
    <w:p>
      <w:pPr>
        <w:jc w:val="left"/>
        <w:rPr>
          <w:rFonts w:ascii="Times New Roman" w:hAnsi="Times New Roman" w:eastAsia="仿宋_GB2312" w:cs="Times New Roman"/>
          <w:sz w:val="32"/>
          <w:szCs w:val="32"/>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 xml:space="preserve">第二部分 </w:t>
      </w:r>
      <w:r>
        <w:rPr>
          <w:rFonts w:ascii="Times New Roman" w:hAnsi="Times New Roman" w:eastAsia="仿宋_GB2312" w:cs="Times New Roman"/>
          <w:sz w:val="32"/>
          <w:szCs w:val="32"/>
        </w:rPr>
        <w:t xml:space="preserve"> </w:t>
      </w:r>
      <w:r>
        <w:rPr>
          <w:rFonts w:ascii="Times New Roman" w:hAnsi="Times New Roman" w:eastAsia="黑体" w:cs="Times New Roman"/>
          <w:sz w:val="32"/>
          <w:szCs w:val="32"/>
        </w:rPr>
        <w:t xml:space="preserve">  三亚市公共资源交易中心</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年单位预算表</w:t>
      </w:r>
    </w:p>
    <w:p>
      <w:pPr>
        <w:ind w:left="800"/>
        <w:jc w:val="left"/>
        <w:rPr>
          <w:rFonts w:ascii="Times New Roman" w:hAnsi="Times New Roman" w:eastAsia="黑体" w:cs="Times New Roman"/>
          <w:sz w:val="32"/>
          <w:szCs w:val="32"/>
        </w:rPr>
      </w:pPr>
    </w:p>
    <w:p>
      <w:pPr>
        <w:ind w:left="800"/>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（此部分内容即为单位预算公开表）</w:t>
      </w:r>
    </w:p>
    <w:p>
      <w:pPr>
        <w:rPr>
          <w:rFonts w:ascii="Times New Roman" w:hAnsi="Times New Roman" w:eastAsia="黑体" w:cs="Times New Roman"/>
          <w:sz w:val="32"/>
          <w:szCs w:val="32"/>
        </w:rPr>
      </w:pPr>
    </w:p>
    <w:p>
      <w:pPr>
        <w:ind w:firstLine="480" w:firstLineChars="150"/>
        <w:rPr>
          <w:rFonts w:ascii="Times New Roman" w:hAnsi="Times New Roman" w:eastAsia="黑体" w:cs="Times New Roman"/>
          <w:sz w:val="32"/>
          <w:szCs w:val="32"/>
        </w:rPr>
      </w:pPr>
      <w:r>
        <w:rPr>
          <w:rFonts w:ascii="Times New Roman" w:hAnsi="Times New Roman" w:eastAsia="黑体" w:cs="Times New Roman"/>
          <w:sz w:val="32"/>
          <w:szCs w:val="32"/>
        </w:rPr>
        <w:t>第三部分     三亚市公共资源交易中心</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年单位预算情况说明</w:t>
      </w:r>
    </w:p>
    <w:p>
      <w:pPr>
        <w:jc w:val="center"/>
        <w:rPr>
          <w:rFonts w:ascii="Times New Roman" w:hAnsi="Times New Roman" w:eastAsia="黑体" w:cs="Times New Roman"/>
          <w:sz w:val="32"/>
          <w:szCs w:val="32"/>
        </w:rPr>
      </w:pPr>
    </w:p>
    <w:p>
      <w:pPr>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一、关于三亚市公共资源交易中心202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三亚市公共资源交易中心202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rPr>
        <w:t>506.27</w:t>
      </w:r>
      <w:r>
        <w:rPr>
          <w:rFonts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rPr>
        <w:t>506.27</w:t>
      </w:r>
      <w:r>
        <w:rPr>
          <w:rFonts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rPr>
        <w:t>506.27</w:t>
      </w:r>
      <w:r>
        <w:rPr>
          <w:rFonts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rPr>
        <w:t>506.27</w:t>
      </w:r>
      <w:r>
        <w:rPr>
          <w:rFonts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rPr>
        <w:t>424.79</w:t>
      </w:r>
      <w:r>
        <w:rPr>
          <w:rFonts w:ascii="Times New Roman" w:hAnsi="Times New Roman" w:eastAsia="仿宋_GB2312" w:cs="Times New Roman"/>
          <w:sz w:val="32"/>
          <w:szCs w:val="32"/>
        </w:rPr>
        <w:t>万元、社会保障和就业支出</w:t>
      </w:r>
      <w:r>
        <w:rPr>
          <w:rFonts w:hint="eastAsia" w:ascii="Times New Roman" w:hAnsi="Times New Roman" w:eastAsia="仿宋_GB2312" w:cs="Times New Roman"/>
          <w:sz w:val="32"/>
          <w:szCs w:val="32"/>
        </w:rPr>
        <w:t>46.07</w:t>
      </w:r>
      <w:r>
        <w:rPr>
          <w:rFonts w:ascii="Times New Roman" w:hAnsi="Times New Roman" w:eastAsia="仿宋_GB2312" w:cs="Times New Roman"/>
          <w:sz w:val="32"/>
          <w:szCs w:val="32"/>
        </w:rPr>
        <w:t>万元、卫生健康支出</w:t>
      </w:r>
      <w:r>
        <w:rPr>
          <w:rFonts w:hint="eastAsia" w:ascii="Times New Roman" w:hAnsi="Times New Roman" w:eastAsia="仿宋_GB2312" w:cs="Times New Roman"/>
          <w:sz w:val="32"/>
          <w:szCs w:val="32"/>
        </w:rPr>
        <w:t>24.09</w:t>
      </w:r>
      <w:r>
        <w:rPr>
          <w:rFonts w:ascii="Times New Roman" w:hAnsi="Times New Roman" w:eastAsia="仿宋_GB2312" w:cs="Times New Roman"/>
          <w:sz w:val="32"/>
          <w:szCs w:val="32"/>
        </w:rPr>
        <w:t>万元、住房保障支出</w:t>
      </w:r>
      <w:r>
        <w:rPr>
          <w:rFonts w:hint="eastAsia" w:ascii="Times New Roman" w:hAnsi="Times New Roman" w:eastAsia="仿宋_GB2312" w:cs="Times New Roman"/>
          <w:sz w:val="32"/>
          <w:szCs w:val="32"/>
        </w:rPr>
        <w:t>11.33</w:t>
      </w:r>
      <w:r>
        <w:rPr>
          <w:rFonts w:ascii="Times New Roman" w:hAnsi="Times New Roman" w:eastAsia="仿宋_GB2312" w:cs="Times New Roman"/>
          <w:sz w:val="32"/>
          <w:szCs w:val="32"/>
        </w:rPr>
        <w:t>万元，结转下年0万元。</w:t>
      </w:r>
    </w:p>
    <w:p>
      <w:pPr>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二、关于三亚市公共资源交易中心202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年一般公共预算当年拨款情况说明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三亚市公共资源交易中心20</w:t>
      </w:r>
      <w:r>
        <w:rPr>
          <w:rFonts w:ascii="Times New Roman" w:hAnsi="Times New Roman" w:eastAsia="黑体" w:cs="Times New Roman"/>
          <w:sz w:val="32"/>
          <w:szCs w:val="32"/>
        </w:rPr>
        <w:t>2</w:t>
      </w:r>
      <w:r>
        <w:rPr>
          <w:rFonts w:hint="eastAsia" w:ascii="Times New Roman" w:hAnsi="Times New Roman" w:eastAsia="黑体" w:cs="Times New Roman"/>
          <w:sz w:val="32"/>
          <w:szCs w:val="32"/>
        </w:rPr>
        <w:t>3</w:t>
      </w:r>
      <w:r>
        <w:rPr>
          <w:rFonts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rPr>
        <w:t>506.27</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减少22.94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,主要是2023年财政预算安排减少。</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rPr>
        <w:t>424.79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83.90</w:t>
      </w:r>
      <w:r>
        <w:rPr>
          <w:rFonts w:ascii="Times New Roman" w:hAnsi="Times New Roman" w:eastAsia="仿宋_GB2312" w:cs="Times New Roman"/>
          <w:sz w:val="32"/>
          <w:szCs w:val="32"/>
        </w:rPr>
        <w:t>%；社会保障和就业支出（类）支出</w:t>
      </w:r>
      <w:r>
        <w:rPr>
          <w:rFonts w:hint="eastAsia" w:ascii="Times New Roman" w:hAnsi="Times New Roman" w:eastAsia="仿宋_GB2312" w:cs="Times New Roman"/>
          <w:sz w:val="32"/>
          <w:szCs w:val="32"/>
        </w:rPr>
        <w:t>46.07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9.09</w:t>
      </w:r>
      <w:r>
        <w:rPr>
          <w:rFonts w:ascii="Times New Roman" w:hAnsi="Times New Roman" w:eastAsia="仿宋_GB2312" w:cs="Times New Roman"/>
          <w:sz w:val="32"/>
          <w:szCs w:val="32"/>
        </w:rPr>
        <w:t>%；卫生健康支出（类）支出</w:t>
      </w:r>
      <w:r>
        <w:rPr>
          <w:rFonts w:hint="eastAsia" w:ascii="Times New Roman" w:hAnsi="Times New Roman" w:eastAsia="仿宋_GB2312" w:cs="Times New Roman"/>
          <w:sz w:val="32"/>
          <w:szCs w:val="32"/>
        </w:rPr>
        <w:t>24.09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4.75</w:t>
      </w:r>
      <w:r>
        <w:rPr>
          <w:rFonts w:ascii="Times New Roman" w:hAnsi="Times New Roman" w:eastAsia="仿宋_GB2312" w:cs="Times New Roman"/>
          <w:sz w:val="32"/>
          <w:szCs w:val="32"/>
        </w:rPr>
        <w:t>%；住房保障支出（类）支出</w:t>
      </w:r>
      <w:r>
        <w:rPr>
          <w:rFonts w:hint="eastAsia" w:ascii="Times New Roman" w:hAnsi="Times New Roman" w:eastAsia="仿宋_GB2312" w:cs="Times New Roman"/>
          <w:sz w:val="32"/>
          <w:szCs w:val="32"/>
        </w:rPr>
        <w:t>11.33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2.26</w:t>
      </w:r>
      <w:r>
        <w:rPr>
          <w:rFonts w:ascii="Times New Roman" w:hAnsi="Times New Roman" w:eastAsia="仿宋_GB2312" w:cs="Times New Roman"/>
          <w:sz w:val="32"/>
          <w:szCs w:val="32"/>
        </w:rPr>
        <w:t>%。</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（三）一般公共预算当年拨款具体使用情况</w:t>
      </w:r>
    </w:p>
    <w:p>
      <w:pPr>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1.一般公共服务</w:t>
      </w:r>
      <w:r>
        <w:rPr>
          <w:rFonts w:hint="eastAsia" w:ascii="Times New Roman" w:hAnsi="Times New Roman" w:eastAsia="仿宋_GB2312" w:cs="Times New Roman"/>
          <w:sz w:val="32"/>
          <w:szCs w:val="32"/>
        </w:rPr>
        <w:t>支出</w:t>
      </w:r>
      <w:r>
        <w:rPr>
          <w:rFonts w:ascii="Times New Roman" w:hAnsi="Times New Roman" w:eastAsia="仿宋_GB2312" w:cs="Times New Roman"/>
          <w:sz w:val="32"/>
          <w:szCs w:val="32"/>
        </w:rPr>
        <w:t>（类）政府办公厅（室）及相关机构事务（款）事业运行（项）</w:t>
      </w:r>
      <w:r>
        <w:rPr>
          <w:rFonts w:hint="eastAsia" w:ascii="Times New Roman" w:hAnsi="Times New Roman" w:eastAsia="仿宋_GB2312" w:cs="Times New Roman"/>
          <w:sz w:val="32"/>
          <w:szCs w:val="32"/>
        </w:rPr>
        <w:t>2023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394.69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比</w:t>
      </w:r>
      <w:r>
        <w:rPr>
          <w:rFonts w:ascii="Times New Roman" w:hAnsi="Times New Roman" w:eastAsia="仿宋_GB2312" w:cs="Times New Roman"/>
          <w:sz w:val="32"/>
          <w:szCs w:val="32"/>
        </w:rPr>
        <w:t>上年预算数</w:t>
      </w:r>
      <w:r>
        <w:rPr>
          <w:rFonts w:hint="eastAsia" w:ascii="Times New Roman" w:hAnsi="Times New Roman" w:eastAsia="仿宋_GB2312" w:cs="Times New Roman"/>
          <w:sz w:val="32"/>
          <w:szCs w:val="32"/>
        </w:rPr>
        <w:t>增加299.34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highlight w:val="none"/>
        </w:rPr>
        <w:t>主要是2023年</w:t>
      </w:r>
      <w:r>
        <w:rPr>
          <w:rFonts w:hint="eastAsia" w:ascii="Times New Roman" w:hAnsi="Times New Roman" w:eastAsia="仿宋_GB2312" w:cs="Times New Roman"/>
          <w:sz w:val="32"/>
          <w:szCs w:val="32"/>
          <w:highlight w:val="none"/>
          <w:lang w:eastAsia="zh-CN"/>
        </w:rPr>
        <w:t>单位</w:t>
      </w:r>
      <w:r>
        <w:rPr>
          <w:rFonts w:hint="eastAsia" w:ascii="仿宋_GB2312" w:hAnsi="黑体" w:eastAsia="仿宋_GB2312"/>
          <w:sz w:val="32"/>
          <w:szCs w:val="32"/>
          <w:highlight w:val="none"/>
          <w:lang w:val="en-US" w:eastAsia="zh-CN"/>
        </w:rPr>
        <w:t>项目预算需求</w:t>
      </w:r>
      <w:r>
        <w:rPr>
          <w:rFonts w:hint="eastAsia" w:ascii="Times New Roman" w:hAnsi="Times New Roman" w:eastAsia="仿宋_GB2312" w:cs="Times New Roman"/>
          <w:sz w:val="32"/>
          <w:szCs w:val="32"/>
          <w:highlight w:val="none"/>
          <w:lang w:eastAsia="zh-CN"/>
        </w:rPr>
        <w:t>增加。</w:t>
      </w:r>
    </w:p>
    <w:p>
      <w:pPr>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 一般公共服务</w:t>
      </w:r>
      <w:r>
        <w:rPr>
          <w:rFonts w:hint="eastAsia" w:ascii="Times New Roman" w:hAnsi="Times New Roman" w:eastAsia="仿宋_GB2312" w:cs="Times New Roman"/>
          <w:sz w:val="32"/>
          <w:szCs w:val="32"/>
        </w:rPr>
        <w:t>支出</w:t>
      </w:r>
      <w:r>
        <w:rPr>
          <w:rFonts w:ascii="Times New Roman" w:hAnsi="Times New Roman" w:eastAsia="仿宋_GB2312" w:cs="Times New Roman"/>
          <w:sz w:val="32"/>
          <w:szCs w:val="32"/>
        </w:rPr>
        <w:t>（类）政府办公厅（室）及相关机构事务（款）其他政府办公厅（室）及相关机构事务支出（项）202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w:t>
      </w:r>
      <w:r>
        <w:rPr>
          <w:rFonts w:hint="eastAsia" w:ascii="Times New Roman" w:hAnsi="Times New Roman" w:eastAsia="仿宋_GB2312" w:cs="Times New Roman"/>
          <w:sz w:val="32"/>
          <w:szCs w:val="32"/>
        </w:rPr>
        <w:t>30.10万元，</w:t>
      </w:r>
      <w:r>
        <w:rPr>
          <w:rFonts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rPr>
        <w:t>减少349.9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highlight w:val="none"/>
        </w:rPr>
        <w:t>主要是2023年</w:t>
      </w:r>
      <w:r>
        <w:rPr>
          <w:rFonts w:hint="eastAsia" w:ascii="Times New Roman" w:hAnsi="Times New Roman" w:eastAsia="仿宋_GB2312" w:cs="Times New Roman"/>
          <w:sz w:val="32"/>
          <w:szCs w:val="32"/>
          <w:highlight w:val="none"/>
          <w:lang w:eastAsia="zh-CN"/>
        </w:rPr>
        <w:t>单位</w:t>
      </w:r>
      <w:r>
        <w:rPr>
          <w:rFonts w:hint="eastAsia" w:ascii="仿宋_GB2312" w:hAnsi="黑体" w:eastAsia="仿宋_GB2312"/>
          <w:sz w:val="32"/>
          <w:szCs w:val="32"/>
          <w:highlight w:val="none"/>
          <w:lang w:val="en-US" w:eastAsia="zh-CN"/>
        </w:rPr>
        <w:t>项目预算需求</w:t>
      </w:r>
      <w:r>
        <w:rPr>
          <w:rFonts w:hint="eastAsia" w:ascii="Times New Roman" w:hAnsi="Times New Roman" w:eastAsia="仿宋_GB2312" w:cs="Times New Roman"/>
          <w:sz w:val="32"/>
          <w:szCs w:val="32"/>
          <w:highlight w:val="none"/>
        </w:rPr>
        <w:t>减少</w:t>
      </w:r>
      <w:r>
        <w:rPr>
          <w:rFonts w:hint="eastAsia" w:ascii="Times New Roman" w:hAnsi="Times New Roman" w:eastAsia="仿宋_GB2312" w:cs="Times New Roman"/>
          <w:sz w:val="32"/>
          <w:szCs w:val="32"/>
          <w:highlight w:val="none"/>
          <w:lang w:eastAsia="zh-CN"/>
        </w:rPr>
        <w:t>。</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3.社会保障和就业支出(类）行政事业单位养老支出（款）机关事业单位基本养老保险缴费支出（项）2023年预算数为12.04万元，</w:t>
      </w:r>
      <w:r>
        <w:rPr>
          <w:rFonts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rPr>
        <w:t>3.3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，主要是2023年养老基数增加。</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4..社会保障和就业支出(类）行政事业单位养老支出（款）机关事业单位职业年金缴费支出（项）2023年预算数为34.02万元</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rPr>
        <w:t>14.02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，主要是2023年职业年金基数增加。</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5.卫生健康支出（类）行政事业单位医疗（款）事业单位医疗（项）2023年预算数为5.21万元，</w:t>
      </w:r>
      <w:r>
        <w:rPr>
          <w:rFonts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rPr>
        <w:t>0.51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，主要是2023年医疗基数增加。</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6.卫生健康支出（类）行政事业单位医疗（款）公务员医疗补助（项）2023年预算数为18.88万元，</w:t>
      </w:r>
      <w:r>
        <w:rPr>
          <w:rFonts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rPr>
        <w:t>5.21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，主要是2023年公务员医疗补助基数增加。</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7.住房保障支出（类）住房改革支出（款）住房公积金（项）2023年预算数为11.33万元，</w:t>
      </w:r>
      <w:r>
        <w:rPr>
          <w:rFonts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rPr>
        <w:t>4.52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，主要是2023年公积基数增加。</w:t>
      </w:r>
    </w:p>
    <w:p>
      <w:pPr>
        <w:ind w:firstLine="640" w:firstLineChars="200"/>
        <w:rPr>
          <w:rFonts w:ascii="Times New Roman" w:hAnsi="Times New Roman" w:eastAsia="仿宋_GB2312" w:cs="Times New Roman"/>
          <w:sz w:val="32"/>
          <w:szCs w:val="32"/>
        </w:rPr>
      </w:pPr>
    </w:p>
    <w:p>
      <w:pPr>
        <w:ind w:firstLine="640"/>
        <w:rPr>
          <w:rFonts w:ascii="Times New Roman" w:hAnsi="Times New Roman" w:eastAsia="黑体" w:cs="Times New Roman"/>
          <w:sz w:val="32"/>
          <w:szCs w:val="32"/>
        </w:rPr>
      </w:pPr>
      <w:r>
        <w:rPr>
          <w:rFonts w:ascii="Times New Roman" w:hAnsi="Times New Roman" w:eastAsia="黑体" w:cs="Times New Roman"/>
          <w:sz w:val="32"/>
          <w:szCs w:val="32"/>
        </w:rPr>
        <w:t>三、关于三亚市公共资源交易中心202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年一般公共预算基本支出情况说明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三亚市公共资源交易中心202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rPr>
        <w:t>226.17</w:t>
      </w:r>
      <w:r>
        <w:rPr>
          <w:rFonts w:ascii="Times New Roman" w:hAnsi="Times New Roman" w:eastAsia="仿宋_GB2312" w:cs="Times New Roman"/>
          <w:sz w:val="32"/>
          <w:szCs w:val="32"/>
        </w:rPr>
        <w:t>万元，其中：</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人员经费</w:t>
      </w:r>
      <w:r>
        <w:rPr>
          <w:rFonts w:hint="eastAsia" w:ascii="Times New Roman" w:hAnsi="Times New Roman" w:eastAsia="仿宋_GB2312" w:cs="Times New Roman"/>
          <w:sz w:val="32"/>
          <w:szCs w:val="32"/>
        </w:rPr>
        <w:t>208.96</w:t>
      </w:r>
      <w:r>
        <w:rPr>
          <w:rFonts w:ascii="Times New Roman" w:hAnsi="Times New Roman" w:eastAsia="仿宋_GB2312" w:cs="Times New Roman"/>
          <w:sz w:val="32"/>
          <w:szCs w:val="32"/>
        </w:rPr>
        <w:t>万元，主要包括：基本工资、津贴补贴、绩效工资、机关事业单位基本养老保险缴费</w:t>
      </w:r>
      <w:r>
        <w:rPr>
          <w:rFonts w:hint="eastAsia" w:ascii="Times New Roman" w:hAnsi="Times New Roman" w:eastAsia="仿宋_GB2312" w:cs="Times New Roman"/>
          <w:sz w:val="32"/>
          <w:szCs w:val="32"/>
        </w:rPr>
        <w:t>、职工基本医疗保险缴费、公务员医疗补助缴费、其他</w:t>
      </w:r>
      <w:r>
        <w:rPr>
          <w:rFonts w:ascii="Times New Roman" w:hAnsi="Times New Roman" w:eastAsia="仿宋_GB2312" w:cs="Times New Roman"/>
          <w:sz w:val="32"/>
          <w:szCs w:val="32"/>
        </w:rPr>
        <w:t>社会保障缴费</w:t>
      </w:r>
      <w:r>
        <w:rPr>
          <w:rFonts w:hint="eastAsia" w:ascii="Times New Roman" w:hAnsi="Times New Roman" w:eastAsia="仿宋_GB2312" w:cs="Times New Roman"/>
          <w:sz w:val="32"/>
          <w:szCs w:val="32"/>
        </w:rPr>
        <w:t>、住房公积金、其他工资福利支出、办公费、邮电费、会议费、培训费、工会经费、福利费、其他商品和服务支出</w:t>
      </w:r>
      <w:r>
        <w:rPr>
          <w:rFonts w:ascii="Times New Roman" w:hAnsi="Times New Roman" w:eastAsia="仿宋_GB2312" w:cs="Times New Roman"/>
          <w:sz w:val="32"/>
          <w:szCs w:val="32"/>
        </w:rPr>
        <w:t>等;</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公用经费</w:t>
      </w:r>
      <w:r>
        <w:rPr>
          <w:rFonts w:hint="eastAsia" w:ascii="Times New Roman" w:hAnsi="Times New Roman" w:eastAsia="仿宋_GB2312" w:cs="Times New Roman"/>
          <w:sz w:val="32"/>
          <w:szCs w:val="32"/>
        </w:rPr>
        <w:t>17.21</w:t>
      </w:r>
      <w:r>
        <w:rPr>
          <w:rFonts w:ascii="Times New Roman" w:hAnsi="Times New Roman" w:eastAsia="仿宋_GB2312" w:cs="Times New Roman"/>
          <w:sz w:val="32"/>
          <w:szCs w:val="32"/>
        </w:rPr>
        <w:t>万元，主要包括：其他社会保障缴费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办公费、</w:t>
      </w:r>
      <w:r>
        <w:rPr>
          <w:rFonts w:hint="eastAsia" w:ascii="Times New Roman" w:hAnsi="Times New Roman" w:eastAsia="仿宋_GB2312" w:cs="Times New Roman"/>
          <w:sz w:val="32"/>
          <w:szCs w:val="32"/>
        </w:rPr>
        <w:t>会议费、培训费、工会经费、福利费、其他商品和服务支出</w:t>
      </w:r>
      <w:r>
        <w:rPr>
          <w:rFonts w:ascii="Times New Roman" w:hAnsi="Times New Roman" w:eastAsia="仿宋_GB2312" w:cs="Times New Roman"/>
          <w:sz w:val="32"/>
          <w:szCs w:val="32"/>
        </w:rPr>
        <w:t>等。</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四、</w:t>
      </w:r>
      <w:r>
        <w:rPr>
          <w:rFonts w:ascii="Times New Roman" w:hAnsi="Times New Roman" w:eastAsia="黑体" w:cs="Times New Roman"/>
          <w:sz w:val="32"/>
          <w:szCs w:val="32"/>
        </w:rPr>
        <w:t>关于三亚市公共资源交易中心</w:t>
      </w:r>
      <w:r>
        <w:rPr>
          <w:rFonts w:hint="eastAsia" w:ascii="Times New Roman" w:hAnsi="Times New Roman" w:eastAsia="黑体" w:cs="Times New Roman"/>
          <w:sz w:val="32"/>
          <w:szCs w:val="32"/>
        </w:rPr>
        <w:t>2023</w:t>
      </w:r>
      <w:r>
        <w:rPr>
          <w:rFonts w:ascii="Times New Roman" w:hAnsi="Times New Roman" w:eastAsia="黑体" w:cs="Times New Roman"/>
          <w:sz w:val="32"/>
          <w:shd w:val="clear" w:color="auto" w:fill="FFFFFF"/>
        </w:rPr>
        <w:t>年“三公”经费预算情况说明</w:t>
      </w:r>
    </w:p>
    <w:p>
      <w:pPr>
        <w:ind w:firstLine="63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（一）三亚市公共资源交易中心</w:t>
      </w:r>
      <w:r>
        <w:rPr>
          <w:rFonts w:hint="eastAsia" w:ascii="Times New Roman" w:hAnsi="Times New Roman" w:eastAsia="仿宋_GB2312" w:cs="Times New Roman"/>
          <w:sz w:val="32"/>
          <w:szCs w:val="32"/>
        </w:rPr>
        <w:t>2023</w:t>
      </w:r>
      <w:r>
        <w:rPr>
          <w:rFonts w:ascii="Times New Roman" w:hAnsi="Times New Roman" w:eastAsia="仿宋_GB2312" w:cs="Times New Roman"/>
          <w:sz w:val="32"/>
          <w:szCs w:val="32"/>
        </w:rPr>
        <w:t>年一般公共预算“三公”经费预算数为0万元，</w:t>
      </w:r>
      <w:r>
        <w:rPr>
          <w:rFonts w:hint="eastAsia" w:ascii="Times New Roman" w:hAnsi="Times New Roman" w:eastAsia="仿宋_GB2312" w:cs="Times New Roman"/>
          <w:sz w:val="32"/>
          <w:szCs w:val="32"/>
        </w:rPr>
        <w:t>与上年预算持平。</w:t>
      </w:r>
      <w:r>
        <w:rPr>
          <w:rFonts w:hint="eastAsia" w:ascii="Times New Roman" w:hAnsi="Times New Roman" w:eastAsia="仿宋_GB2312" w:cs="Times New Roman"/>
          <w:sz w:val="32"/>
          <w:szCs w:val="32"/>
          <w:lang w:eastAsia="zh-CN"/>
        </w:rPr>
        <w:t>其中：</w:t>
      </w:r>
    </w:p>
    <w:p>
      <w:pPr>
        <w:ind w:firstLine="630"/>
        <w:rPr>
          <w:rFonts w:ascii="Times New Roman" w:hAnsi="Times New Roman" w:eastAsia="仿宋_GB2312" w:cs="Times New Roman"/>
          <w:sz w:val="32"/>
          <w:szCs w:val="32"/>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numPr>
          <w:ilvl w:val="0"/>
          <w:numId w:val="6"/>
        </w:numPr>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三亚市公共资源交易中心</w:t>
      </w:r>
      <w:r>
        <w:rPr>
          <w:rFonts w:hint="eastAsia" w:ascii="Times New Roman" w:hAnsi="Times New Roman" w:eastAsia="仿宋_GB2312" w:cs="Times New Roman"/>
          <w:sz w:val="32"/>
          <w:szCs w:val="32"/>
        </w:rPr>
        <w:t>2023</w:t>
      </w:r>
      <w:r>
        <w:rPr>
          <w:rFonts w:ascii="Times New Roman" w:hAnsi="Times New Roman" w:eastAsia="仿宋_GB2312" w:cs="Times New Roman"/>
          <w:sz w:val="32"/>
          <w:szCs w:val="32"/>
        </w:rPr>
        <w:t>年年政府性基金预算“三公”经费预算数为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与上年预算持平。</w:t>
      </w:r>
      <w:r>
        <w:rPr>
          <w:rFonts w:hint="eastAsia" w:ascii="Times New Roman" w:hAnsi="Times New Roman" w:eastAsia="仿宋_GB2312" w:cs="Times New Roman"/>
          <w:sz w:val="32"/>
          <w:szCs w:val="32"/>
          <w:lang w:eastAsia="zh-CN"/>
        </w:rPr>
        <w:t>其中：</w:t>
      </w:r>
    </w:p>
    <w:p>
      <w:pPr>
        <w:numPr>
          <w:ilvl w:val="0"/>
          <w:numId w:val="0"/>
        </w:numPr>
        <w:rPr>
          <w:rFonts w:hint="eastAsia" w:ascii="仿宋_GB2312" w:hAnsi="黑体" w:eastAsia="仿宋_GB2312"/>
          <w:color w:val="auto"/>
          <w:sz w:val="32"/>
          <w:szCs w:val="32"/>
        </w:rPr>
      </w:pPr>
      <w:r>
        <w:rPr>
          <w:rFonts w:hint="eastAsia" w:ascii="Times New Roman" w:hAnsi="Times New Roman" w:eastAsia="仿宋_GB2312" w:cs="Times New Roman"/>
          <w:sz w:val="32"/>
          <w:szCs w:val="32"/>
          <w:lang w:val="en-US" w:eastAsia="zh-CN"/>
        </w:rPr>
        <w:t xml:space="preserve">   </w:t>
      </w:r>
      <w:r>
        <w:rPr>
          <w:rFonts w:hint="eastAsia" w:ascii="仿宋_GB2312" w:hAnsi="黑体" w:eastAsia="仿宋_GB2312"/>
          <w:color w:val="auto"/>
          <w:sz w:val="32"/>
          <w:szCs w:val="32"/>
        </w:rPr>
        <w:t>因公出国（境）经费0万元，与上年预算持平，2024年无出国（境）计划安排；公务用车购置及运行费0万元（其中，公务用车购置费0万元，公务用车运行费0万元），与上年预算持平；公务接待费0万元，与上年预算持平。</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五、</w:t>
      </w:r>
      <w:r>
        <w:rPr>
          <w:rFonts w:ascii="Times New Roman" w:hAnsi="Times New Roman" w:eastAsia="黑体" w:cs="Times New Roman"/>
          <w:sz w:val="32"/>
          <w:shd w:val="clear" w:color="auto" w:fill="FFFFFF"/>
        </w:rPr>
        <w:t>关于</w:t>
      </w:r>
      <w:r>
        <w:rPr>
          <w:rFonts w:hint="eastAsia" w:ascii="Times New Roman" w:hAnsi="Times New Roman" w:eastAsia="仿宋_GB2312" w:cs="Times New Roman"/>
          <w:b/>
          <w:bCs/>
          <w:sz w:val="32"/>
          <w:szCs w:val="32"/>
        </w:rPr>
        <w:t>三亚市公共资源交易中心</w:t>
      </w:r>
      <w:r>
        <w:rPr>
          <w:rFonts w:hint="eastAsia" w:ascii="Times New Roman" w:hAnsi="Times New Roman" w:eastAsia="仿宋_GB2312" w:cs="Times New Roman"/>
          <w:sz w:val="32"/>
          <w:szCs w:val="32"/>
        </w:rPr>
        <w:t>2023</w:t>
      </w:r>
      <w:r>
        <w:rPr>
          <w:rFonts w:ascii="Times New Roman" w:hAnsi="Times New Roman"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三亚市公共资源交易中心</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六、关于</w:t>
      </w:r>
      <w:r>
        <w:rPr>
          <w:rFonts w:ascii="Times New Roman" w:hAnsi="Times New Roman" w:eastAsia="黑体" w:cs="Times New Roman"/>
          <w:sz w:val="32"/>
          <w:szCs w:val="32"/>
        </w:rPr>
        <w:t>三亚市公共资源交易中心202</w:t>
      </w:r>
      <w:r>
        <w:rPr>
          <w:rFonts w:hint="eastAsia" w:ascii="Times New Roman" w:hAnsi="Times New Roman" w:eastAsia="黑体" w:cs="Times New Roman"/>
          <w:sz w:val="32"/>
          <w:szCs w:val="32"/>
        </w:rPr>
        <w:t>3</w:t>
      </w:r>
      <w:r>
        <w:rPr>
          <w:rFonts w:ascii="Times New Roman" w:hAnsi="Times New Roman" w:eastAsia="黑体" w:cs="Times New Roman"/>
          <w:sz w:val="32"/>
          <w:shd w:val="clear" w:color="auto" w:fill="FFFFFF"/>
        </w:rPr>
        <w:t>年收支预算情况的总体说明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综合预算原则，三亚市公共资源交易中心所有收入和支出均纳入部门预算管理。收入包括：一般公共预算收入；支出包括：一般公共服务支出、社会保障支出、卫生健康支出、住房保障支出。三亚市公共资源交易中心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rPr>
        <w:t>506.27</w:t>
      </w:r>
      <w:r>
        <w:rPr>
          <w:rFonts w:ascii="Times New Roman" w:hAnsi="Times New Roman" w:eastAsia="仿宋_GB2312" w:cs="Times New Roman"/>
          <w:sz w:val="32"/>
          <w:szCs w:val="32"/>
        </w:rPr>
        <w:t>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七、关于</w:t>
      </w:r>
      <w:r>
        <w:rPr>
          <w:rFonts w:ascii="Times New Roman" w:hAnsi="Times New Roman" w:eastAsia="黑体" w:cs="Times New Roman"/>
          <w:sz w:val="32"/>
          <w:szCs w:val="32"/>
        </w:rPr>
        <w:t>三亚市公共资源交易中心202</w:t>
      </w:r>
      <w:r>
        <w:rPr>
          <w:rFonts w:hint="eastAsia" w:ascii="Times New Roman" w:hAnsi="Times New Roman" w:eastAsia="黑体" w:cs="Times New Roman"/>
          <w:sz w:val="32"/>
          <w:szCs w:val="32"/>
        </w:rPr>
        <w:t>3</w:t>
      </w:r>
      <w:r>
        <w:rPr>
          <w:rFonts w:ascii="Times New Roman" w:hAnsi="Times New Roman" w:eastAsia="黑体" w:cs="Times New Roman"/>
          <w:sz w:val="32"/>
          <w:shd w:val="clear" w:color="auto" w:fill="FFFFFF"/>
        </w:rPr>
        <w:t>年收入预算情况说明</w:t>
      </w:r>
    </w:p>
    <w:p>
      <w:pPr>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rPr>
        <w:t>三亚市公共资源交易中心202</w:t>
      </w:r>
      <w:r>
        <w:rPr>
          <w:rFonts w:hint="eastAsia" w:ascii="Times New Roman" w:hAnsi="Times New Roman" w:eastAsia="黑体" w:cs="Times New Roman"/>
          <w:sz w:val="32"/>
          <w:szCs w:val="32"/>
        </w:rPr>
        <w:t>3</w:t>
      </w:r>
      <w:r>
        <w:rPr>
          <w:rFonts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rPr>
        <w:t>506.27</w:t>
      </w:r>
      <w:r>
        <w:rPr>
          <w:rFonts w:ascii="Times New Roman" w:hAnsi="Times New Roman" w:eastAsia="仿宋_GB2312" w:cs="Times New Roman"/>
          <w:sz w:val="32"/>
          <w:szCs w:val="32"/>
        </w:rPr>
        <w:t>万元，其中：上年结转0万元，占0%；经费拨款收入</w:t>
      </w:r>
      <w:r>
        <w:rPr>
          <w:rFonts w:hint="eastAsia" w:ascii="Times New Roman" w:hAnsi="Times New Roman" w:eastAsia="仿宋_GB2312" w:cs="Times New Roman"/>
          <w:sz w:val="32"/>
          <w:szCs w:val="32"/>
        </w:rPr>
        <w:t>506.27</w:t>
      </w:r>
      <w:r>
        <w:rPr>
          <w:rFonts w:ascii="Times New Roman" w:hAnsi="Times New Roman" w:eastAsia="仿宋_GB2312" w:cs="Times New Roman"/>
          <w:sz w:val="32"/>
          <w:szCs w:val="32"/>
        </w:rPr>
        <w:t>万元，占100%；政府性基金收入0万元，占0%；专项收入0万元，占0%。比上年预算数</w:t>
      </w:r>
      <w:r>
        <w:rPr>
          <w:rFonts w:hint="eastAsia" w:ascii="Times New Roman" w:hAnsi="Times New Roman" w:eastAsia="仿宋_GB2312" w:cs="Times New Roman"/>
          <w:sz w:val="32"/>
          <w:szCs w:val="32"/>
        </w:rPr>
        <w:t>减少22.94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highlight w:val="none"/>
        </w:rPr>
        <w:t>主要是2023年</w:t>
      </w:r>
      <w:r>
        <w:rPr>
          <w:rFonts w:hint="eastAsia" w:ascii="Times New Roman" w:hAnsi="Times New Roman" w:eastAsia="仿宋_GB2312" w:cs="Times New Roman"/>
          <w:sz w:val="32"/>
          <w:szCs w:val="32"/>
          <w:highlight w:val="none"/>
          <w:lang w:eastAsia="zh-CN"/>
        </w:rPr>
        <w:t>单位</w:t>
      </w:r>
      <w:r>
        <w:rPr>
          <w:rFonts w:hint="eastAsia" w:ascii="仿宋_GB2312" w:hAnsi="黑体" w:eastAsia="仿宋_GB2312"/>
          <w:sz w:val="32"/>
          <w:szCs w:val="32"/>
          <w:highlight w:val="none"/>
          <w:lang w:val="en-US" w:eastAsia="zh-CN"/>
        </w:rPr>
        <w:t>项目预算需求</w:t>
      </w:r>
      <w:r>
        <w:rPr>
          <w:rFonts w:hint="eastAsia" w:ascii="Times New Roman" w:hAnsi="Times New Roman" w:eastAsia="仿宋_GB2312" w:cs="Times New Roman"/>
          <w:sz w:val="32"/>
          <w:szCs w:val="32"/>
          <w:highlight w:val="none"/>
        </w:rPr>
        <w:t>减少。</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八、关于</w:t>
      </w:r>
      <w:r>
        <w:rPr>
          <w:rFonts w:ascii="Times New Roman" w:hAnsi="Times New Roman" w:eastAsia="黑体" w:cs="Times New Roman"/>
          <w:sz w:val="32"/>
          <w:szCs w:val="32"/>
        </w:rPr>
        <w:t>三亚市公共资源交易中心202</w:t>
      </w:r>
      <w:r>
        <w:rPr>
          <w:rFonts w:hint="eastAsia" w:ascii="Times New Roman" w:hAnsi="Times New Roman" w:eastAsia="黑体" w:cs="Times New Roman"/>
          <w:sz w:val="32"/>
          <w:szCs w:val="32"/>
        </w:rPr>
        <w:t>3</w:t>
      </w:r>
      <w:r>
        <w:rPr>
          <w:rFonts w:ascii="Times New Roman" w:hAnsi="Times New Roman" w:eastAsia="黑体" w:cs="Times New Roman"/>
          <w:sz w:val="32"/>
          <w:shd w:val="clear" w:color="auto" w:fill="FFFFFF"/>
        </w:rPr>
        <w:t>年支出预算情况说明</w:t>
      </w:r>
    </w:p>
    <w:p>
      <w:pPr>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rPr>
        <w:t>三亚市公共资源交易中心202</w:t>
      </w:r>
      <w:r>
        <w:rPr>
          <w:rFonts w:hint="eastAsia" w:ascii="Times New Roman" w:hAnsi="Times New Roman" w:eastAsia="黑体" w:cs="Times New Roman"/>
          <w:sz w:val="32"/>
          <w:szCs w:val="32"/>
        </w:rPr>
        <w:t>3</w:t>
      </w:r>
      <w:r>
        <w:rPr>
          <w:rFonts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rPr>
        <w:t>506.27</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226.17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44.67</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280.1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55.33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rPr>
        <w:t>减少99.9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highlight w:val="none"/>
        </w:rPr>
        <w:t>主要是2023年</w:t>
      </w:r>
      <w:r>
        <w:rPr>
          <w:rFonts w:hint="eastAsia" w:ascii="Times New Roman" w:hAnsi="Times New Roman" w:eastAsia="仿宋_GB2312" w:cs="Times New Roman"/>
          <w:sz w:val="32"/>
          <w:szCs w:val="32"/>
          <w:highlight w:val="none"/>
          <w:lang w:eastAsia="zh-CN"/>
        </w:rPr>
        <w:t>单位</w:t>
      </w:r>
      <w:r>
        <w:rPr>
          <w:rFonts w:hint="eastAsia" w:ascii="仿宋_GB2312" w:hAnsi="黑体" w:eastAsia="仿宋_GB2312"/>
          <w:sz w:val="32"/>
          <w:szCs w:val="32"/>
          <w:highlight w:val="none"/>
          <w:lang w:val="en-US" w:eastAsia="zh-CN"/>
        </w:rPr>
        <w:t>项目预算需求</w:t>
      </w:r>
      <w:r>
        <w:rPr>
          <w:rFonts w:hint="eastAsia" w:ascii="Times New Roman" w:hAnsi="Times New Roman" w:eastAsia="仿宋_GB2312" w:cs="Times New Roman"/>
          <w:sz w:val="32"/>
          <w:szCs w:val="32"/>
          <w:highlight w:val="none"/>
        </w:rPr>
        <w:t>减少。</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（一）机关运行经费（行政单位、参照公务员法管理的事业单位需说明，其他单位不需要说明）</w:t>
      </w:r>
    </w:p>
    <w:p>
      <w:pPr>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lang w:eastAsia="zh-CN"/>
        </w:rPr>
        <w:t>三亚市公共资源交易中心为</w:t>
      </w:r>
      <w:r>
        <w:rPr>
          <w:rFonts w:hint="eastAsia" w:ascii="Times New Roman" w:hAnsi="Times New Roman" w:eastAsia="仿宋_GB2312" w:cs="Times New Roman"/>
          <w:sz w:val="32"/>
          <w:szCs w:val="32"/>
        </w:rPr>
        <w:t>公益一类事业单位</w:t>
      </w:r>
      <w:r>
        <w:rPr>
          <w:rFonts w:hint="eastAsia" w:ascii="Times New Roman" w:hAnsi="Times New Roman" w:eastAsia="仿宋_GB2312" w:cs="Times New Roman"/>
          <w:sz w:val="32"/>
          <w:szCs w:val="32"/>
          <w:lang w:eastAsia="zh-CN"/>
        </w:rPr>
        <w:t>，</w:t>
      </w:r>
      <w:r>
        <w:rPr>
          <w:rFonts w:hint="eastAsia" w:ascii="仿宋_GB2312" w:hAnsi="黑体" w:eastAsia="仿宋_GB2312"/>
          <w:sz w:val="32"/>
          <w:szCs w:val="32"/>
          <w:highlight w:val="none"/>
        </w:rPr>
        <w:t>无机关运行经费。</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2023</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三亚市公共资源交易中心</w:t>
      </w:r>
      <w:r>
        <w:rPr>
          <w:rFonts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rPr>
        <w:t>30.95</w:t>
      </w:r>
      <w:r>
        <w:rPr>
          <w:rFonts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rPr>
        <w:t>30.95</w:t>
      </w:r>
      <w:r>
        <w:rPr>
          <w:rFonts w:ascii="Times New Roman" w:hAnsi="Times New Roman" w:eastAsia="仿宋_GB2312" w:cs="Times New Roman"/>
          <w:sz w:val="32"/>
          <w:szCs w:val="32"/>
        </w:rPr>
        <w:t>万元，政府采购工程预算</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万元，政府采购服务预算</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截至</w:t>
      </w:r>
      <w:r>
        <w:rPr>
          <w:rFonts w:hint="eastAsia" w:ascii="Times New Roman" w:hAnsi="Times New Roman" w:eastAsia="仿宋_GB2312" w:cs="Times New Roman"/>
          <w:sz w:val="32"/>
          <w:szCs w:val="32"/>
        </w:rPr>
        <w:t>2023</w:t>
      </w:r>
      <w:r>
        <w:rPr>
          <w:rFonts w:ascii="Times New Roman" w:hAnsi="Times New Roman" w:eastAsia="仿宋_GB2312" w:cs="Times New Roman"/>
          <w:sz w:val="32"/>
          <w:szCs w:val="32"/>
        </w:rPr>
        <w:t>年12月31日，有车辆</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辆，其中，领导干部用车</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辆，机要通信应急用车</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辆、一般执法执勤用车</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辆、特种专业技术用车</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辆、其他用车</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辆。单位价值100万元以上设备</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2023</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三亚市公共资源交易中心13</w:t>
      </w:r>
      <w:r>
        <w:rPr>
          <w:rFonts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rPr>
        <w:t>506.27</w:t>
      </w:r>
      <w:r>
        <w:rPr>
          <w:rFonts w:ascii="Times New Roman" w:hAnsi="Times New Roman" w:eastAsia="仿宋_GB2312" w:cs="Times New Roman"/>
          <w:sz w:val="32"/>
          <w:szCs w:val="32"/>
        </w:rPr>
        <w:t>万元、政府性基金</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（项目数和金额与公开表的表10不一致）</w:t>
      </w:r>
    </w:p>
    <w:p>
      <w:pPr>
        <w:jc w:val="center"/>
        <w:rPr>
          <w:rFonts w:ascii="Times New Roman" w:hAnsi="Times New Roman" w:eastAsia="黑体" w:cs="Times New Roman"/>
          <w:sz w:val="32"/>
          <w:szCs w:val="32"/>
        </w:rPr>
      </w:pPr>
    </w:p>
    <w:p>
      <w:pPr>
        <w:jc w:val="left"/>
        <w:rPr>
          <w:rFonts w:ascii="Times New Roman" w:hAnsi="Times New Roman" w:eastAsia="仿宋_GB2312" w:cs="Times New Roman"/>
          <w:kern w:val="0"/>
          <w:sz w:val="32"/>
          <w:szCs w:val="30"/>
        </w:rPr>
      </w:pPr>
    </w:p>
    <w:p>
      <w:pPr>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第四部分  名词解释</w:t>
      </w:r>
    </w:p>
    <w:p>
      <w:pPr>
        <w:ind w:firstLine="640" w:firstLineChars="200"/>
        <w:jc w:val="left"/>
        <w:rPr>
          <w:rFonts w:ascii="Times New Roman" w:hAnsi="Times New Roman" w:eastAsia="仿宋_GB2312" w:cs="Times New Roman"/>
          <w:bCs/>
          <w:kern w:val="0"/>
          <w:sz w:val="32"/>
          <w:szCs w:val="32"/>
          <w:lang w:val="zh-CN"/>
        </w:rPr>
      </w:pP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kern w:val="0"/>
          <w:sz w:val="32"/>
          <w:szCs w:val="30"/>
        </w:rPr>
        <w:t>一、财政拨款收入：指本级财政当年拨付的资金。</w:t>
      </w: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kern w:val="0"/>
          <w:sz w:val="32"/>
          <w:szCs w:val="30"/>
        </w:rPr>
      </w:pPr>
    </w:p>
    <w:p>
      <w:pPr>
        <w:ind w:firstLine="640" w:firstLineChars="200"/>
        <w:rPr>
          <w:rFonts w:ascii="Times New Roman" w:hAnsi="Times New Roman" w:eastAsia="仿宋_GB2312" w:cs="Times New Roman"/>
          <w:sz w:val="32"/>
          <w:szCs w:val="32"/>
        </w:rPr>
      </w:pPr>
    </w:p>
    <w:p>
      <w:pPr>
        <w:ind w:firstLine="640" w:firstLineChars="200"/>
        <w:jc w:val="left"/>
        <w:rPr>
          <w:rFonts w:ascii="Times New Roman" w:hAnsi="Times New Roman" w:eastAsia="仿宋_GB2312" w:cs="Times New Roman"/>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F6D305"/>
    <w:multiLevelType w:val="singleLevel"/>
    <w:tmpl w:val="87F6D305"/>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iNjY3ZGZmMWJiNTBjMGViZDQ5MmVjZmQzYWQxMTcifQ=="/>
  </w:docVars>
  <w:rsids>
    <w:rsidRoot w:val="6F2F369E"/>
    <w:rsid w:val="000C7E79"/>
    <w:rsid w:val="00210DDF"/>
    <w:rsid w:val="002A006D"/>
    <w:rsid w:val="002E3405"/>
    <w:rsid w:val="004D0D0D"/>
    <w:rsid w:val="004D6E5F"/>
    <w:rsid w:val="004E3252"/>
    <w:rsid w:val="00716405"/>
    <w:rsid w:val="007944CE"/>
    <w:rsid w:val="00923CFC"/>
    <w:rsid w:val="009378FB"/>
    <w:rsid w:val="00A96BC8"/>
    <w:rsid w:val="00B7168A"/>
    <w:rsid w:val="00F94364"/>
    <w:rsid w:val="00FB5FB4"/>
    <w:rsid w:val="07E060E7"/>
    <w:rsid w:val="0A2C1678"/>
    <w:rsid w:val="0C5B7CC9"/>
    <w:rsid w:val="12635F00"/>
    <w:rsid w:val="203D5441"/>
    <w:rsid w:val="27D73BAE"/>
    <w:rsid w:val="29B7313A"/>
    <w:rsid w:val="2B9B46D5"/>
    <w:rsid w:val="2DD05AE1"/>
    <w:rsid w:val="2F8D15DD"/>
    <w:rsid w:val="3821584A"/>
    <w:rsid w:val="382E61CD"/>
    <w:rsid w:val="39F7E261"/>
    <w:rsid w:val="48FD4084"/>
    <w:rsid w:val="497148E9"/>
    <w:rsid w:val="51465658"/>
    <w:rsid w:val="52E64CF3"/>
    <w:rsid w:val="54B2526E"/>
    <w:rsid w:val="5F057838"/>
    <w:rsid w:val="60E4066A"/>
    <w:rsid w:val="64C62FC7"/>
    <w:rsid w:val="64CB6EC6"/>
    <w:rsid w:val="6AEF48C5"/>
    <w:rsid w:val="6F2F369E"/>
    <w:rsid w:val="73452746"/>
    <w:rsid w:val="75010984"/>
    <w:rsid w:val="75FA5023"/>
    <w:rsid w:val="77AA4C04"/>
    <w:rsid w:val="79907F6D"/>
    <w:rsid w:val="7B254500"/>
    <w:rsid w:val="7CC36FFA"/>
    <w:rsid w:val="9BFE8481"/>
    <w:rsid w:val="F7DD064D"/>
    <w:rsid w:val="FAE7D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qFormat/>
    <w:uiPriority w:val="0"/>
    <w:rPr>
      <w:rFonts w:ascii="Calibri" w:hAnsi="Calibri" w:cs="黑体"/>
      <w:kern w:val="2"/>
      <w:sz w:val="18"/>
      <w:szCs w:val="18"/>
    </w:rPr>
  </w:style>
  <w:style w:type="character" w:customStyle="1" w:styleId="8">
    <w:name w:val="页脚 Char"/>
    <w:basedOn w:val="5"/>
    <w:link w:val="2"/>
    <w:qFormat/>
    <w:uiPriority w:val="0"/>
    <w:rPr>
      <w:rFonts w:ascii="Calibri" w:hAnsi="Calibri" w:cs="黑体"/>
      <w:kern w:val="2"/>
      <w:sz w:val="18"/>
      <w:szCs w:val="18"/>
    </w:rPr>
  </w:style>
  <w:style w:type="paragraph" w:customStyle="1" w:styleId="9">
    <w:name w:val="List Paragraph1"/>
    <w:basedOn w:val="1"/>
    <w:qFormat/>
    <w:uiPriority w:val="99"/>
    <w:pPr>
      <w:ind w:firstLine="420" w:firstLineChars="20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11</Pages>
  <Words>577</Words>
  <Characters>3294</Characters>
  <Lines>27</Lines>
  <Paragraphs>7</Paragraphs>
  <TotalTime>0</TotalTime>
  <ScaleCrop>false</ScaleCrop>
  <LinksUpToDate>false</LinksUpToDate>
  <CharactersWithSpaces>3864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2021-03-13T09:18:00Z</dcterms:created>
  <dc:creator>梁伟娴</dc:creator>
  <cp:lastModifiedBy>lenove</cp:lastModifiedBy>
  <cp:lastPrinted>2021-04-02T08:31:00Z</cp:lastPrinted>
  <dcterms:modified xsi:type="dcterms:W3CDTF">2024-09-10T01:59:03Z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E6A9CCFDC1A541D3989D7821B08CE0A1</vt:lpwstr>
  </property>
</Properties>
</file>