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三亚市投资服务中心</w:t>
      </w:r>
      <w:r>
        <w:rPr>
          <w:rFonts w:hint="eastAsia"/>
          <w:sz w:val="52"/>
          <w:szCs w:val="52"/>
        </w:rPr>
        <w:t>（单位）预算</w:t>
      </w:r>
      <w:r>
        <w:rPr>
          <w:rFonts w:hint="eastAsia"/>
          <w:sz w:val="52"/>
          <w:szCs w:val="52"/>
          <w:lang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年部门（单位）预算情况说明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（一）负责政府投资信息、政策收集，根据我市经济社</w:t>
      </w:r>
    </w:p>
    <w:p>
      <w:pPr>
        <w:pStyle w:val="6"/>
        <w:numPr>
          <w:ilvl w:val="0"/>
          <w:numId w:val="0"/>
        </w:numPr>
        <w:ind w:left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会发展规划和城市建设规划，组织进行项目的策划、包装，对政府和部门提出的拟建项目进行研究和投资咨询，为市委、市政府及投资主管部门提供决策依据。</w:t>
      </w:r>
    </w:p>
    <w:p>
      <w:pPr>
        <w:pStyle w:val="6"/>
        <w:numPr>
          <w:ilvl w:val="0"/>
          <w:numId w:val="5"/>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负责社会投资项目库的建设，编制招商项目，配合投资，配合投资主管部门做好年度投资计划安排。</w:t>
      </w:r>
    </w:p>
    <w:p>
      <w:pPr>
        <w:pStyle w:val="6"/>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（三）负责政府投资项目前期工作，按照基本建设程序，组织和委托政府投资项目建议书、可行性研究报告、初步设计及概算和相关文件的编制、评审及报批等前期准备工作。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（四）配合市政府和投资主管部门做好政府投资项目申贷工作，加强与政府投资相关管理部门的联系沟通，配合做好有关项目建设条件的落实工作。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配合做好政府投资项目工程造价控制、监督管理，参与项目后评价；负责工程建设项目的前期工作，包括项目建议书、计划立项、可行性研究、办理用地许可、规划许可、勘察设计、勘察设计招标、工程建设项目方案论证、方案评选、审查设计方案、初步设计或扩大初步设计及施工图设计、施工图强制审查、报建等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（六）负责设计及概算报审工作；负责选择建设用地，协助国土部门做好征地拆迁工作；负责与各使用部门的协调和沟通工作。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为企业投资者提供国家、省、市地方产业投资导向政策咨询及其它事项咨询；应投资者要求，协助委托有相关资质的咨询单位或机构，编写项目可行性研究报告；对可实行代理的有关审批或审核事项，应投资者要求，代办相关手续。</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（八）负责招商引资协作工作，组织协调投资洽谈会、项目发布会、招商推介会等经济活动。</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（九）承担市政府及投资主管部门交办的其它工作。</w:t>
      </w:r>
    </w:p>
    <w:p>
      <w:pPr>
        <w:pStyle w:val="6"/>
        <w:numPr>
          <w:ilvl w:val="-1"/>
          <w:numId w:val="0"/>
        </w:numPr>
        <w:ind w:leftChars="0" w:firstLine="64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机构设置</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信用综合科，招商协作科，项目储备科，前期工作科，节能降碳科。</w:t>
      </w:r>
    </w:p>
    <w:p>
      <w:pPr>
        <w:numPr>
          <w:ilvl w:val="-1"/>
          <w:numId w:val="0"/>
        </w:numPr>
        <w:ind w:left="0" w:leftChars="0" w:firstLine="0" w:firstLine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276.02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60.48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29.61</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21.37</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预算编制趋于合理。</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276.02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71.23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60.48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15.60</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29.61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7.64</w:t>
      </w:r>
      <w:r>
        <w:rPr>
          <w:rFonts w:hint="eastAsia" w:ascii="仿宋_GB2312" w:hAnsi="黑体" w:eastAsia="仿宋_GB2312"/>
          <w:sz w:val="32"/>
          <w:szCs w:val="32"/>
        </w:rPr>
        <w:t>%；</w:t>
      </w:r>
      <w:r>
        <w:rPr>
          <w:rFonts w:hint="eastAsia" w:ascii="仿宋_GB2312" w:hAnsi="黑体" w:eastAsia="仿宋_GB2312"/>
          <w:sz w:val="32"/>
          <w:szCs w:val="32"/>
          <w:lang w:eastAsia="zh-CN"/>
        </w:rPr>
        <w:t>住房保障（类）支出</w:t>
      </w:r>
      <w:r>
        <w:rPr>
          <w:rFonts w:hint="eastAsia" w:ascii="仿宋_GB2312" w:hAnsi="黑体" w:eastAsia="仿宋_GB2312"/>
          <w:sz w:val="32"/>
          <w:szCs w:val="32"/>
          <w:lang w:val="en-US" w:eastAsia="zh-CN"/>
        </w:rPr>
        <w:t>21.37万元，占5.51。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发展和改革事务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276.02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70.69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4.34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预算编制趋于合理。</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预算编制趋于合理。</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预算编制趋于合理。</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7.63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预算编制趋于合理。</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预算编制趋于合理。</w:t>
      </w:r>
    </w:p>
    <w:p>
      <w:pPr>
        <w:numPr>
          <w:ilvl w:val="-1"/>
          <w:numId w:val="0"/>
        </w:numPr>
        <w:ind w:firstLine="0" w:firstLineChars="0"/>
        <w:rPr>
          <w:rFonts w:hint="eastAsia" w:ascii="仿宋_GB2312" w:hAnsi="黑体" w:eastAsia="仿宋_GB2312"/>
          <w:sz w:val="32"/>
          <w:szCs w:val="32"/>
          <w:lang w:val="en-US"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317.48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300.58</w:t>
      </w:r>
      <w:r>
        <w:rPr>
          <w:rFonts w:hint="eastAsia" w:ascii="仿宋_GB2312" w:hAnsi="黑体" w:eastAsia="仿宋_GB2312"/>
          <w:sz w:val="32"/>
          <w:szCs w:val="32"/>
        </w:rPr>
        <w:t>万元，主要包括：基本工资、津贴补贴、奖金、社会保障缴费、公务员医疗补助缴费</w:t>
      </w:r>
      <w:r>
        <w:rPr>
          <w:rFonts w:hint="eastAsia" w:ascii="仿宋_GB2312" w:hAnsi="黑体" w:eastAsia="仿宋_GB2312"/>
          <w:sz w:val="32"/>
          <w:szCs w:val="32"/>
          <w:lang w:eastAsia="zh-CN"/>
        </w:rPr>
        <w:t>、其他社会保障缴费、住房公积金、</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16.9</w:t>
      </w:r>
      <w:r>
        <w:rPr>
          <w:rFonts w:hint="eastAsia" w:ascii="仿宋_GB2312" w:hAnsi="黑体" w:eastAsia="仿宋_GB2312"/>
          <w:sz w:val="32"/>
          <w:szCs w:val="32"/>
        </w:rPr>
        <w:t>万元，主要包括：商品和服务支出</w:t>
      </w:r>
      <w:r>
        <w:rPr>
          <w:rFonts w:hint="eastAsia" w:ascii="仿宋_GB2312" w:hAnsi="黑体" w:eastAsia="仿宋_GB2312"/>
          <w:sz w:val="32"/>
          <w:szCs w:val="32"/>
          <w:lang w:eastAsia="zh-CN"/>
        </w:rPr>
        <w:t>、办</w:t>
      </w:r>
      <w:r>
        <w:rPr>
          <w:rFonts w:hint="eastAsia" w:ascii="仿宋_GB2312" w:hAnsi="黑体" w:eastAsia="仿宋_GB2312"/>
          <w:sz w:val="32"/>
          <w:szCs w:val="32"/>
        </w:rPr>
        <w:t>公费、培训费</w:t>
      </w:r>
      <w:r>
        <w:rPr>
          <w:rFonts w:hint="eastAsia" w:ascii="仿宋_GB2312" w:hAnsi="黑体" w:eastAsia="仿宋_GB2312"/>
          <w:sz w:val="32"/>
          <w:szCs w:val="32"/>
          <w:lang w:eastAsia="zh-CN"/>
        </w:rPr>
        <w:t>、工会经费、公务用车运行维护费、其他商品和服务支出、对个人和家庭的补助、</w:t>
      </w:r>
      <w:r>
        <w:rPr>
          <w:rFonts w:hint="eastAsia" w:ascii="仿宋_GB2312" w:hAnsi="黑体" w:eastAsia="仿宋_GB2312"/>
          <w:sz w:val="32"/>
          <w:szCs w:val="32"/>
        </w:rPr>
        <w:t>咨询费、手续费、水费、电费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numPr>
          <w:ilvl w:val="-1"/>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2023年未安排政府性基金</w:t>
      </w:r>
    </w:p>
    <w:p>
      <w:pPr>
        <w:ind w:firstLine="800" w:firstLineChars="25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317.48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81.93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18.07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lang w:eastAsia="zh-CN"/>
        </w:rPr>
        <w:t>（或</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387.48</w:t>
      </w:r>
      <w:r>
        <w:rPr>
          <w:rFonts w:hint="eastAsia" w:ascii="仿宋_GB2312" w:hAnsi="黑体" w:eastAsia="仿宋_GB2312"/>
          <w:sz w:val="32"/>
          <w:szCs w:val="32"/>
        </w:rPr>
        <w:t>万元、政府性基金万元。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794CDB"/>
    <w:multiLevelType w:val="singleLevel"/>
    <w:tmpl w:val="60794CDB"/>
    <w:lvl w:ilvl="0" w:tentative="0">
      <w:start w:val="2"/>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614A6"/>
    <w:rsid w:val="0BAC072B"/>
    <w:rsid w:val="19D5DA33"/>
    <w:rsid w:val="1FBF8E30"/>
    <w:rsid w:val="27DB5CA1"/>
    <w:rsid w:val="2BDF0DC0"/>
    <w:rsid w:val="2FF7110D"/>
    <w:rsid w:val="2FFFCED3"/>
    <w:rsid w:val="393A0986"/>
    <w:rsid w:val="3B335486"/>
    <w:rsid w:val="3F7FB4B5"/>
    <w:rsid w:val="3FAD4D11"/>
    <w:rsid w:val="47110CD7"/>
    <w:rsid w:val="4FB80849"/>
    <w:rsid w:val="503A06F0"/>
    <w:rsid w:val="53C57EFD"/>
    <w:rsid w:val="5DB7E539"/>
    <w:rsid w:val="66DACB0B"/>
    <w:rsid w:val="697BF56A"/>
    <w:rsid w:val="6B6CE30F"/>
    <w:rsid w:val="6C7F1319"/>
    <w:rsid w:val="6DDF74AC"/>
    <w:rsid w:val="6FAF0D8D"/>
    <w:rsid w:val="6FCFCADC"/>
    <w:rsid w:val="6FFA4FE6"/>
    <w:rsid w:val="75FB0B04"/>
    <w:rsid w:val="79F7B683"/>
    <w:rsid w:val="7AF25475"/>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tu</cp:lastModifiedBy>
  <dcterms:modified xsi:type="dcterms:W3CDTF">2024-07-19T03:16:47Z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