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FA6DE3" w14:textId="77777777" w:rsidR="00652E8C" w:rsidRDefault="00652E8C">
      <w:pPr>
        <w:rPr>
          <w:rFonts w:ascii="Times New Roman" w:hAnsi="Times New Roman" w:cs="Times New Roman"/>
          <w:sz w:val="84"/>
          <w:szCs w:val="84"/>
          <w:u w:val="single"/>
        </w:rPr>
      </w:pPr>
    </w:p>
    <w:p w14:paraId="07566420" w14:textId="77777777" w:rsidR="00652E8C" w:rsidRDefault="00652E8C">
      <w:pPr>
        <w:rPr>
          <w:rFonts w:ascii="Times New Roman" w:hAnsi="Times New Roman" w:cs="Times New Roman"/>
          <w:sz w:val="84"/>
          <w:szCs w:val="84"/>
          <w:u w:val="single"/>
        </w:rPr>
      </w:pPr>
    </w:p>
    <w:p w14:paraId="184BDE1E" w14:textId="77777777" w:rsidR="00652E8C" w:rsidRDefault="00652E8C">
      <w:pPr>
        <w:rPr>
          <w:rFonts w:ascii="Times New Roman" w:hAnsi="Times New Roman" w:cs="Times New Roman"/>
          <w:sz w:val="84"/>
          <w:szCs w:val="84"/>
          <w:u w:val="single"/>
        </w:rPr>
      </w:pPr>
    </w:p>
    <w:p w14:paraId="3194EB1C" w14:textId="77777777" w:rsidR="00652E8C" w:rsidRDefault="00652E8C">
      <w:pPr>
        <w:rPr>
          <w:rFonts w:ascii="Times New Roman" w:hAnsi="Times New Roman" w:cs="Times New Roman"/>
          <w:sz w:val="84"/>
          <w:szCs w:val="84"/>
          <w:u w:val="single"/>
        </w:rPr>
      </w:pPr>
    </w:p>
    <w:p w14:paraId="390C4C37" w14:textId="0C3B7E09" w:rsidR="00652E8C" w:rsidRDefault="0000000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2023</w:t>
      </w:r>
      <w:r>
        <w:rPr>
          <w:rFonts w:ascii="Times New Roman" w:hAnsi="Times New Roman" w:cs="Times New Roman"/>
          <w:sz w:val="52"/>
          <w:szCs w:val="52"/>
        </w:rPr>
        <w:t>年</w:t>
      </w:r>
      <w:r w:rsidR="00740D2C" w:rsidRPr="00740D2C">
        <w:rPr>
          <w:rFonts w:ascii="Times New Roman" w:hAnsi="Times New Roman" w:cs="Times New Roman" w:hint="eastAsia"/>
          <w:sz w:val="52"/>
          <w:szCs w:val="52"/>
        </w:rPr>
        <w:t>三亚市自贸港法律服务中心</w:t>
      </w:r>
    </w:p>
    <w:p w14:paraId="27D4B8EB" w14:textId="77777777" w:rsidR="00652E8C" w:rsidRDefault="00000000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预算</w:t>
      </w:r>
    </w:p>
    <w:p w14:paraId="26C6C82B" w14:textId="77777777" w:rsidR="00652E8C" w:rsidRDefault="00652E8C">
      <w:pPr>
        <w:ind w:firstLine="1680"/>
        <w:rPr>
          <w:rFonts w:ascii="Times New Roman" w:hAnsi="Times New Roman" w:cs="Times New Roman"/>
          <w:sz w:val="84"/>
          <w:szCs w:val="84"/>
        </w:rPr>
      </w:pPr>
    </w:p>
    <w:p w14:paraId="32F9E753" w14:textId="77777777" w:rsidR="00652E8C" w:rsidRDefault="00652E8C">
      <w:pPr>
        <w:ind w:firstLine="1680"/>
        <w:rPr>
          <w:rFonts w:ascii="Times New Roman" w:hAnsi="Times New Roman" w:cs="Times New Roman"/>
          <w:sz w:val="84"/>
          <w:szCs w:val="84"/>
        </w:rPr>
      </w:pPr>
    </w:p>
    <w:p w14:paraId="382C1C7E" w14:textId="77777777" w:rsidR="00652E8C" w:rsidRDefault="00652E8C">
      <w:pPr>
        <w:ind w:firstLine="1680"/>
        <w:rPr>
          <w:rFonts w:ascii="Times New Roman" w:hAnsi="Times New Roman" w:cs="Times New Roman"/>
          <w:sz w:val="84"/>
          <w:szCs w:val="84"/>
        </w:rPr>
      </w:pPr>
    </w:p>
    <w:p w14:paraId="0F4DD03D" w14:textId="77777777" w:rsidR="00652E8C" w:rsidRDefault="00652E8C">
      <w:pPr>
        <w:ind w:firstLine="1680"/>
        <w:rPr>
          <w:rFonts w:ascii="Times New Roman" w:hAnsi="Times New Roman" w:cs="Times New Roman"/>
          <w:sz w:val="84"/>
          <w:szCs w:val="84"/>
        </w:rPr>
      </w:pPr>
    </w:p>
    <w:p w14:paraId="373A6C0F" w14:textId="77777777" w:rsidR="00652E8C" w:rsidRDefault="00652E8C">
      <w:pPr>
        <w:ind w:firstLine="1680"/>
        <w:rPr>
          <w:rFonts w:ascii="Times New Roman" w:hAnsi="Times New Roman" w:cs="Times New Roman"/>
          <w:sz w:val="84"/>
          <w:szCs w:val="84"/>
        </w:rPr>
      </w:pPr>
    </w:p>
    <w:p w14:paraId="57504241" w14:textId="77777777" w:rsidR="00652E8C" w:rsidRDefault="00652E8C">
      <w:pPr>
        <w:rPr>
          <w:rFonts w:ascii="Times New Roman" w:hAnsi="Times New Roman" w:cs="Times New Roman"/>
          <w:sz w:val="84"/>
          <w:szCs w:val="84"/>
        </w:rPr>
      </w:pPr>
    </w:p>
    <w:p w14:paraId="3D0AAA67" w14:textId="77777777" w:rsidR="00652E8C" w:rsidRDefault="00000000">
      <w:pPr>
        <w:jc w:val="center"/>
        <w:rPr>
          <w:rFonts w:ascii="Times New Roman" w:eastAsia="黑体" w:hAnsi="Times New Roman" w:cs="Times New Roman"/>
          <w:sz w:val="52"/>
          <w:szCs w:val="52"/>
        </w:rPr>
      </w:pPr>
      <w:r>
        <w:rPr>
          <w:rFonts w:ascii="Times New Roman" w:eastAsia="黑体" w:hAnsi="Times New Roman" w:cs="Times New Roman"/>
          <w:sz w:val="52"/>
          <w:szCs w:val="52"/>
        </w:rPr>
        <w:t>目录</w:t>
      </w:r>
    </w:p>
    <w:p w14:paraId="5D3815BF" w14:textId="77777777" w:rsidR="00652E8C" w:rsidRDefault="00000000">
      <w:pPr>
        <w:pStyle w:val="1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三亚市自贸港法律服务中心概况</w:t>
      </w:r>
    </w:p>
    <w:p w14:paraId="4BA7228B" w14:textId="77777777" w:rsidR="00652E8C" w:rsidRDefault="00000000">
      <w:pPr>
        <w:pStyle w:val="1"/>
        <w:numPr>
          <w:ilvl w:val="0"/>
          <w:numId w:val="2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主要职能</w:t>
      </w:r>
    </w:p>
    <w:p w14:paraId="0C240DF2" w14:textId="273DDA9A" w:rsidR="00740D2C" w:rsidRDefault="00740D2C">
      <w:pPr>
        <w:pStyle w:val="1"/>
        <w:numPr>
          <w:ilvl w:val="0"/>
          <w:numId w:val="2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预算单位构成</w:t>
      </w:r>
    </w:p>
    <w:p w14:paraId="65E50663" w14:textId="77777777" w:rsidR="00652E8C" w:rsidRDefault="00000000">
      <w:pPr>
        <w:pStyle w:val="1"/>
        <w:numPr>
          <w:ilvl w:val="0"/>
          <w:numId w:val="1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年预算表</w:t>
      </w:r>
    </w:p>
    <w:p w14:paraId="1E32E047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财政拨款收支总表</w:t>
      </w:r>
    </w:p>
    <w:p w14:paraId="20D2D53E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一般公共预算支出表</w:t>
      </w:r>
    </w:p>
    <w:p w14:paraId="534B7002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一般公共预算基本支出表</w:t>
      </w:r>
    </w:p>
    <w:p w14:paraId="1014D751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一般公共预算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经费支出表</w:t>
      </w:r>
    </w:p>
    <w:p w14:paraId="0A95090F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政府性基金预算支出表。</w:t>
      </w:r>
    </w:p>
    <w:p w14:paraId="128934A2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政府性基金预算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经费支出表</w:t>
      </w:r>
    </w:p>
    <w:p w14:paraId="34B4D676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单位收支总表</w:t>
      </w:r>
    </w:p>
    <w:p w14:paraId="18943BC5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单位收入总表</w:t>
      </w:r>
    </w:p>
    <w:p w14:paraId="09C5B250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单位支出总表</w:t>
      </w:r>
    </w:p>
    <w:p w14:paraId="00564DF4" w14:textId="77777777" w:rsidR="00652E8C" w:rsidRDefault="00000000">
      <w:pPr>
        <w:pStyle w:val="1"/>
        <w:numPr>
          <w:ilvl w:val="0"/>
          <w:numId w:val="3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项目支出绩效信息表</w:t>
      </w:r>
    </w:p>
    <w:p w14:paraId="09F94789" w14:textId="77777777" w:rsidR="00652E8C" w:rsidRDefault="00000000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年单位预算情况说明</w:t>
      </w:r>
    </w:p>
    <w:p w14:paraId="3B3A0799" w14:textId="77777777" w:rsidR="00652E8C" w:rsidRDefault="00000000">
      <w:pPr>
        <w:pStyle w:val="1"/>
        <w:numPr>
          <w:ilvl w:val="0"/>
          <w:numId w:val="1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 xml:space="preserve">   </w:t>
      </w:r>
      <w:r>
        <w:rPr>
          <w:rFonts w:ascii="Times New Roman" w:eastAsia="黑体" w:hAnsi="Times New Roman" w:cs="Times New Roman"/>
          <w:sz w:val="32"/>
          <w:szCs w:val="32"/>
        </w:rPr>
        <w:t>名词解释</w:t>
      </w:r>
    </w:p>
    <w:p w14:paraId="3C423C9C" w14:textId="77777777" w:rsidR="00652E8C" w:rsidRDefault="00652E8C">
      <w:pPr>
        <w:pStyle w:val="1"/>
        <w:ind w:firstLineChars="0" w:firstLine="0"/>
        <w:rPr>
          <w:rFonts w:ascii="Times New Roman" w:eastAsia="仿宋_GB2312" w:hAnsi="Times New Roman" w:cs="Times New Roman"/>
          <w:sz w:val="32"/>
          <w:szCs w:val="32"/>
        </w:rPr>
      </w:pPr>
    </w:p>
    <w:p w14:paraId="541BF487" w14:textId="77777777" w:rsidR="00652E8C" w:rsidRDefault="00652E8C">
      <w:pPr>
        <w:rPr>
          <w:rFonts w:ascii="Times New Roman" w:eastAsia="黑体" w:hAnsi="Times New Roman" w:cs="Times New Roman"/>
          <w:sz w:val="32"/>
          <w:szCs w:val="32"/>
        </w:rPr>
      </w:pPr>
    </w:p>
    <w:p w14:paraId="4F80C04D" w14:textId="77777777" w:rsidR="00652E8C" w:rsidRDefault="00652E8C">
      <w:pPr>
        <w:rPr>
          <w:rFonts w:ascii="Times New Roman" w:eastAsia="黑体" w:hAnsi="Times New Roman" w:cs="Times New Roman"/>
          <w:sz w:val="32"/>
          <w:szCs w:val="32"/>
        </w:rPr>
      </w:pPr>
    </w:p>
    <w:p w14:paraId="195E1AF9" w14:textId="77777777" w:rsidR="00652E8C" w:rsidRDefault="00000000">
      <w:pPr>
        <w:pStyle w:val="1"/>
        <w:numPr>
          <w:ilvl w:val="0"/>
          <w:numId w:val="4"/>
        </w:numPr>
        <w:ind w:firstLineChars="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三亚市自贸港法律服务中心概况</w:t>
      </w:r>
    </w:p>
    <w:p w14:paraId="4A3D837F" w14:textId="77777777" w:rsidR="00652E8C" w:rsidRDefault="00652E8C">
      <w:pPr>
        <w:rPr>
          <w:rFonts w:ascii="Times New Roman" w:eastAsia="仿宋_GB2312" w:hAnsi="Times New Roman" w:cs="Times New Roman"/>
          <w:sz w:val="32"/>
          <w:szCs w:val="32"/>
        </w:rPr>
      </w:pPr>
    </w:p>
    <w:p w14:paraId="34EA6C17" w14:textId="77777777" w:rsidR="00652E8C" w:rsidRDefault="00000000">
      <w:pPr>
        <w:pStyle w:val="1"/>
        <w:numPr>
          <w:ilvl w:val="0"/>
          <w:numId w:val="5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主要职能</w:t>
      </w:r>
    </w:p>
    <w:p w14:paraId="204176BD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为构建适应自贸区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港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建设需要的律师、公证、</w:t>
      </w:r>
      <w:r>
        <w:rPr>
          <w:rFonts w:ascii="Times New Roman" w:eastAsia="仿宋_GB2312" w:hAnsi="Times New Roman" w:cs="Times New Roman"/>
          <w:sz w:val="32"/>
          <w:szCs w:val="32"/>
        </w:rPr>
        <w:t>(</w:t>
      </w:r>
      <w:r>
        <w:rPr>
          <w:rFonts w:ascii="Times New Roman" w:eastAsia="仿宋_GB2312" w:hAnsi="Times New Roman" w:cs="Times New Roman"/>
          <w:sz w:val="32"/>
          <w:szCs w:val="32"/>
        </w:rPr>
        <w:t>国际</w:t>
      </w:r>
      <w:r>
        <w:rPr>
          <w:rFonts w:ascii="Times New Roman" w:eastAsia="仿宋_GB2312" w:hAnsi="Times New Roman" w:cs="Times New Roman"/>
          <w:sz w:val="32"/>
          <w:szCs w:val="32"/>
        </w:rPr>
        <w:t>)</w:t>
      </w:r>
      <w:r>
        <w:rPr>
          <w:rFonts w:ascii="Times New Roman" w:eastAsia="仿宋_GB2312" w:hAnsi="Times New Roman" w:cs="Times New Roman"/>
          <w:sz w:val="32"/>
          <w:szCs w:val="32"/>
        </w:rPr>
        <w:t>仲裁、国际商事调解、辅助国际商务敦促履约等法律服务业提供司法保障和服务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0A74F5F9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做好法律服务人才的引进、管理和服务工作，建立、完善、协调使用自贸区（港）法律服务人才库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440D059B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承办政府法律顾问工作联络、协调、服务等事务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429CF555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承办法律援助（涉外）案件的受理、审查、指派、协调、统计上报、信息反馈等工作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1A7C988B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为司法行政部门归存法律资料，开展调查、研究、宣传、培训、交流等活动提供服务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38F4DE18" w14:textId="77777777" w:rsidR="00652E8C" w:rsidRDefault="00000000">
      <w:pPr>
        <w:pStyle w:val="1"/>
        <w:numPr>
          <w:ilvl w:val="0"/>
          <w:numId w:val="6"/>
        </w:numPr>
        <w:ind w:firstLineChars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承办上级部门交办的其他工作。</w:t>
      </w:r>
    </w:p>
    <w:p w14:paraId="24F91124" w14:textId="77777777" w:rsidR="00652E8C" w:rsidRDefault="00652E8C">
      <w:pPr>
        <w:pStyle w:val="1"/>
        <w:ind w:left="420" w:firstLineChars="0" w:firstLine="0"/>
        <w:rPr>
          <w:rFonts w:ascii="Times New Roman" w:eastAsia="黑体" w:hAnsi="Times New Roman" w:cs="Times New Roman"/>
          <w:sz w:val="32"/>
          <w:szCs w:val="32"/>
        </w:rPr>
      </w:pPr>
    </w:p>
    <w:p w14:paraId="0213646E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第二部分</w:t>
      </w:r>
      <w:r>
        <w:rPr>
          <w:rFonts w:ascii="Times New Roman" w:eastAsia="黑体" w:hAnsi="Times New Roman" w:cs="Times New Roman"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年单位预算表</w:t>
      </w:r>
    </w:p>
    <w:p w14:paraId="3D0074FA" w14:textId="77777777" w:rsidR="00652E8C" w:rsidRDefault="00652E8C">
      <w:pPr>
        <w:ind w:left="800"/>
        <w:rPr>
          <w:rFonts w:ascii="Times New Roman" w:eastAsia="黑体" w:hAnsi="Times New Roman" w:cs="Times New Roman"/>
          <w:sz w:val="32"/>
          <w:szCs w:val="32"/>
        </w:rPr>
      </w:pPr>
    </w:p>
    <w:p w14:paraId="55946A52" w14:textId="77777777" w:rsidR="00652E8C" w:rsidRDefault="00000000">
      <w:pPr>
        <w:ind w:left="800"/>
        <w:jc w:val="center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（此部分内容即为单位预算公开表）</w:t>
      </w:r>
    </w:p>
    <w:p w14:paraId="39BFB1EB" w14:textId="77777777" w:rsidR="00652E8C" w:rsidRDefault="00652E8C">
      <w:pPr>
        <w:rPr>
          <w:rFonts w:ascii="Times New Roman" w:eastAsia="黑体" w:hAnsi="Times New Roman" w:cs="Times New Roman"/>
          <w:sz w:val="32"/>
          <w:szCs w:val="32"/>
        </w:rPr>
      </w:pPr>
    </w:p>
    <w:p w14:paraId="0A194DF4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第三部分</w:t>
      </w:r>
      <w:r>
        <w:rPr>
          <w:rFonts w:ascii="Times New Roman" w:eastAsia="黑体" w:hAnsi="Times New Roman" w:cs="Times New Roman"/>
          <w:sz w:val="32"/>
          <w:szCs w:val="32"/>
        </w:rPr>
        <w:t xml:space="preserve">   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年单位预</w:t>
      </w:r>
      <w:r>
        <w:rPr>
          <w:rFonts w:ascii="Times New Roman" w:eastAsia="黑体" w:hAnsi="Times New Roman" w:cs="Times New Roman"/>
          <w:sz w:val="32"/>
          <w:szCs w:val="32"/>
        </w:rPr>
        <w:lastRenderedPageBreak/>
        <w:t>算情况说明</w:t>
      </w:r>
    </w:p>
    <w:p w14:paraId="07D04B5B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一、关于三亚市自贸港法律服务中心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年财政拨款收支预算情况的总体说明</w:t>
      </w:r>
    </w:p>
    <w:p w14:paraId="5CE7A0FF" w14:textId="77777777" w:rsidR="00652E8C" w:rsidRDefault="00000000">
      <w:pPr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年财政拨款收支总预算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万元。其中，收入总计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万元，包括一般公共预算本年收入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万元、上年结转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万元，政府性基金预算本年收入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万元、上年结转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万元；支出总计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万元，包括一般公共服务支出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万元、公共安全支出</w:t>
      </w:r>
      <w:r>
        <w:rPr>
          <w:rFonts w:ascii="Times New Roman" w:eastAsia="仿宋_GB2312" w:hAnsi="Times New Roman" w:cs="Times New Roman"/>
          <w:sz w:val="32"/>
          <w:szCs w:val="32"/>
        </w:rPr>
        <w:t>90.35</w:t>
      </w:r>
      <w:r>
        <w:rPr>
          <w:rFonts w:ascii="Times New Roman" w:eastAsia="仿宋_GB2312" w:hAnsi="Times New Roman" w:cs="Times New Roman"/>
          <w:sz w:val="32"/>
          <w:szCs w:val="32"/>
        </w:rPr>
        <w:t>万元、社会保障和就业支出</w:t>
      </w:r>
      <w:r>
        <w:rPr>
          <w:rFonts w:ascii="Times New Roman" w:eastAsia="仿宋_GB2312" w:hAnsi="Times New Roman" w:cs="Times New Roman"/>
          <w:sz w:val="32"/>
          <w:szCs w:val="32"/>
        </w:rPr>
        <w:t>13.02</w:t>
      </w:r>
      <w:r>
        <w:rPr>
          <w:rFonts w:ascii="Times New Roman" w:eastAsia="仿宋_GB2312" w:hAnsi="Times New Roman" w:cs="Times New Roman"/>
          <w:sz w:val="32"/>
          <w:szCs w:val="32"/>
        </w:rPr>
        <w:t>万元、卫生健康支出</w:t>
      </w:r>
      <w:r>
        <w:rPr>
          <w:rFonts w:ascii="Times New Roman" w:eastAsia="仿宋_GB2312" w:hAnsi="Times New Roman" w:cs="Times New Roman"/>
          <w:sz w:val="32"/>
          <w:szCs w:val="32"/>
        </w:rPr>
        <w:t>7.51</w:t>
      </w:r>
      <w:r>
        <w:rPr>
          <w:rFonts w:ascii="Times New Roman" w:eastAsia="仿宋_GB2312" w:hAnsi="Times New Roman" w:cs="Times New Roman"/>
          <w:sz w:val="32"/>
          <w:szCs w:val="32"/>
        </w:rPr>
        <w:t>万元、住房保障支出</w:t>
      </w:r>
      <w:r>
        <w:rPr>
          <w:rFonts w:ascii="Times New Roman" w:eastAsia="仿宋_GB2312" w:hAnsi="Times New Roman" w:cs="Times New Roman"/>
          <w:sz w:val="32"/>
          <w:szCs w:val="32"/>
        </w:rPr>
        <w:t>5.86</w:t>
      </w:r>
      <w:r>
        <w:rPr>
          <w:rFonts w:ascii="Times New Roman" w:eastAsia="仿宋_GB2312" w:hAnsi="Times New Roman" w:cs="Times New Roman"/>
          <w:sz w:val="32"/>
          <w:szCs w:val="32"/>
        </w:rPr>
        <w:t>万元，结转下年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3D1846A8" w14:textId="77777777" w:rsidR="00652E8C" w:rsidRDefault="00000000">
      <w:pPr>
        <w:ind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二、关于三亚市自贸港法律服务中心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年一般公共预算当年拨款情况说明</w:t>
      </w:r>
    </w:p>
    <w:p w14:paraId="675B63B6" w14:textId="77777777" w:rsidR="00652E8C" w:rsidRDefault="00000000">
      <w:pPr>
        <w:ind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（一）一般公共预算当年规模变化情况</w:t>
      </w:r>
    </w:p>
    <w:p w14:paraId="380D1E4D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年一般公共预算当年拨款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17.08</w:t>
      </w:r>
      <w:r>
        <w:rPr>
          <w:rFonts w:ascii="Times New Roman" w:eastAsia="仿宋_GB2312" w:hAnsi="Times New Roman" w:cs="Times New Roman"/>
          <w:sz w:val="32"/>
          <w:szCs w:val="32"/>
        </w:rPr>
        <w:t>万，主要是基本支出增加了</w:t>
      </w:r>
      <w:r>
        <w:rPr>
          <w:rFonts w:ascii="Times New Roman" w:eastAsia="仿宋_GB2312" w:hAnsi="Times New Roman" w:cs="Times New Roman"/>
          <w:sz w:val="32"/>
          <w:szCs w:val="32"/>
        </w:rPr>
        <w:t>24.08</w:t>
      </w:r>
      <w:r>
        <w:rPr>
          <w:rFonts w:ascii="Times New Roman" w:eastAsia="仿宋_GB2312" w:hAnsi="Times New Roman" w:cs="Times New Roman"/>
          <w:sz w:val="32"/>
          <w:szCs w:val="32"/>
        </w:rPr>
        <w:t>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，项目支出减少了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万，总体预算数增加了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17.08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A503A00" w14:textId="77777777" w:rsidR="00652E8C" w:rsidRDefault="00000000">
      <w:pPr>
        <w:ind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（二）一般公共预算当年拨款结构情况</w:t>
      </w:r>
    </w:p>
    <w:p w14:paraId="22CDFD86" w14:textId="77777777" w:rsidR="00652E8C" w:rsidRDefault="00000000">
      <w:pPr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一般公共服务（类）支出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6.41%</w:t>
      </w:r>
      <w:r>
        <w:rPr>
          <w:rFonts w:ascii="Times New Roman" w:eastAsia="仿宋_GB2312" w:hAnsi="Times New Roman" w:cs="Times New Roman"/>
          <w:sz w:val="32"/>
          <w:szCs w:val="32"/>
        </w:rPr>
        <w:t>；公共安全（类）支出</w:t>
      </w:r>
      <w:r>
        <w:rPr>
          <w:rFonts w:ascii="Times New Roman" w:eastAsia="仿宋_GB2312" w:hAnsi="Times New Roman" w:cs="Times New Roman"/>
          <w:sz w:val="32"/>
          <w:szCs w:val="32"/>
        </w:rPr>
        <w:t>90.35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72.43%</w:t>
      </w:r>
      <w:r>
        <w:rPr>
          <w:rFonts w:ascii="Times New Roman" w:eastAsia="仿宋_GB2312" w:hAnsi="Times New Roman" w:cs="Times New Roman"/>
          <w:sz w:val="32"/>
          <w:szCs w:val="32"/>
        </w:rPr>
        <w:t>；社会保障和就业（类）支出</w:t>
      </w:r>
      <w:r>
        <w:rPr>
          <w:rFonts w:ascii="Times New Roman" w:eastAsia="仿宋_GB2312" w:hAnsi="Times New Roman" w:cs="Times New Roman"/>
          <w:sz w:val="32"/>
          <w:szCs w:val="32"/>
        </w:rPr>
        <w:t>13.02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10.44%</w:t>
      </w:r>
      <w:r>
        <w:rPr>
          <w:rFonts w:ascii="Times New Roman" w:eastAsia="仿宋_GB2312" w:hAnsi="Times New Roman" w:cs="Times New Roman"/>
          <w:sz w:val="32"/>
          <w:szCs w:val="32"/>
        </w:rPr>
        <w:t>；卫生健康（类）支出</w:t>
      </w:r>
      <w:r>
        <w:rPr>
          <w:rFonts w:ascii="Times New Roman" w:eastAsia="仿宋_GB2312" w:hAnsi="Times New Roman" w:cs="Times New Roman"/>
          <w:sz w:val="32"/>
          <w:szCs w:val="32"/>
        </w:rPr>
        <w:t>7.51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6%</w:t>
      </w:r>
      <w:r>
        <w:rPr>
          <w:rFonts w:ascii="Times New Roman" w:eastAsia="仿宋_GB2312" w:hAnsi="Times New Roman" w:cs="Times New Roman"/>
          <w:sz w:val="32"/>
          <w:szCs w:val="32"/>
        </w:rPr>
        <w:t>；住房保障支出（类）支出</w:t>
      </w:r>
      <w:r>
        <w:rPr>
          <w:rFonts w:ascii="Times New Roman" w:eastAsia="仿宋_GB2312" w:hAnsi="Times New Roman" w:cs="Times New Roman"/>
          <w:sz w:val="32"/>
          <w:szCs w:val="32"/>
        </w:rPr>
        <w:t>5.86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4.7%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5383CA41" w14:textId="77777777" w:rsidR="00652E8C" w:rsidRDefault="00000000">
      <w:pPr>
        <w:ind w:firstLine="640"/>
        <w:jc w:val="left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lastRenderedPageBreak/>
        <w:t>（三）一般公共预算当年拨款具体使用情况</w:t>
      </w:r>
    </w:p>
    <w:p w14:paraId="01F311E2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1. </w:t>
      </w:r>
      <w:r>
        <w:rPr>
          <w:rFonts w:ascii="Times New Roman" w:eastAsia="仿宋_GB2312" w:hAnsi="Times New Roman" w:cs="Times New Roman"/>
          <w:sz w:val="32"/>
          <w:szCs w:val="32"/>
        </w:rPr>
        <w:t>一般公共服务（类）人大事务（款）一般行政管理事务（项）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8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万元，主要是该部分预算应属于本单位公共安全（类）司法（款）其他司法支出（项），由于申报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年度预算时，支出功能分类录入偏差，申报成一般公共服务（类）人大事务（款）一般行政管理事务（项）预算。</w:t>
      </w:r>
    </w:p>
    <w:p w14:paraId="6501BEA6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2.</w:t>
      </w:r>
      <w:r>
        <w:rPr>
          <w:rFonts w:ascii="Times New Roman" w:eastAsia="仿宋_GB2312" w:hAnsi="Times New Roman" w:cs="Times New Roman"/>
          <w:sz w:val="32"/>
          <w:szCs w:val="32"/>
        </w:rPr>
        <w:t>公共安全（类）司法（款）公共法律服务（项）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35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万元，比上年预算数减少</w:t>
      </w:r>
      <w:r>
        <w:rPr>
          <w:rFonts w:ascii="Times New Roman" w:eastAsia="仿宋_GB2312" w:hAnsi="Times New Roman" w:cs="Times New Roman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万元，主要是经费压缩。</w:t>
      </w:r>
    </w:p>
    <w:p w14:paraId="0EFBE550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3.</w:t>
      </w:r>
      <w:r>
        <w:rPr>
          <w:rFonts w:ascii="Times New Roman" w:eastAsia="仿宋_GB2312" w:hAnsi="Times New Roman" w:cs="Times New Roman"/>
          <w:sz w:val="32"/>
          <w:szCs w:val="32"/>
        </w:rPr>
        <w:t>公共安全（类）司法（款）事业运行（项）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55.35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7.9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万元，主要是人员经费增加了</w:t>
      </w:r>
      <w:r>
        <w:rPr>
          <w:rFonts w:ascii="Times New Roman" w:eastAsia="仿宋_GB2312" w:hAnsi="Times New Roman" w:cs="Times New Roman"/>
          <w:sz w:val="32"/>
          <w:szCs w:val="32"/>
        </w:rPr>
        <w:t>7.54</w:t>
      </w:r>
      <w:r>
        <w:rPr>
          <w:rFonts w:ascii="Times New Roman" w:eastAsia="仿宋_GB2312" w:hAnsi="Times New Roman" w:cs="Times New Roman"/>
          <w:sz w:val="32"/>
          <w:szCs w:val="32"/>
        </w:rPr>
        <w:t>万。</w:t>
      </w:r>
    </w:p>
    <w:p w14:paraId="7098F3F8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  <w:r>
        <w:rPr>
          <w:rFonts w:ascii="Times New Roman" w:eastAsia="仿宋_GB2312" w:hAnsi="Times New Roman" w:cs="Times New Roman"/>
          <w:sz w:val="32"/>
          <w:szCs w:val="32"/>
        </w:rPr>
        <w:t>社会保障和就业（类）行政事业单位养老支出（款）机关事业单位基本养老保险缴费支出（项）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5.82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2.38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万元，主要是人员经费增加了</w:t>
      </w:r>
      <w:r>
        <w:rPr>
          <w:rFonts w:ascii="Times New Roman" w:eastAsia="仿宋_GB2312" w:hAnsi="Times New Roman" w:cs="Times New Roman"/>
          <w:sz w:val="32"/>
          <w:szCs w:val="32"/>
        </w:rPr>
        <w:t>2.38</w:t>
      </w:r>
      <w:r>
        <w:rPr>
          <w:rFonts w:ascii="Times New Roman" w:eastAsia="仿宋_GB2312" w:hAnsi="Times New Roman" w:cs="Times New Roman"/>
          <w:sz w:val="32"/>
          <w:szCs w:val="32"/>
        </w:rPr>
        <w:t>万。</w:t>
      </w:r>
    </w:p>
    <w:p w14:paraId="36D45CF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t>社会保障和就业（类）行政事业单位养老支出（款）机关事业单位职业年金缴费支出（项）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7.21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7.21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</w:t>
      </w: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sz w:val="32"/>
          <w:szCs w:val="32"/>
        </w:rPr>
        <w:t>年度职业年金预算未申报，本年度开始做实往年度职业年金单位缴纳部分。</w:t>
      </w:r>
    </w:p>
    <w:p w14:paraId="0C004555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lastRenderedPageBreak/>
        <w:t>6.</w:t>
      </w:r>
      <w:r>
        <w:rPr>
          <w:rFonts w:ascii="Times New Roman" w:eastAsia="仿宋_GB2312" w:hAnsi="Times New Roman" w:cs="Times New Roman"/>
          <w:sz w:val="32"/>
          <w:szCs w:val="32"/>
        </w:rPr>
        <w:t>卫生健康（类）行政事业单位医疗（款）事业单位医疗（项）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2.62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0.79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万元，主要是人员经费增加了</w:t>
      </w:r>
      <w:r>
        <w:rPr>
          <w:rFonts w:ascii="Times New Roman" w:eastAsia="仿宋_GB2312" w:hAnsi="Times New Roman" w:cs="Times New Roman"/>
          <w:sz w:val="32"/>
          <w:szCs w:val="32"/>
        </w:rPr>
        <w:t>0.79</w:t>
      </w:r>
      <w:r>
        <w:rPr>
          <w:rFonts w:ascii="Times New Roman" w:eastAsia="仿宋_GB2312" w:hAnsi="Times New Roman" w:cs="Times New Roman"/>
          <w:sz w:val="32"/>
          <w:szCs w:val="32"/>
        </w:rPr>
        <w:t>万。</w:t>
      </w:r>
    </w:p>
    <w:p w14:paraId="0170852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7.</w:t>
      </w:r>
      <w:r>
        <w:rPr>
          <w:rFonts w:ascii="Times New Roman" w:eastAsia="仿宋_GB2312" w:hAnsi="Times New Roman" w:cs="Times New Roman"/>
          <w:sz w:val="32"/>
          <w:szCs w:val="32"/>
        </w:rPr>
        <w:t>卫生健康（类）行政事业单位医疗（款）公务员医疗补助（项）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4.89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2.64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万元，主要是人员经费增加了</w:t>
      </w:r>
      <w:r>
        <w:rPr>
          <w:rFonts w:ascii="Times New Roman" w:eastAsia="仿宋_GB2312" w:hAnsi="Times New Roman" w:cs="Times New Roman"/>
          <w:sz w:val="32"/>
          <w:szCs w:val="32"/>
        </w:rPr>
        <w:t>2.64</w:t>
      </w:r>
      <w:r>
        <w:rPr>
          <w:rFonts w:ascii="Times New Roman" w:eastAsia="仿宋_GB2312" w:hAnsi="Times New Roman" w:cs="Times New Roman"/>
          <w:sz w:val="32"/>
          <w:szCs w:val="32"/>
        </w:rPr>
        <w:t>万。</w:t>
      </w:r>
    </w:p>
    <w:p w14:paraId="54B1EB22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8.</w:t>
      </w:r>
      <w:r>
        <w:rPr>
          <w:rFonts w:ascii="Times New Roman" w:eastAsia="仿宋_GB2312" w:hAnsi="Times New Roman" w:cs="Times New Roman"/>
          <w:sz w:val="32"/>
          <w:szCs w:val="32"/>
        </w:rPr>
        <w:t>住房保障（类）住房改革支出（款）住房公积金（项）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年预算数为</w:t>
      </w:r>
      <w:r>
        <w:rPr>
          <w:rFonts w:ascii="Times New Roman" w:eastAsia="仿宋_GB2312" w:hAnsi="Times New Roman" w:cs="Times New Roman"/>
          <w:sz w:val="32"/>
          <w:szCs w:val="32"/>
        </w:rPr>
        <w:t>5.86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3.16</w:t>
      </w:r>
      <w:r>
        <w:rPr>
          <w:rFonts w:ascii="Times New Roman" w:eastAsia="仿宋_GB2312" w:hAnsi="Times New Roman" w:cs="Times New Roman"/>
          <w:sz w:val="32"/>
          <w:szCs w:val="32"/>
        </w:rPr>
        <w:t>万元，主要是人员经费增加了</w:t>
      </w:r>
      <w:r>
        <w:rPr>
          <w:rFonts w:ascii="Times New Roman" w:eastAsia="仿宋_GB2312" w:hAnsi="Times New Roman" w:cs="Times New Roman"/>
          <w:sz w:val="32"/>
          <w:szCs w:val="32"/>
        </w:rPr>
        <w:t>3.16</w:t>
      </w:r>
      <w:r>
        <w:rPr>
          <w:rFonts w:ascii="Times New Roman" w:eastAsia="仿宋_GB2312" w:hAnsi="Times New Roman" w:cs="Times New Roman"/>
          <w:sz w:val="32"/>
          <w:szCs w:val="32"/>
        </w:rPr>
        <w:t>万。</w:t>
      </w:r>
    </w:p>
    <w:p w14:paraId="489664BF" w14:textId="77777777" w:rsidR="00652E8C" w:rsidRDefault="00000000">
      <w:pPr>
        <w:ind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三、关于三亚市自贸港法律服务中心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zCs w:val="32"/>
        </w:rPr>
        <w:t>年一般公共预算基本支出情况说明</w:t>
      </w:r>
    </w:p>
    <w:p w14:paraId="4CA3E02F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年一般公共预算基本支出为</w:t>
      </w:r>
      <w:r>
        <w:rPr>
          <w:rFonts w:ascii="Times New Roman" w:eastAsia="仿宋_GB2312" w:hAnsi="Times New Roman" w:cs="Times New Roman"/>
          <w:sz w:val="32"/>
          <w:szCs w:val="32"/>
        </w:rPr>
        <w:t>81.75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</w:t>
      </w:r>
    </w:p>
    <w:p w14:paraId="45DC3B06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人员经费</w:t>
      </w:r>
      <w:r>
        <w:rPr>
          <w:rFonts w:ascii="Times New Roman" w:eastAsia="仿宋_GB2312" w:hAnsi="Times New Roman" w:cs="Times New Roman"/>
          <w:sz w:val="32"/>
          <w:szCs w:val="32"/>
        </w:rPr>
        <w:t>77.94</w:t>
      </w:r>
      <w:r>
        <w:rPr>
          <w:rFonts w:ascii="Times New Roman" w:eastAsia="仿宋_GB2312" w:hAnsi="Times New Roman" w:cs="Times New Roman"/>
          <w:sz w:val="32"/>
          <w:szCs w:val="32"/>
        </w:rPr>
        <w:t>万元，主要包括：基本工资、津贴补贴、绩效工资、机关事业单位基本养老保障缴费、职业年金缴费、职工基本医疗保险缴费、公务员医疗补助缴费、其他社会保障缴费、住房公积金、医疗费、其他工资福利支出、商品和服务支出、办公费、邮电费、培训费、工会经费、福利费、其他商品和服务支出</w:t>
      </w:r>
      <w:r>
        <w:rPr>
          <w:rFonts w:ascii="Times New Roman" w:eastAsia="仿宋_GB2312" w:hAnsi="Times New Roman" w:cs="Times New Roman"/>
          <w:sz w:val="32"/>
          <w:szCs w:val="32"/>
        </w:rPr>
        <w:t>;</w:t>
      </w:r>
    </w:p>
    <w:p w14:paraId="2CD127C1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公用经费</w:t>
      </w:r>
      <w:r>
        <w:rPr>
          <w:rFonts w:ascii="Times New Roman" w:eastAsia="仿宋_GB2312" w:hAnsi="Times New Roman" w:cs="Times New Roman"/>
          <w:sz w:val="32"/>
          <w:szCs w:val="32"/>
        </w:rPr>
        <w:t>3.81</w:t>
      </w:r>
      <w:r>
        <w:rPr>
          <w:rFonts w:ascii="Times New Roman" w:eastAsia="仿宋_GB2312" w:hAnsi="Times New Roman" w:cs="Times New Roman"/>
          <w:sz w:val="32"/>
          <w:szCs w:val="32"/>
        </w:rPr>
        <w:t>万元，主要包括：其他社会保障缴费、商品和服务支出、办公费、培训费、工会经费、福利费、其他商品和服务支出。</w:t>
      </w:r>
    </w:p>
    <w:p w14:paraId="6EEED108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lastRenderedPageBreak/>
        <w:t>四、</w:t>
      </w:r>
      <w:r>
        <w:rPr>
          <w:rFonts w:ascii="Times New Roman" w:eastAsia="黑体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黑体" w:hAnsi="Times New Roman" w:cs="Times New Roman"/>
          <w:sz w:val="32"/>
          <w:szCs w:val="32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“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三公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”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经费预算情况说明</w:t>
      </w:r>
    </w:p>
    <w:p w14:paraId="5AD60967" w14:textId="2C11C557" w:rsidR="00652E8C" w:rsidRDefault="00000000">
      <w:pPr>
        <w:ind w:firstLine="63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（一）三亚市自贸港法律服务中心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年一般公共预算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经费预算数为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与上年预算持平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F3014A">
        <w:rPr>
          <w:rFonts w:ascii="Times New Roman" w:eastAsia="仿宋_GB2312" w:hAnsi="Times New Roman" w:cs="Times New Roman" w:hint="eastAsia"/>
          <w:sz w:val="32"/>
          <w:szCs w:val="32"/>
        </w:rPr>
        <w:t>其中：</w:t>
      </w:r>
    </w:p>
    <w:p w14:paraId="0865FADF" w14:textId="77777777" w:rsidR="00F3014A" w:rsidRPr="00F3014A" w:rsidRDefault="00F3014A" w:rsidP="00F3014A">
      <w:pPr>
        <w:ind w:firstLine="63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年预算持平。根据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三亚外事办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安排的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2022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年出国计划，拟安排出国（境）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团（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组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次，出国（境）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人。公务用车购置及运行费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万元（其中，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万元，公务用车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万元（其中，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万元，公务用车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万元）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辆，计划购置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辆；公务接待费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计划接待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人。</w:t>
      </w:r>
    </w:p>
    <w:p w14:paraId="3A0F5224" w14:textId="77777777" w:rsidR="00F3014A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（二）三亚市自贸港法律服务中心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年政府性基金预算</w:t>
      </w:r>
      <w:r>
        <w:rPr>
          <w:rFonts w:ascii="Times New Roman" w:eastAsia="仿宋_GB2312" w:hAnsi="Times New Roman" w:cs="Times New Roman"/>
          <w:sz w:val="32"/>
          <w:szCs w:val="32"/>
        </w:rPr>
        <w:t>“</w:t>
      </w:r>
      <w:r>
        <w:rPr>
          <w:rFonts w:ascii="Times New Roman" w:eastAsia="仿宋_GB2312" w:hAnsi="Times New Roman" w:cs="Times New Roman"/>
          <w:sz w:val="32"/>
          <w:szCs w:val="32"/>
        </w:rPr>
        <w:t>三公</w:t>
      </w:r>
      <w:r>
        <w:rPr>
          <w:rFonts w:ascii="Times New Roman" w:eastAsia="仿宋_GB2312" w:hAnsi="Times New Roman" w:cs="Times New Roman"/>
          <w:sz w:val="32"/>
          <w:szCs w:val="32"/>
        </w:rPr>
        <w:t>”</w:t>
      </w:r>
      <w:r>
        <w:rPr>
          <w:rFonts w:ascii="Times New Roman" w:eastAsia="仿宋_GB2312" w:hAnsi="Times New Roman" w:cs="Times New Roman"/>
          <w:sz w:val="32"/>
          <w:szCs w:val="32"/>
        </w:rPr>
        <w:t>经费预算数为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</w:t>
      </w:r>
      <w:r>
        <w:rPr>
          <w:rFonts w:ascii="Times New Roman" w:eastAsia="仿宋_GB2312" w:hAnsi="Times New Roman" w:cs="Times New Roman"/>
          <w:sz w:val="32"/>
          <w:shd w:val="clear" w:color="auto" w:fill="FFFFFF"/>
        </w:rPr>
        <w:t>与上年预算持平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  <w:r w:rsidR="00F3014A">
        <w:rPr>
          <w:rFonts w:ascii="Times New Roman" w:eastAsia="仿宋_GB2312" w:hAnsi="Times New Roman" w:cs="Times New Roman" w:hint="eastAsia"/>
          <w:sz w:val="32"/>
          <w:szCs w:val="32"/>
        </w:rPr>
        <w:t>其中：</w:t>
      </w:r>
    </w:p>
    <w:p w14:paraId="59B0EBD8" w14:textId="77777777" w:rsidR="00F3014A" w:rsidRPr="00F3014A" w:rsidRDefault="00F3014A" w:rsidP="00F3014A">
      <w:pPr>
        <w:ind w:firstLineChars="200" w:firstLine="640"/>
        <w:rPr>
          <w:rFonts w:ascii="Times New Roman" w:eastAsia="仿宋_GB2312" w:hAnsi="Times New Roman" w:cs="Times New Roman"/>
          <w:sz w:val="32"/>
          <w:shd w:val="clear" w:color="auto" w:fill="FFFFFF"/>
        </w:rPr>
      </w:pP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因公出国（境）经费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年预算持平。根据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三亚外事办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安排的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2022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年出国计划，拟安排出国（境）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团（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组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次，出国（境）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人。公务用车购置及运行费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万元（其中，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公务用车购置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万元，公务用车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运行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维护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万元）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公务车保有量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辆，计划购置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辆；公务接待费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万元，与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上</w:t>
      </w:r>
      <w:r w:rsidRPr="00F3014A">
        <w:rPr>
          <w:rFonts w:ascii="Times New Roman" w:eastAsia="仿宋_GB2312" w:hAnsi="Times New Roman" w:cs="Times New Roman"/>
          <w:sz w:val="32"/>
          <w:shd w:val="clear" w:color="auto" w:fill="FFFFFF"/>
        </w:rPr>
        <w:t>年预算持平。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计划接待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批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0</w:t>
      </w:r>
      <w:r w:rsidRPr="00F3014A">
        <w:rPr>
          <w:rFonts w:ascii="Times New Roman" w:eastAsia="仿宋_GB2312" w:hAnsi="Times New Roman" w:cs="Times New Roman" w:hint="eastAsia"/>
          <w:sz w:val="32"/>
          <w:shd w:val="clear" w:color="auto" w:fill="FFFFFF"/>
        </w:rPr>
        <w:t>人。</w:t>
      </w:r>
    </w:p>
    <w:p w14:paraId="6033AB07" w14:textId="0BA7A91C" w:rsidR="00652E8C" w:rsidRDefault="00000000" w:rsidP="00F3014A">
      <w:pPr>
        <w:rPr>
          <w:rFonts w:ascii="Times New Roman" w:eastAsia="仿宋_GB2312" w:hAnsi="Times New Roman" w:cs="Times New Roman"/>
          <w:sz w:val="32"/>
          <w:shd w:val="clear" w:color="auto" w:fill="FFFFFF"/>
        </w:rPr>
      </w:pPr>
      <w:r>
        <w:rPr>
          <w:rFonts w:ascii="Times New Roman" w:eastAsia="仿宋_GB2312" w:hAnsi="Times New Roman" w:cs="Times New Roman"/>
          <w:sz w:val="32"/>
          <w:shd w:val="clear" w:color="auto" w:fill="FFFFFF"/>
        </w:rPr>
        <w:t xml:space="preserve">  </w:t>
      </w:r>
    </w:p>
    <w:p w14:paraId="393519FD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五、关于三亚市自贸港法律服务中心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年政府性基金预算当年拨款情况说明</w:t>
      </w:r>
    </w:p>
    <w:p w14:paraId="4532CEB5" w14:textId="77777777" w:rsidR="00652E8C" w:rsidRDefault="00000000">
      <w:pPr>
        <w:ind w:firstLine="640"/>
        <w:jc w:val="left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lastRenderedPageBreak/>
        <w:t>（一）政府性基金预算当年规模变化情况</w:t>
      </w:r>
    </w:p>
    <w:p w14:paraId="4930E0C0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年政府性基金预算当年拨款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万元，比上年预算数持平。</w:t>
      </w:r>
    </w:p>
    <w:p w14:paraId="732B0E46" w14:textId="77777777" w:rsidR="00652E8C" w:rsidRDefault="00000000">
      <w:pPr>
        <w:ind w:firstLine="640"/>
        <w:jc w:val="left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（二）政府性基金预算当年拨款结构情况</w:t>
      </w:r>
    </w:p>
    <w:p w14:paraId="55CF7C2E" w14:textId="77777777" w:rsidR="00652E8C" w:rsidRDefault="00000000">
      <w:pPr>
        <w:ind w:firstLineChars="250" w:firstLine="80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无。</w:t>
      </w:r>
    </w:p>
    <w:p w14:paraId="13DBC828" w14:textId="77777777" w:rsidR="00652E8C" w:rsidRDefault="00000000">
      <w:pPr>
        <w:ind w:firstLine="640"/>
        <w:jc w:val="left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（三）政府性基金预算当年拨款具体使用情况</w:t>
      </w:r>
    </w:p>
    <w:p w14:paraId="719A5908" w14:textId="77777777" w:rsidR="00652E8C" w:rsidRDefault="00000000">
      <w:pPr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</w:t>
      </w:r>
      <w:r>
        <w:rPr>
          <w:rFonts w:ascii="Times New Roman" w:eastAsia="仿宋_GB2312" w:hAnsi="Times New Roman" w:cs="Times New Roman"/>
          <w:sz w:val="32"/>
          <w:szCs w:val="32"/>
        </w:rPr>
        <w:t>无。</w:t>
      </w:r>
    </w:p>
    <w:p w14:paraId="49567214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六、关于三亚市自贸港法律服务中心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年收支预算情况的总体说明</w:t>
      </w:r>
    </w:p>
    <w:p w14:paraId="146351F2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按照综合预算原则，三亚市自贸港法律服务中心所有收入和支出均纳入部门预算管理。收入包括：一般公共预算收入。支出包括：一般公共服务支出、公共安全支出、社会保障和就业支出、卫生健康支出、住房保障支出。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年收支总预算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414B5AE0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七、关于三亚市自贸港法律服务中心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年收入预算情况说明</w:t>
      </w:r>
    </w:p>
    <w:p w14:paraId="02EA126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年收入预算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万元，其中：上年结转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0%</w:t>
      </w:r>
      <w:r>
        <w:rPr>
          <w:rFonts w:ascii="Times New Roman" w:eastAsia="仿宋_GB2312" w:hAnsi="Times New Roman" w:cs="Times New Roman"/>
          <w:sz w:val="32"/>
          <w:szCs w:val="32"/>
        </w:rPr>
        <w:t>；经费拨款收入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100%</w:t>
      </w:r>
      <w:r>
        <w:rPr>
          <w:rFonts w:ascii="Times New Roman" w:eastAsia="仿宋_GB2312" w:hAnsi="Times New Roman" w:cs="Times New Roman"/>
          <w:sz w:val="32"/>
          <w:szCs w:val="32"/>
        </w:rPr>
        <w:t>。比上年预算数增加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17.08</w:t>
      </w:r>
      <w:r>
        <w:rPr>
          <w:rFonts w:ascii="Times New Roman" w:eastAsia="仿宋_GB2312" w:hAnsi="Times New Roman" w:cs="Times New Roman"/>
          <w:sz w:val="32"/>
          <w:szCs w:val="32"/>
        </w:rPr>
        <w:t>万，主要是基本支出增加了</w:t>
      </w:r>
      <w:r>
        <w:rPr>
          <w:rFonts w:ascii="Times New Roman" w:eastAsia="仿宋_GB2312" w:hAnsi="Times New Roman" w:cs="Times New Roman"/>
          <w:sz w:val="32"/>
          <w:szCs w:val="32"/>
        </w:rPr>
        <w:t>24.08</w:t>
      </w:r>
      <w:r>
        <w:rPr>
          <w:rFonts w:ascii="Times New Roman" w:eastAsia="仿宋_GB2312" w:hAnsi="Times New Roman" w:cs="Times New Roman"/>
          <w:sz w:val="32"/>
          <w:szCs w:val="32"/>
        </w:rPr>
        <w:t>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，项目支出减少了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万，总体预算数增加了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17.08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68D1AB46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八、关于三亚市自贸港法律服务中心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2023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t>年支出预算</w:t>
      </w:r>
      <w:r>
        <w:rPr>
          <w:rFonts w:ascii="Times New Roman" w:eastAsia="黑体" w:hAnsi="Times New Roman" w:cs="Times New Roman"/>
          <w:sz w:val="32"/>
          <w:shd w:val="clear" w:color="auto" w:fill="FFFFFF"/>
        </w:rPr>
        <w:lastRenderedPageBreak/>
        <w:t>情况说明</w:t>
      </w:r>
    </w:p>
    <w:p w14:paraId="4EA487C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年支出预算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万元，其中：基本支出</w:t>
      </w:r>
      <w:r>
        <w:rPr>
          <w:rFonts w:ascii="Times New Roman" w:eastAsia="仿宋_GB2312" w:hAnsi="Times New Roman" w:cs="Times New Roman"/>
          <w:sz w:val="32"/>
          <w:szCs w:val="32"/>
        </w:rPr>
        <w:t>81.75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65.53%</w:t>
      </w:r>
      <w:r>
        <w:rPr>
          <w:rFonts w:ascii="Times New Roman" w:eastAsia="仿宋_GB2312" w:hAnsi="Times New Roman" w:cs="Times New Roman"/>
          <w:sz w:val="32"/>
          <w:szCs w:val="32"/>
        </w:rPr>
        <w:t>；项目支出</w:t>
      </w:r>
      <w:r>
        <w:rPr>
          <w:rFonts w:ascii="Times New Roman" w:eastAsia="仿宋_GB2312" w:hAnsi="Times New Roman" w:cs="Times New Roman"/>
          <w:sz w:val="32"/>
          <w:szCs w:val="32"/>
        </w:rPr>
        <w:t>43</w:t>
      </w:r>
      <w:r>
        <w:rPr>
          <w:rFonts w:ascii="Times New Roman" w:eastAsia="仿宋_GB2312" w:hAnsi="Times New Roman" w:cs="Times New Roman"/>
          <w:sz w:val="32"/>
          <w:szCs w:val="32"/>
        </w:rPr>
        <w:t>万元，占</w:t>
      </w:r>
      <w:r>
        <w:rPr>
          <w:rFonts w:ascii="Times New Roman" w:eastAsia="仿宋_GB2312" w:hAnsi="Times New Roman" w:cs="Times New Roman"/>
          <w:sz w:val="32"/>
          <w:szCs w:val="32"/>
        </w:rPr>
        <w:t>34.47%</w:t>
      </w:r>
      <w:r>
        <w:rPr>
          <w:rFonts w:ascii="Times New Roman" w:eastAsia="仿宋_GB2312" w:hAnsi="Times New Roman" w:cs="Times New Roman"/>
          <w:sz w:val="32"/>
          <w:szCs w:val="32"/>
        </w:rPr>
        <w:t>。比上年预算数增加</w:t>
      </w:r>
      <w:r>
        <w:rPr>
          <w:rFonts w:ascii="Times New Roman" w:eastAsia="仿宋_GB2312" w:hAnsi="Times New Roman" w:cs="Times New Roman"/>
          <w:sz w:val="32"/>
          <w:szCs w:val="32"/>
        </w:rPr>
        <w:t>17.08</w:t>
      </w:r>
      <w:r>
        <w:rPr>
          <w:rFonts w:ascii="Times New Roman" w:eastAsia="仿宋_GB2312" w:hAnsi="Times New Roman" w:cs="Times New Roman"/>
          <w:sz w:val="32"/>
          <w:szCs w:val="32"/>
        </w:rPr>
        <w:t>万，主要是基本支出增加了</w:t>
      </w:r>
      <w:r>
        <w:rPr>
          <w:rFonts w:ascii="Times New Roman" w:eastAsia="仿宋_GB2312" w:hAnsi="Times New Roman" w:cs="Times New Roman"/>
          <w:sz w:val="32"/>
          <w:szCs w:val="32"/>
        </w:rPr>
        <w:t>24.08</w:t>
      </w:r>
      <w:r>
        <w:rPr>
          <w:rFonts w:ascii="Times New Roman" w:eastAsia="仿宋_GB2312" w:hAnsi="Times New Roman" w:cs="Times New Roman"/>
          <w:sz w:val="32"/>
          <w:szCs w:val="32"/>
        </w:rPr>
        <w:t>万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，项目支出减少了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万，总体预算数增加了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17.08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万</w:t>
      </w:r>
      <w:r>
        <w:rPr>
          <w:rFonts w:ascii="Times New Roman" w:eastAsia="仿宋_GB2312" w:hAnsi="Times New Roman" w:cs="Times New Roman"/>
          <w:sz w:val="32"/>
          <w:szCs w:val="32"/>
        </w:rPr>
        <w:t>。</w:t>
      </w:r>
    </w:p>
    <w:p w14:paraId="18FABF7B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sz w:val="32"/>
          <w:shd w:val="clear" w:color="auto" w:fill="FFFFFF"/>
        </w:rPr>
      </w:pPr>
      <w:r>
        <w:rPr>
          <w:rFonts w:ascii="Times New Roman" w:eastAsia="黑体" w:hAnsi="Times New Roman" w:cs="Times New Roman"/>
          <w:sz w:val="32"/>
          <w:shd w:val="clear" w:color="auto" w:fill="FFFFFF"/>
        </w:rPr>
        <w:t>九、其他重要事项的情况说明</w:t>
      </w:r>
    </w:p>
    <w:p w14:paraId="66909CC2" w14:textId="77777777" w:rsidR="00652E8C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（一）政府采购情况</w:t>
      </w:r>
    </w:p>
    <w:p w14:paraId="54DABED4" w14:textId="77777777" w:rsidR="00652E8C" w:rsidRDefault="00000000">
      <w:pPr>
        <w:ind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年三亚市自贸港法律服务中心政府采购预算总额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66D7AA9F" w14:textId="77777777" w:rsidR="00652E8C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（二）国有资产占有使用情况</w:t>
      </w:r>
    </w:p>
    <w:p w14:paraId="7AB98D45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截至</w:t>
      </w:r>
      <w:r>
        <w:rPr>
          <w:rFonts w:ascii="Times New Roman" w:eastAsia="仿宋_GB2312" w:hAnsi="Times New Roman" w:cs="Times New Roman"/>
          <w:sz w:val="32"/>
          <w:szCs w:val="32"/>
        </w:rPr>
        <w:t>2022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</w:rPr>
        <w:t>31</w:t>
      </w:r>
      <w:r>
        <w:rPr>
          <w:rFonts w:ascii="Times New Roman" w:eastAsia="仿宋_GB2312" w:hAnsi="Times New Roman" w:cs="Times New Roman"/>
          <w:sz w:val="32"/>
          <w:szCs w:val="32"/>
        </w:rPr>
        <w:t>日，三亚市自贸港法律服务中心本级预算单位共有车辆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辆。</w:t>
      </w:r>
    </w:p>
    <w:p w14:paraId="3B6D8568" w14:textId="77777777" w:rsidR="00652E8C" w:rsidRDefault="00000000">
      <w:pPr>
        <w:ind w:firstLineChars="200" w:firstLine="640"/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（三）绩效目标设置情况</w:t>
      </w:r>
    </w:p>
    <w:p w14:paraId="73A3ABA3" w14:textId="77777777" w:rsidR="00652E8C" w:rsidRDefault="00000000">
      <w:pPr>
        <w:ind w:firstLineChars="200" w:firstLine="640"/>
        <w:rPr>
          <w:rFonts w:ascii="Times New Roman" w:eastAsia="黑体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2023</w:t>
      </w:r>
      <w:r>
        <w:rPr>
          <w:rFonts w:ascii="Times New Roman" w:eastAsia="仿宋_GB2312" w:hAnsi="Times New Roman" w:cs="Times New Roman"/>
          <w:sz w:val="32"/>
          <w:szCs w:val="32"/>
        </w:rPr>
        <w:t>年三亚市自贸港法律服务中心</w:t>
      </w:r>
      <w:r>
        <w:rPr>
          <w:rFonts w:ascii="Times New Roman" w:eastAsia="仿宋_GB2312" w:hAnsi="Times New Roman" w:cs="Times New Roman"/>
          <w:sz w:val="32"/>
          <w:szCs w:val="32"/>
        </w:rPr>
        <w:t>12</w:t>
      </w:r>
      <w:r>
        <w:rPr>
          <w:rFonts w:ascii="Times New Roman" w:eastAsia="仿宋_GB2312" w:hAnsi="Times New Roman" w:cs="Times New Roman"/>
          <w:sz w:val="32"/>
          <w:szCs w:val="32"/>
        </w:rPr>
        <w:t>个项目实行绩效目标管理，涉及一般公共预算</w:t>
      </w:r>
      <w:r>
        <w:rPr>
          <w:rFonts w:ascii="Times New Roman" w:eastAsia="仿宋_GB2312" w:hAnsi="Times New Roman" w:cs="Times New Roman"/>
          <w:sz w:val="32"/>
          <w:szCs w:val="32"/>
        </w:rPr>
        <w:t>124.75</w:t>
      </w:r>
      <w:r>
        <w:rPr>
          <w:rFonts w:ascii="Times New Roman" w:eastAsia="仿宋_GB2312" w:hAnsi="Times New Roman" w:cs="Times New Roman"/>
          <w:sz w:val="32"/>
          <w:szCs w:val="32"/>
        </w:rPr>
        <w:t>万元、政府性基金</w:t>
      </w:r>
      <w:r>
        <w:rPr>
          <w:rFonts w:ascii="Times New Roman" w:eastAsia="仿宋_GB2312" w:hAnsi="Times New Roman" w:cs="Times New Roman"/>
          <w:sz w:val="32"/>
          <w:szCs w:val="32"/>
        </w:rPr>
        <w:t>0</w:t>
      </w:r>
      <w:r>
        <w:rPr>
          <w:rFonts w:ascii="Times New Roman" w:eastAsia="仿宋_GB2312" w:hAnsi="Times New Roman" w:cs="Times New Roman"/>
          <w:sz w:val="32"/>
          <w:szCs w:val="32"/>
        </w:rPr>
        <w:t>万元。</w:t>
      </w:r>
    </w:p>
    <w:p w14:paraId="68FC89A5" w14:textId="77777777" w:rsidR="00652E8C" w:rsidRDefault="00000000">
      <w:pPr>
        <w:rPr>
          <w:rFonts w:ascii="Times New Roman" w:eastAsia="仿宋_GB2312" w:hAnsi="Times New Roman" w:cs="Times New Roman"/>
          <w:bCs/>
          <w:color w:val="000000"/>
          <w:kern w:val="0"/>
          <w:sz w:val="32"/>
          <w:szCs w:val="32"/>
          <w:lang w:val="zh-CN"/>
        </w:rPr>
      </w:pPr>
      <w:r>
        <w:rPr>
          <w:rFonts w:ascii="Times New Roman" w:eastAsia="黑体" w:hAnsi="Times New Roman" w:cs="Times New Roman"/>
          <w:b/>
          <w:sz w:val="32"/>
          <w:szCs w:val="32"/>
        </w:rPr>
        <w:t>第四部分</w:t>
      </w:r>
      <w:r>
        <w:rPr>
          <w:rFonts w:ascii="Times New Roman" w:eastAsia="黑体" w:hAnsi="Times New Roman" w:cs="Times New Roman"/>
          <w:b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b/>
          <w:sz w:val="32"/>
          <w:szCs w:val="32"/>
        </w:rPr>
        <w:t>名词解释</w:t>
      </w:r>
    </w:p>
    <w:p w14:paraId="3B395B7A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一、财政拨款收入：指本级财政当年拨付的资金。</w:t>
      </w:r>
    </w:p>
    <w:p w14:paraId="22773DAD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二、事业收入：指事业单位开展专业业务活动及辅助活动取得的收入。</w:t>
      </w:r>
    </w:p>
    <w:p w14:paraId="5385CDF8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三、经营收入：指事业单位在专业业务活动及其辅助活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lastRenderedPageBreak/>
        <w:t>动之外开展非独立核算经营活动取得的收入。</w:t>
      </w:r>
    </w:p>
    <w:p w14:paraId="4F3B7EC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四、其他收入：指除上述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财政拨款收入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”“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事业收入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”“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经营收入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等以外的收入。</w:t>
      </w:r>
    </w:p>
    <w:p w14:paraId="387C8B44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五、年初结转和结余：指以前年度尚未完成、结转到本年按有关规定继续使用的资金。</w:t>
      </w:r>
    </w:p>
    <w:p w14:paraId="1CF76ECC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六、基本支出：指行政事业单位用于为保障其机构正常运转、完成日常工作任务而发生的人员支出和公用支出。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 xml:space="preserve">   </w:t>
      </w:r>
    </w:p>
    <w:p w14:paraId="5B623956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七、工资福利支出：反映单位开支的在职职工和编制外长期聘用人员的各类劳动报酬，以及为上述人员缴纳的各项社会保险费等。</w:t>
      </w:r>
    </w:p>
    <w:p w14:paraId="623E7F0B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八、对个人和家庭的补助支出：反映政府用于对个人和家庭的补助支出，包括离休费、退休费、退职（役）费、抚恤金、生活补助、救济费、医疗费补助、助学金、独生子女奖励金、其他等。</w:t>
      </w:r>
    </w:p>
    <w:p w14:paraId="129CAAE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九、商品和服务支出：反映单位购买商品和服务的支出，包括办公费、水费、电费、邮电费、培训费、公务用车运行维护费、差旅费、因公出国（境）费用、公务接待费、工会经费、会议费、福利费、物业管理费、维修（护）费、其他等。</w:t>
      </w:r>
    </w:p>
    <w:p w14:paraId="1F562F73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十、项目支出：指各部门、各单位为完成其特定的工作任务和事业发展目标所发生的支出。</w:t>
      </w:r>
    </w:p>
    <w:p w14:paraId="48671117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十一、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“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三公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”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经费：包括因公出国（境）费、公务用车</w:t>
      </w: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lastRenderedPageBreak/>
        <w:t>购置及运行费和公务接待费。其中，因公出国（境）费指单位公务出国（境）的国际旅费、国外城市间交通费、住宿费、伙食费、培训费、公杂费等支出；公务用车购置及运行费指单位公务用车车辆购置支出（含车辆购置税）及燃料费、维修费、过路过桥费、保险费、安全奖励费用等支出；公务接待费指单位按规定开支的各类公务接待（含外宾接待）支出。</w:t>
      </w:r>
    </w:p>
    <w:p w14:paraId="35076FAE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十二、机关运行经费：为保障行政单位（含参照公务员法管理的事业单位）运行用于购买货物和服务的各项资金，包括办公及印刷费、邮电费、差旅费、会议费、日常维修费、专用材料及一般设备购置费、办公用房水电费、办公用房取暖费、办公用房物业管理费、公务用车运行维护费以及其他费用。</w:t>
      </w:r>
    </w:p>
    <w:p w14:paraId="79543542" w14:textId="77777777" w:rsidR="00652E8C" w:rsidRDefault="00000000">
      <w:pPr>
        <w:ind w:firstLineChars="200" w:firstLine="640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  <w:color w:val="000000"/>
          <w:kern w:val="0"/>
          <w:sz w:val="32"/>
          <w:szCs w:val="30"/>
        </w:rPr>
        <w:t>十三、一般行政管理事务经费：反映为行政单位（包括实行公务员管理的事业单位）未单独设置顶级科目的其他项目支出。</w:t>
      </w:r>
    </w:p>
    <w:sectPr w:rsidR="00652E8C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AABE141"/>
    <w:multiLevelType w:val="singleLevel"/>
    <w:tmpl w:val="8AABE14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b w:val="0"/>
        <w:bCs w:val="0"/>
      </w:rPr>
    </w:lvl>
  </w:abstractNum>
  <w:abstractNum w:abstractNumId="1" w15:restartNumberingAfterBreak="0">
    <w:nsid w:val="05832B87"/>
    <w:multiLevelType w:val="multilevel"/>
    <w:tmpl w:val="05832B87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023204"/>
    <w:multiLevelType w:val="multilevel"/>
    <w:tmpl w:val="3602320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C9A6287"/>
    <w:multiLevelType w:val="multilevel"/>
    <w:tmpl w:val="4C9A628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A611727"/>
    <w:multiLevelType w:val="multilevel"/>
    <w:tmpl w:val="5A611727"/>
    <w:lvl w:ilvl="0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Ansi="仿宋_GB2312" w:cs="仿宋_GB2312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0D57A06"/>
    <w:multiLevelType w:val="multilevel"/>
    <w:tmpl w:val="70D57A06"/>
    <w:lvl w:ilvl="0">
      <w:start w:val="1"/>
      <w:numFmt w:val="chineseCountingThousand"/>
      <w:lvlText w:val="第%1部分"/>
      <w:lvlJc w:val="left"/>
      <w:pPr>
        <w:ind w:left="1320" w:hanging="1320"/>
      </w:pPr>
      <w:rPr>
        <w:rFonts w:ascii="黑体" w:eastAsia="黑体" w:hAnsi="黑体" w:cs="黑体"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03818227">
    <w:abstractNumId w:val="1"/>
  </w:num>
  <w:num w:numId="2" w16cid:durableId="550964659">
    <w:abstractNumId w:val="3"/>
  </w:num>
  <w:num w:numId="3" w16cid:durableId="1432428649">
    <w:abstractNumId w:val="4"/>
  </w:num>
  <w:num w:numId="4" w16cid:durableId="1386100885">
    <w:abstractNumId w:val="5"/>
  </w:num>
  <w:num w:numId="5" w16cid:durableId="80832401">
    <w:abstractNumId w:val="2"/>
  </w:num>
  <w:num w:numId="6" w16cid:durableId="364211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GNjM2ExOTA0YTljZTg4OGU2Zjc2ZDBjZWQ4NTVlMzcifQ=="/>
  </w:docVars>
  <w:rsids>
    <w:rsidRoot w:val="616A1227"/>
    <w:rsid w:val="00652E8C"/>
    <w:rsid w:val="00740D2C"/>
    <w:rsid w:val="00773916"/>
    <w:rsid w:val="008B4819"/>
    <w:rsid w:val="00CF5500"/>
    <w:rsid w:val="00F3014A"/>
    <w:rsid w:val="0136732D"/>
    <w:rsid w:val="0170463E"/>
    <w:rsid w:val="017A141F"/>
    <w:rsid w:val="018D0F17"/>
    <w:rsid w:val="021A27AB"/>
    <w:rsid w:val="023B7E94"/>
    <w:rsid w:val="02555ED9"/>
    <w:rsid w:val="0273635F"/>
    <w:rsid w:val="02B542B1"/>
    <w:rsid w:val="02B6157D"/>
    <w:rsid w:val="03D472D2"/>
    <w:rsid w:val="03FE7EAB"/>
    <w:rsid w:val="04335DA6"/>
    <w:rsid w:val="046046C1"/>
    <w:rsid w:val="048721AD"/>
    <w:rsid w:val="04BD1B14"/>
    <w:rsid w:val="04FD0162"/>
    <w:rsid w:val="05860158"/>
    <w:rsid w:val="05AB5E10"/>
    <w:rsid w:val="05AB7BBE"/>
    <w:rsid w:val="05D62E8D"/>
    <w:rsid w:val="05EB04D9"/>
    <w:rsid w:val="06616D34"/>
    <w:rsid w:val="067526A6"/>
    <w:rsid w:val="07117EF5"/>
    <w:rsid w:val="07A33B76"/>
    <w:rsid w:val="08534D02"/>
    <w:rsid w:val="08591B53"/>
    <w:rsid w:val="08C711B3"/>
    <w:rsid w:val="092108C3"/>
    <w:rsid w:val="098A290C"/>
    <w:rsid w:val="0A6842D0"/>
    <w:rsid w:val="0B41524D"/>
    <w:rsid w:val="0B9335CE"/>
    <w:rsid w:val="0C5B0590"/>
    <w:rsid w:val="0C6C454B"/>
    <w:rsid w:val="0CE51189"/>
    <w:rsid w:val="0D0C3638"/>
    <w:rsid w:val="0D912171"/>
    <w:rsid w:val="0D9A01F3"/>
    <w:rsid w:val="0DCD726B"/>
    <w:rsid w:val="0E0E518E"/>
    <w:rsid w:val="0E121122"/>
    <w:rsid w:val="0E1C356D"/>
    <w:rsid w:val="0E6A4ABA"/>
    <w:rsid w:val="0EB16245"/>
    <w:rsid w:val="0EB61AAE"/>
    <w:rsid w:val="0ED308B1"/>
    <w:rsid w:val="0F29227F"/>
    <w:rsid w:val="0FA97864"/>
    <w:rsid w:val="0FD50659"/>
    <w:rsid w:val="10150A56"/>
    <w:rsid w:val="1021564D"/>
    <w:rsid w:val="102659DB"/>
    <w:rsid w:val="1054157E"/>
    <w:rsid w:val="110C00AB"/>
    <w:rsid w:val="11895257"/>
    <w:rsid w:val="11A26319"/>
    <w:rsid w:val="11D34725"/>
    <w:rsid w:val="12096398"/>
    <w:rsid w:val="120D6E3C"/>
    <w:rsid w:val="12577104"/>
    <w:rsid w:val="12744159"/>
    <w:rsid w:val="12A04F4F"/>
    <w:rsid w:val="13367661"/>
    <w:rsid w:val="13A16283"/>
    <w:rsid w:val="13C24A51"/>
    <w:rsid w:val="13E26EA1"/>
    <w:rsid w:val="142E658A"/>
    <w:rsid w:val="1497412F"/>
    <w:rsid w:val="14A10028"/>
    <w:rsid w:val="14EB7FD7"/>
    <w:rsid w:val="15190FE8"/>
    <w:rsid w:val="15311E8E"/>
    <w:rsid w:val="1557566D"/>
    <w:rsid w:val="157530EA"/>
    <w:rsid w:val="15C745A0"/>
    <w:rsid w:val="15F15AC1"/>
    <w:rsid w:val="16375ECF"/>
    <w:rsid w:val="16A14DF1"/>
    <w:rsid w:val="16FC64CC"/>
    <w:rsid w:val="175005C5"/>
    <w:rsid w:val="183D1D97"/>
    <w:rsid w:val="189664AC"/>
    <w:rsid w:val="18DF42F7"/>
    <w:rsid w:val="190B50EC"/>
    <w:rsid w:val="192166BD"/>
    <w:rsid w:val="19761B8B"/>
    <w:rsid w:val="19AF3CC9"/>
    <w:rsid w:val="1A7A1C39"/>
    <w:rsid w:val="1A7A7E33"/>
    <w:rsid w:val="1AA80E44"/>
    <w:rsid w:val="1BE55780"/>
    <w:rsid w:val="1C057BD0"/>
    <w:rsid w:val="1C247350"/>
    <w:rsid w:val="1C3B1844"/>
    <w:rsid w:val="1D0A093A"/>
    <w:rsid w:val="1D554B87"/>
    <w:rsid w:val="1DA33B45"/>
    <w:rsid w:val="1E012619"/>
    <w:rsid w:val="1EE53492"/>
    <w:rsid w:val="1F2E20B1"/>
    <w:rsid w:val="1F9279CD"/>
    <w:rsid w:val="1FB75686"/>
    <w:rsid w:val="20234AC9"/>
    <w:rsid w:val="20C20786"/>
    <w:rsid w:val="214D44F3"/>
    <w:rsid w:val="21B53E47"/>
    <w:rsid w:val="21C061E3"/>
    <w:rsid w:val="221B7C49"/>
    <w:rsid w:val="221E379A"/>
    <w:rsid w:val="22205764"/>
    <w:rsid w:val="22A939AB"/>
    <w:rsid w:val="23353491"/>
    <w:rsid w:val="237A23D9"/>
    <w:rsid w:val="244A2F6C"/>
    <w:rsid w:val="24F86524"/>
    <w:rsid w:val="251F5F7F"/>
    <w:rsid w:val="25A246E2"/>
    <w:rsid w:val="260D24A3"/>
    <w:rsid w:val="262275D1"/>
    <w:rsid w:val="267267AA"/>
    <w:rsid w:val="26CA43FD"/>
    <w:rsid w:val="27CE17BE"/>
    <w:rsid w:val="28DC7F0B"/>
    <w:rsid w:val="29455AB0"/>
    <w:rsid w:val="29EC6874"/>
    <w:rsid w:val="2AA50EFC"/>
    <w:rsid w:val="2AED63FF"/>
    <w:rsid w:val="2B5D17D7"/>
    <w:rsid w:val="2C655F30"/>
    <w:rsid w:val="2D155D1C"/>
    <w:rsid w:val="2D2F0F51"/>
    <w:rsid w:val="2D7739CD"/>
    <w:rsid w:val="2DAA4A7C"/>
    <w:rsid w:val="2DBD030B"/>
    <w:rsid w:val="2DD65871"/>
    <w:rsid w:val="2E262354"/>
    <w:rsid w:val="2E6C1D31"/>
    <w:rsid w:val="2E861045"/>
    <w:rsid w:val="2EE713B8"/>
    <w:rsid w:val="2F087CAC"/>
    <w:rsid w:val="2F3F2FA2"/>
    <w:rsid w:val="2FA33530"/>
    <w:rsid w:val="2FE14059"/>
    <w:rsid w:val="304036CB"/>
    <w:rsid w:val="30470360"/>
    <w:rsid w:val="306C7DC6"/>
    <w:rsid w:val="3098505F"/>
    <w:rsid w:val="30DF4A3C"/>
    <w:rsid w:val="310B75DF"/>
    <w:rsid w:val="31615451"/>
    <w:rsid w:val="31A83080"/>
    <w:rsid w:val="31AE1677"/>
    <w:rsid w:val="32317519"/>
    <w:rsid w:val="32B207B9"/>
    <w:rsid w:val="32B31CDC"/>
    <w:rsid w:val="32B75C71"/>
    <w:rsid w:val="32CF3F0D"/>
    <w:rsid w:val="32E7407C"/>
    <w:rsid w:val="32F01183"/>
    <w:rsid w:val="33466FF4"/>
    <w:rsid w:val="33631954"/>
    <w:rsid w:val="33941B0E"/>
    <w:rsid w:val="33F151B2"/>
    <w:rsid w:val="34035965"/>
    <w:rsid w:val="347F27BE"/>
    <w:rsid w:val="34A30F22"/>
    <w:rsid w:val="354B08F2"/>
    <w:rsid w:val="354E3F3E"/>
    <w:rsid w:val="35637D6A"/>
    <w:rsid w:val="35B44D6B"/>
    <w:rsid w:val="360A60B7"/>
    <w:rsid w:val="36176A26"/>
    <w:rsid w:val="369E0EF6"/>
    <w:rsid w:val="36B64491"/>
    <w:rsid w:val="37217B5C"/>
    <w:rsid w:val="372C4753"/>
    <w:rsid w:val="37377380"/>
    <w:rsid w:val="376B3753"/>
    <w:rsid w:val="379F6CD3"/>
    <w:rsid w:val="38606463"/>
    <w:rsid w:val="387168C2"/>
    <w:rsid w:val="39AE1450"/>
    <w:rsid w:val="39E66E3B"/>
    <w:rsid w:val="3A257964"/>
    <w:rsid w:val="3A414072"/>
    <w:rsid w:val="3A4818A4"/>
    <w:rsid w:val="3B7A3CDF"/>
    <w:rsid w:val="3BBA7DD0"/>
    <w:rsid w:val="3C0161AE"/>
    <w:rsid w:val="3C343766"/>
    <w:rsid w:val="3CC05722"/>
    <w:rsid w:val="3D2F28A7"/>
    <w:rsid w:val="3D4A76E1"/>
    <w:rsid w:val="3D9F5C7F"/>
    <w:rsid w:val="3DFA1107"/>
    <w:rsid w:val="3E1E54EC"/>
    <w:rsid w:val="3E75253C"/>
    <w:rsid w:val="3ED25BE0"/>
    <w:rsid w:val="3F5A1BCC"/>
    <w:rsid w:val="3FCA68B7"/>
    <w:rsid w:val="3FCC6AD3"/>
    <w:rsid w:val="3FD17C46"/>
    <w:rsid w:val="3FE91433"/>
    <w:rsid w:val="404E74E8"/>
    <w:rsid w:val="40DC2D46"/>
    <w:rsid w:val="40E439A9"/>
    <w:rsid w:val="41416C55"/>
    <w:rsid w:val="41C061C4"/>
    <w:rsid w:val="41D57EC1"/>
    <w:rsid w:val="41DB6410"/>
    <w:rsid w:val="4226071D"/>
    <w:rsid w:val="424C5CAA"/>
    <w:rsid w:val="426E4640"/>
    <w:rsid w:val="42C83582"/>
    <w:rsid w:val="431762B8"/>
    <w:rsid w:val="43811983"/>
    <w:rsid w:val="440F6F8F"/>
    <w:rsid w:val="44250560"/>
    <w:rsid w:val="442742D8"/>
    <w:rsid w:val="4439400C"/>
    <w:rsid w:val="4447497A"/>
    <w:rsid w:val="44615A3C"/>
    <w:rsid w:val="447F2366"/>
    <w:rsid w:val="448434D9"/>
    <w:rsid w:val="44D73F50"/>
    <w:rsid w:val="45EA1252"/>
    <w:rsid w:val="46003033"/>
    <w:rsid w:val="460F2D88"/>
    <w:rsid w:val="46396545"/>
    <w:rsid w:val="46A2058E"/>
    <w:rsid w:val="46AE6F33"/>
    <w:rsid w:val="47422AD1"/>
    <w:rsid w:val="47727F60"/>
    <w:rsid w:val="479E2B03"/>
    <w:rsid w:val="47B440D5"/>
    <w:rsid w:val="47CB7B5A"/>
    <w:rsid w:val="48376AB4"/>
    <w:rsid w:val="486F710E"/>
    <w:rsid w:val="489B34E7"/>
    <w:rsid w:val="489F2FD7"/>
    <w:rsid w:val="4948541D"/>
    <w:rsid w:val="4A325785"/>
    <w:rsid w:val="4A742241"/>
    <w:rsid w:val="4A9F72BE"/>
    <w:rsid w:val="4AE44CD1"/>
    <w:rsid w:val="4B0C4228"/>
    <w:rsid w:val="4BE01E83"/>
    <w:rsid w:val="4C03562B"/>
    <w:rsid w:val="4CAC7A71"/>
    <w:rsid w:val="4CC50B32"/>
    <w:rsid w:val="4D1D0480"/>
    <w:rsid w:val="4EC07803"/>
    <w:rsid w:val="4EDD35B4"/>
    <w:rsid w:val="4EEC1582"/>
    <w:rsid w:val="4F18319B"/>
    <w:rsid w:val="4F247D92"/>
    <w:rsid w:val="4F253B0A"/>
    <w:rsid w:val="4F3D0E54"/>
    <w:rsid w:val="502618E8"/>
    <w:rsid w:val="50722E1A"/>
    <w:rsid w:val="508D5E0B"/>
    <w:rsid w:val="50AB003F"/>
    <w:rsid w:val="50DB0924"/>
    <w:rsid w:val="50EC2B32"/>
    <w:rsid w:val="510E07AC"/>
    <w:rsid w:val="51183927"/>
    <w:rsid w:val="5173238E"/>
    <w:rsid w:val="517D19DC"/>
    <w:rsid w:val="518F170F"/>
    <w:rsid w:val="51A61C2D"/>
    <w:rsid w:val="520143BB"/>
    <w:rsid w:val="5288688A"/>
    <w:rsid w:val="529F12A2"/>
    <w:rsid w:val="52A82A88"/>
    <w:rsid w:val="52BC29D7"/>
    <w:rsid w:val="536746F1"/>
    <w:rsid w:val="537E1A3B"/>
    <w:rsid w:val="53807561"/>
    <w:rsid w:val="53980D4F"/>
    <w:rsid w:val="53BB4A3D"/>
    <w:rsid w:val="53E75832"/>
    <w:rsid w:val="53FA7313"/>
    <w:rsid w:val="540E796B"/>
    <w:rsid w:val="5415414D"/>
    <w:rsid w:val="545804DE"/>
    <w:rsid w:val="54B716A8"/>
    <w:rsid w:val="5552317F"/>
    <w:rsid w:val="559A7000"/>
    <w:rsid w:val="559D2DBC"/>
    <w:rsid w:val="55C951EF"/>
    <w:rsid w:val="562468CA"/>
    <w:rsid w:val="56A5007F"/>
    <w:rsid w:val="56DF0A43"/>
    <w:rsid w:val="56FC3EF4"/>
    <w:rsid w:val="57580F21"/>
    <w:rsid w:val="578C0BCA"/>
    <w:rsid w:val="57A4224B"/>
    <w:rsid w:val="597731B4"/>
    <w:rsid w:val="597A4A53"/>
    <w:rsid w:val="598F6750"/>
    <w:rsid w:val="59A92F54"/>
    <w:rsid w:val="59C04B5B"/>
    <w:rsid w:val="59CF4D9E"/>
    <w:rsid w:val="5A221372"/>
    <w:rsid w:val="5A4C4641"/>
    <w:rsid w:val="5AA24261"/>
    <w:rsid w:val="5ADF54B5"/>
    <w:rsid w:val="5AE8436A"/>
    <w:rsid w:val="5B0647F0"/>
    <w:rsid w:val="5B0D5B7E"/>
    <w:rsid w:val="5B13515F"/>
    <w:rsid w:val="5B542902"/>
    <w:rsid w:val="5BF94355"/>
    <w:rsid w:val="5CB00EB7"/>
    <w:rsid w:val="5CE96177"/>
    <w:rsid w:val="5D017965"/>
    <w:rsid w:val="5D4D0470"/>
    <w:rsid w:val="5D8F31C2"/>
    <w:rsid w:val="5DB03139"/>
    <w:rsid w:val="5E421FE3"/>
    <w:rsid w:val="5E4D0988"/>
    <w:rsid w:val="5EC450EE"/>
    <w:rsid w:val="5F0C25F1"/>
    <w:rsid w:val="5F6E0BB6"/>
    <w:rsid w:val="5F7E529D"/>
    <w:rsid w:val="5FF45609"/>
    <w:rsid w:val="60600E46"/>
    <w:rsid w:val="60732927"/>
    <w:rsid w:val="60904DF0"/>
    <w:rsid w:val="60934D78"/>
    <w:rsid w:val="60F236ED"/>
    <w:rsid w:val="610177A9"/>
    <w:rsid w:val="61092146"/>
    <w:rsid w:val="6109503A"/>
    <w:rsid w:val="61120392"/>
    <w:rsid w:val="6147287B"/>
    <w:rsid w:val="61475B62"/>
    <w:rsid w:val="61630BEE"/>
    <w:rsid w:val="616A1227"/>
    <w:rsid w:val="61F21F72"/>
    <w:rsid w:val="621B3277"/>
    <w:rsid w:val="627C183B"/>
    <w:rsid w:val="62946B85"/>
    <w:rsid w:val="638D1F52"/>
    <w:rsid w:val="63B35731"/>
    <w:rsid w:val="63DA2F1F"/>
    <w:rsid w:val="63F21DB5"/>
    <w:rsid w:val="63F41FD1"/>
    <w:rsid w:val="63FC3E19"/>
    <w:rsid w:val="64041AE8"/>
    <w:rsid w:val="64061D04"/>
    <w:rsid w:val="64FD3107"/>
    <w:rsid w:val="6509385A"/>
    <w:rsid w:val="65654809"/>
    <w:rsid w:val="6570115F"/>
    <w:rsid w:val="6578278E"/>
    <w:rsid w:val="65AB66C0"/>
    <w:rsid w:val="66BE2423"/>
    <w:rsid w:val="66E71979"/>
    <w:rsid w:val="67852F40"/>
    <w:rsid w:val="67BD26DA"/>
    <w:rsid w:val="682E182A"/>
    <w:rsid w:val="68416CAA"/>
    <w:rsid w:val="68534804"/>
    <w:rsid w:val="686E1C26"/>
    <w:rsid w:val="68F640F6"/>
    <w:rsid w:val="69126A56"/>
    <w:rsid w:val="69564B94"/>
    <w:rsid w:val="6A6E4160"/>
    <w:rsid w:val="6A707ED8"/>
    <w:rsid w:val="6AA638F9"/>
    <w:rsid w:val="6AB7735D"/>
    <w:rsid w:val="6ACB3360"/>
    <w:rsid w:val="6B0847CA"/>
    <w:rsid w:val="6B460C38"/>
    <w:rsid w:val="6C832144"/>
    <w:rsid w:val="6C9C4FB4"/>
    <w:rsid w:val="6D2C27DC"/>
    <w:rsid w:val="6DA57E98"/>
    <w:rsid w:val="6E001573"/>
    <w:rsid w:val="6F4B0F13"/>
    <w:rsid w:val="6F6873CF"/>
    <w:rsid w:val="6F7A7103"/>
    <w:rsid w:val="6FD9207B"/>
    <w:rsid w:val="704F233D"/>
    <w:rsid w:val="71233EF6"/>
    <w:rsid w:val="71487575"/>
    <w:rsid w:val="717554E7"/>
    <w:rsid w:val="71775FF0"/>
    <w:rsid w:val="72536115"/>
    <w:rsid w:val="72D60AF4"/>
    <w:rsid w:val="72E01973"/>
    <w:rsid w:val="74AD50F0"/>
    <w:rsid w:val="74B65081"/>
    <w:rsid w:val="751004B8"/>
    <w:rsid w:val="752A5F89"/>
    <w:rsid w:val="75377F70"/>
    <w:rsid w:val="753A35BC"/>
    <w:rsid w:val="760040C2"/>
    <w:rsid w:val="765406AD"/>
    <w:rsid w:val="76A31F1F"/>
    <w:rsid w:val="76C9109B"/>
    <w:rsid w:val="76CA4E14"/>
    <w:rsid w:val="78124F60"/>
    <w:rsid w:val="78680440"/>
    <w:rsid w:val="796E1A86"/>
    <w:rsid w:val="796F10ED"/>
    <w:rsid w:val="79752E15"/>
    <w:rsid w:val="7A2505E6"/>
    <w:rsid w:val="7A294FE4"/>
    <w:rsid w:val="7A546ECE"/>
    <w:rsid w:val="7AC758F2"/>
    <w:rsid w:val="7B71585E"/>
    <w:rsid w:val="7BAB5214"/>
    <w:rsid w:val="7BAF414A"/>
    <w:rsid w:val="7BB045D8"/>
    <w:rsid w:val="7BD302C6"/>
    <w:rsid w:val="7CA61FA6"/>
    <w:rsid w:val="7CF17FFD"/>
    <w:rsid w:val="7E026C41"/>
    <w:rsid w:val="7E9A331D"/>
    <w:rsid w:val="7EA45F4A"/>
    <w:rsid w:val="7EE06F82"/>
    <w:rsid w:val="7F0D7F93"/>
    <w:rsid w:val="7F0F7867"/>
    <w:rsid w:val="7F627818"/>
    <w:rsid w:val="7F65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AC4666"/>
  <w15:docId w15:val="{48732FC6-89A0-43F0-8EED-631E5702D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7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7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638</Words>
  <Characters>3638</Characters>
  <Application>Microsoft Office Word</Application>
  <DocSecurity>0</DocSecurity>
  <Lines>30</Lines>
  <Paragraphs>8</Paragraphs>
  <ScaleCrop>false</ScaleCrop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新星</dc:creator>
  <cp:lastModifiedBy>NE NE</cp:lastModifiedBy>
  <cp:revision>3</cp:revision>
  <dcterms:created xsi:type="dcterms:W3CDTF">2022-02-15T03:42:00Z</dcterms:created>
  <dcterms:modified xsi:type="dcterms:W3CDTF">2024-07-22T01:35:00Z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6F74C9D5A40C4E2FB8E2353F34AECB9E</vt:lpwstr>
  </property>
</Properties>
</file>