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三亚市台湾同胞联谊会</w:t>
      </w:r>
    </w:p>
    <w:p>
      <w:pPr>
        <w:jc w:val="center"/>
        <w:rPr>
          <w:sz w:val="52"/>
          <w:szCs w:val="52"/>
        </w:rPr>
      </w:pPr>
      <w:r>
        <w:rPr>
          <w:rFonts w:hint="eastAsia"/>
          <w:sz w:val="52"/>
          <w:szCs w:val="52"/>
          <w:lang w:val="en-US" w:eastAsia="zh-CN"/>
        </w:rPr>
        <w:t>单位</w:t>
      </w:r>
      <w:r>
        <w:rPr>
          <w:rFonts w:hint="eastAsia"/>
          <w:sz w:val="52"/>
          <w:szCs w:val="52"/>
        </w:rPr>
        <w:t>预算</w:t>
      </w:r>
    </w:p>
    <w:p>
      <w:pPr>
        <w:rPr>
          <w:sz w:val="84"/>
          <w:szCs w:val="84"/>
        </w:rPr>
        <w:sectPr>
          <w:headerReference r:id="rId3" w:type="default"/>
          <w:pgSz w:w="11906" w:h="16838"/>
          <w:pgMar w:top="1440" w:right="1800" w:bottom="1440" w:left="1800" w:header="851" w:footer="992" w:gutter="0"/>
          <w:pgNumType w:fmt="decimal"/>
          <w:cols w:space="720" w:num="1"/>
          <w:docGrid w:type="lines" w:linePitch="312" w:charSpace="0"/>
        </w:sect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sectPr>
          <w:headerReference r:id="rId4" w:type="default"/>
          <w:footerReference r:id="rId5" w:type="default"/>
          <w:pgSz w:w="11906" w:h="16838"/>
          <w:pgMar w:top="1440" w:right="1800" w:bottom="1440" w:left="1800" w:header="851" w:footer="992" w:gutter="0"/>
          <w:cols w:space="720" w:num="1"/>
          <w:docGrid w:type="lines" w:linePitch="312" w:charSpace="0"/>
        </w:sectPr>
      </w:pPr>
      <w:bookmarkStart w:id="0" w:name="_GoBack"/>
      <w:bookmarkEnd w:id="0"/>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keepNext w:val="0"/>
        <w:keepLines w:val="0"/>
        <w:pageBreakBefore w:val="0"/>
        <w:widowControl w:val="0"/>
        <w:kinsoku/>
        <w:wordWrap/>
        <w:overflowPunct/>
        <w:topLinePunct w:val="0"/>
        <w:autoSpaceDE/>
        <w:autoSpaceDN/>
        <w:bidi w:val="0"/>
        <w:adjustRightInd/>
        <w:snapToGrid/>
        <w:spacing w:line="580" w:lineRule="exact"/>
        <w:ind w:firstLine="3168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（一）三亚市台湾同胞联谊会主要职责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三亚市台湾同胞联谊会是在市委的领导下，由全市各界台湾籍同胞组成的群众团体。主要职责是：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贯彻执行党和国家的对台方针政策，协调我市涉台事务工作；团结和联络居住我市的台湾同胞，宣传贯彻祖国的“和平统一、一国两制”的对台方针政策；了解和反映台胞的意见、要求，配合有关部门按照法律和政策妥善处理，帮助他们排忧解难，维护其合法权益；发挥台联的独特优势，积极做好沟通联络工作，开展多层次、多形式的海峡两岸交流和交往，鼓励台湾同胞来我市投资办实业；密切联系居住在三亚地区的台籍、台胞和台商，加强与台胞的联络和沟通，了解台湾各阶层人士对中央及我市涉台问题的反应，了解台胞的愿望和建议，及时向市委、市政府及上级反映；协助居住我市的台胞返乡探亲、扫墓、访友、旅游、定居和进行经济、科技、文化、学术、体育等交流；承办市委、市政府和上级部门交办的工作；检查指导各区与台联相关的工作。</w:t>
      </w:r>
    </w:p>
    <w:p>
      <w:pPr>
        <w:pStyle w:val="10"/>
        <w:keepNext w:val="0"/>
        <w:keepLines w:val="0"/>
        <w:pageBreakBefore w:val="0"/>
        <w:widowControl w:val="0"/>
        <w:numPr>
          <w:ilvl w:val="0"/>
          <w:numId w:val="6"/>
        </w:numPr>
        <w:kinsoku/>
        <w:wordWrap/>
        <w:overflowPunct/>
        <w:topLinePunct w:val="0"/>
        <w:autoSpaceDE/>
        <w:autoSpaceDN/>
        <w:bidi w:val="0"/>
        <w:adjustRightInd/>
        <w:snapToGrid/>
        <w:spacing w:line="580" w:lineRule="exact"/>
        <w:ind w:firstLine="3168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机构设置情况</w:t>
      </w:r>
    </w:p>
    <w:p>
      <w:pPr>
        <w:pStyle w:val="10"/>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依据三编字〔2022〕35号文，三亚市台联机关重新核定机关财政全额预算管理事业编制4名。设专职会长1名，副会长1名；正科级领导职数1名。</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125.21</w:t>
      </w:r>
      <w:r>
        <w:rPr>
          <w:rFonts w:hint="eastAsia" w:ascii="仿宋_GB2312" w:hAnsi="黑体" w:eastAsia="仿宋_GB2312"/>
          <w:sz w:val="32"/>
          <w:szCs w:val="32"/>
        </w:rPr>
        <w:t>万元、</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24.47</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15.17</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9.21</w:t>
      </w:r>
      <w:r>
        <w:rPr>
          <w:rFonts w:hint="eastAsia" w:ascii="仿宋_GB2312" w:hAnsi="仿宋_GB2312" w:eastAsia="仿宋_GB2312" w:cs="仿宋_GB2312"/>
          <w:sz w:val="32"/>
          <w:szCs w:val="32"/>
        </w:rPr>
        <w:t>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80" w:lineRule="exact"/>
        <w:ind w:firstLine="640" w:firstLineChars="200"/>
        <w:jc w:val="left"/>
        <w:rPr>
          <w:rFonts w:hint="eastAsia" w:ascii="仿宋_GB2312" w:hAnsi="黑体" w:eastAsia="仿宋_GB2312"/>
          <w:sz w:val="32"/>
          <w:szCs w:val="32"/>
          <w:lang w:eastAsia="zh-CN"/>
        </w:rPr>
      </w:pPr>
      <w:r>
        <w:rPr>
          <w:rFonts w:hint="eastAsia" w:ascii="仿宋_GB2312" w:hAnsi="黑体" w:eastAsia="仿宋_GB2312" w:cs="黑体"/>
          <w:sz w:val="32"/>
          <w:szCs w:val="32"/>
        </w:rPr>
        <w:t>三亚市台湾同胞联谊会</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23.18</w:t>
      </w:r>
      <w:r>
        <w:rPr>
          <w:rFonts w:hint="eastAsia" w:ascii="仿宋_GB2312" w:hAnsi="黑体" w:eastAsia="仿宋_GB2312"/>
          <w:sz w:val="32"/>
          <w:szCs w:val="32"/>
        </w:rPr>
        <w:t>万元，主要是一般公共服务支出</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1.58</w:t>
      </w:r>
      <w:r>
        <w:rPr>
          <w:rFonts w:hint="eastAsia" w:ascii="仿宋_GB2312" w:hAnsi="黑体" w:eastAsia="仿宋_GB2312"/>
          <w:sz w:val="32"/>
          <w:szCs w:val="32"/>
        </w:rPr>
        <w:t>万元、</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16.92</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1.84</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2,83</w:t>
      </w:r>
      <w:r>
        <w:rPr>
          <w:rFonts w:hint="eastAsia" w:ascii="仿宋_GB2312" w:hAnsi="仿宋_GB2312" w:eastAsia="仿宋_GB2312" w:cs="仿宋_GB2312"/>
          <w:sz w:val="32"/>
          <w:szCs w:val="32"/>
        </w:rPr>
        <w:t>万元</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125.21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71.93</w:t>
      </w:r>
      <w:r>
        <w:rPr>
          <w:rFonts w:hint="eastAsia" w:ascii="仿宋_GB2312" w:hAnsi="黑体" w:eastAsia="仿宋_GB2312"/>
          <w:sz w:val="32"/>
          <w:szCs w:val="32"/>
        </w:rPr>
        <w:t>%；社会保障和就业（类）支出</w:t>
      </w:r>
      <w:r>
        <w:rPr>
          <w:rFonts w:hint="eastAsia" w:ascii="仿宋_GB2312" w:hAnsi="黑体" w:eastAsia="仿宋_GB2312"/>
          <w:sz w:val="32"/>
          <w:szCs w:val="32"/>
          <w:lang w:val="en-US" w:eastAsia="zh-CN"/>
        </w:rPr>
        <w:t>24.47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14.07</w:t>
      </w:r>
      <w:r>
        <w:rPr>
          <w:rFonts w:hint="eastAsia" w:ascii="仿宋_GB2312" w:hAnsi="黑体" w:eastAsia="仿宋_GB2312"/>
          <w:sz w:val="32"/>
          <w:szCs w:val="32"/>
        </w:rPr>
        <w:t>%；卫生健康（类）支出</w:t>
      </w:r>
      <w:r>
        <w:rPr>
          <w:rFonts w:hint="eastAsia" w:ascii="仿宋_GB2312" w:hAnsi="黑体" w:eastAsia="仿宋_GB2312"/>
          <w:sz w:val="32"/>
          <w:szCs w:val="32"/>
          <w:lang w:val="en-US" w:eastAsia="zh-CN"/>
        </w:rPr>
        <w:t>15.17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8.71</w:t>
      </w:r>
      <w:r>
        <w:rPr>
          <w:rFonts w:hint="eastAsia" w:ascii="仿宋_GB2312" w:hAnsi="黑体" w:eastAsia="仿宋_GB2312"/>
          <w:sz w:val="32"/>
          <w:szCs w:val="32"/>
        </w:rPr>
        <w:t>%；住房保障（类）支出</w:t>
      </w:r>
      <w:r>
        <w:rPr>
          <w:rFonts w:hint="eastAsia" w:ascii="仿宋_GB2312" w:hAnsi="黑体" w:eastAsia="仿宋_GB2312"/>
          <w:sz w:val="32"/>
          <w:szCs w:val="32"/>
          <w:lang w:val="en-US" w:eastAsia="zh-CN"/>
        </w:rPr>
        <w:t>9.21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5.29</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1.一般公共服务（类）民主党派及工商联事务（款）行政运行（项）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90.21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人员工资增加。</w:t>
      </w:r>
    </w:p>
    <w:p>
      <w:pPr>
        <w:ind w:firstLine="640" w:firstLineChars="200"/>
        <w:rPr>
          <w:rFonts w:hint="eastAsia" w:ascii="仿宋_GB2312" w:hAnsi="黑体" w:eastAsia="仿宋_GB2312"/>
          <w:color w:val="000000" w:themeColor="text1"/>
          <w:sz w:val="32"/>
          <w:szCs w:val="32"/>
          <w:highlight w:val="none"/>
          <w:lang w:eastAsia="zh-CN"/>
          <w14:textFill>
            <w14:solidFill>
              <w14:schemeClr w14:val="tx1"/>
            </w14:solidFill>
          </w14:textFill>
        </w:rPr>
      </w:pPr>
      <w:r>
        <w:rPr>
          <w:rFonts w:ascii="仿宋_GB2312" w:hAnsi="黑体" w:eastAsia="仿宋_GB2312" w:cs="仿宋_GB2312"/>
          <w:sz w:val="32"/>
          <w:szCs w:val="32"/>
        </w:rPr>
        <w:t>2</w:t>
      </w:r>
      <w:r>
        <w:rPr>
          <w:rFonts w:hint="eastAsia" w:ascii="仿宋_GB2312" w:hAnsi="黑体" w:eastAsia="仿宋_GB2312" w:cs="仿宋_GB2312"/>
          <w:sz w:val="32"/>
          <w:szCs w:val="32"/>
        </w:rPr>
        <w:t>、一般公共服务支出（类）</w:t>
      </w:r>
      <w:r>
        <w:rPr>
          <w:rFonts w:hint="eastAsia" w:ascii="仿宋_GB2312" w:hAnsi="黑体" w:eastAsia="仿宋_GB2312" w:cs="仿宋_GB2312"/>
          <w:sz w:val="32"/>
          <w:szCs w:val="32"/>
          <w:lang w:eastAsia="zh-CN"/>
        </w:rPr>
        <w:t>群众团体事务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一般行政管理事务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35.00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减少</w:t>
      </w:r>
      <w:r>
        <w:rPr>
          <w:rFonts w:hint="eastAsia" w:ascii="仿宋_GB2312" w:hAnsi="黑体" w:eastAsia="仿宋_GB2312" w:cs="仿宋_GB2312"/>
          <w:color w:val="auto"/>
          <w:sz w:val="32"/>
          <w:szCs w:val="32"/>
          <w:lang w:val="en-US" w:eastAsia="zh-CN"/>
        </w:rPr>
        <w:t>4</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w:t>
      </w:r>
      <w:r>
        <w:rPr>
          <w:rFonts w:hint="eastAsia" w:ascii="仿宋_GB2312" w:hAnsi="黑体" w:eastAsia="仿宋_GB2312"/>
          <w:color w:val="000000" w:themeColor="text1"/>
          <w:sz w:val="32"/>
          <w:szCs w:val="32"/>
          <w:highlight w:val="none"/>
          <w:lang w:eastAsia="zh-CN"/>
          <w14:textFill>
            <w14:solidFill>
              <w14:schemeClr w14:val="tx1"/>
            </w14:solidFill>
          </w14:textFill>
        </w:rPr>
        <w:t>是</w:t>
      </w:r>
      <w:r>
        <w:rPr>
          <w:rFonts w:hint="eastAsia" w:ascii="仿宋_GB2312" w:hAnsi="黑体" w:eastAsia="仿宋_GB2312"/>
          <w:color w:val="auto"/>
          <w:sz w:val="32"/>
          <w:szCs w:val="32"/>
          <w:lang w:eastAsia="zh-CN"/>
        </w:rPr>
        <w:t>根据</w:t>
      </w:r>
      <w:r>
        <w:rPr>
          <w:rFonts w:hint="eastAsia" w:ascii="仿宋_GB2312" w:hAnsi="黑体" w:eastAsia="仿宋_GB2312"/>
          <w:color w:val="auto"/>
          <w:sz w:val="32"/>
          <w:szCs w:val="32"/>
          <w:lang w:val="en-US" w:eastAsia="zh-CN"/>
        </w:rPr>
        <w:t>2023年的工作安排预算相对应减少</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000000" w:themeColor="text1"/>
          <w:sz w:val="32"/>
          <w:szCs w:val="32"/>
          <w:highlight w:val="none"/>
          <w:lang w:eastAsia="zh-CN"/>
          <w14:textFill>
            <w14:solidFill>
              <w14:schemeClr w14:val="tx1"/>
            </w14:solidFill>
          </w14:textFill>
        </w:rPr>
        <w:t>节约成本，严格控制项目支出。</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9.65</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增加2.10</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社保基数上升</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000000" w:themeColor="text1"/>
          <w:sz w:val="32"/>
          <w:szCs w:val="32"/>
          <w:lang w:val="en-US" w:eastAsia="zh-CN"/>
          <w14:textFill>
            <w14:solidFill>
              <w14:schemeClr w14:val="tx1"/>
            </w14:solidFill>
          </w14:textFill>
        </w:rPr>
        <w:t>4.</w:t>
      </w:r>
      <w:r>
        <w:rPr>
          <w:rFonts w:hint="eastAsia" w:ascii="仿宋_GB2312" w:hAnsi="黑体" w:eastAsia="仿宋_GB2312" w:cs="仿宋_GB2312"/>
          <w:color w:val="000000" w:themeColor="text1"/>
          <w:sz w:val="32"/>
          <w:szCs w:val="32"/>
          <w14:textFill>
            <w14:solidFill>
              <w14:schemeClr w14:val="tx1"/>
            </w14:solidFill>
          </w14:textFill>
        </w:rPr>
        <w:t>社会保障和就业支出（类）行政事业单位</w:t>
      </w:r>
      <w:r>
        <w:rPr>
          <w:rFonts w:hint="eastAsia" w:ascii="仿宋_GB2312" w:hAnsi="黑体" w:eastAsia="仿宋_GB2312" w:cs="仿宋_GB2312"/>
          <w:color w:val="000000" w:themeColor="text1"/>
          <w:sz w:val="32"/>
          <w:szCs w:val="32"/>
          <w:lang w:eastAsia="zh-CN"/>
          <w14:textFill>
            <w14:solidFill>
              <w14:schemeClr w14:val="tx1"/>
            </w14:solidFill>
          </w14:textFill>
        </w:rPr>
        <w:t>养老支出</w:t>
      </w:r>
      <w:r>
        <w:rPr>
          <w:rFonts w:hint="eastAsia" w:ascii="仿宋_GB2312" w:hAnsi="黑体" w:eastAsia="仿宋_GB2312" w:cs="仿宋_GB2312"/>
          <w:sz w:val="32"/>
          <w:szCs w:val="32"/>
        </w:rPr>
        <w:t>（款）机关事业单位职业年金缴费支出（项）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14.82</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14.82</w:t>
      </w:r>
      <w:r>
        <w:rPr>
          <w:rFonts w:hint="eastAsia" w:ascii="仿宋_GB2312" w:hAnsi="黑体" w:eastAsia="仿宋_GB2312"/>
          <w:color w:val="auto"/>
          <w:sz w:val="32"/>
          <w:szCs w:val="32"/>
        </w:rPr>
        <w:t>万元，</w:t>
      </w:r>
      <w:r>
        <w:rPr>
          <w:rFonts w:hint="eastAsia" w:ascii="仿宋_GB2312" w:hAnsi="黑体" w:eastAsia="仿宋_GB2312"/>
          <w:color w:val="000000" w:themeColor="text1"/>
          <w:sz w:val="32"/>
          <w:szCs w:val="32"/>
          <w:highlight w:val="none"/>
          <w14:textFill>
            <w14:solidFill>
              <w14:schemeClr w14:val="tx1"/>
            </w14:solidFill>
          </w14:textFill>
        </w:rPr>
        <w:t>主要是</w:t>
      </w:r>
      <w:r>
        <w:rPr>
          <w:rFonts w:hint="eastAsia" w:ascii="仿宋_GB2312" w:hAnsi="黑体" w:eastAsia="仿宋_GB2312"/>
          <w:color w:val="000000" w:themeColor="text1"/>
          <w:sz w:val="32"/>
          <w:szCs w:val="32"/>
          <w:highlight w:val="none"/>
          <w:lang w:eastAsia="zh-CN"/>
          <w14:textFill>
            <w14:solidFill>
              <w14:schemeClr w14:val="tx1"/>
            </w14:solidFill>
          </w14:textFill>
        </w:rPr>
        <w:t>根据</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000000" w:themeColor="text1"/>
          <w:sz w:val="32"/>
          <w:szCs w:val="32"/>
          <w:highlight w:val="none"/>
          <w:lang w:eastAsia="zh-CN"/>
          <w14:textFill>
            <w14:solidFill>
              <w14:schemeClr w14:val="tx1"/>
            </w14:solidFill>
          </w14:textFill>
        </w:rPr>
        <w:t>社保</w:t>
      </w:r>
      <w:r>
        <w:rPr>
          <w:rFonts w:hint="eastAsia" w:ascii="仿宋_GB2312" w:hAnsi="黑体" w:eastAsia="仿宋_GB2312"/>
          <w:color w:val="000000" w:themeColor="text1"/>
          <w:sz w:val="32"/>
          <w:szCs w:val="32"/>
          <w:highlight w:val="none"/>
          <w14:textFill>
            <w14:solidFill>
              <w14:schemeClr w14:val="tx1"/>
            </w14:solidFill>
          </w14:textFill>
        </w:rPr>
        <w:t>〔</w:t>
      </w:r>
      <w:r>
        <w:rPr>
          <w:rFonts w:hint="eastAsia" w:ascii="仿宋_GB2312" w:hAnsi="黑体" w:eastAsia="仿宋_GB2312"/>
          <w:color w:val="000000" w:themeColor="text1"/>
          <w:sz w:val="32"/>
          <w:szCs w:val="32"/>
          <w:highlight w:val="none"/>
          <w:lang w:val="en-US" w:eastAsia="zh-CN"/>
          <w14:textFill>
            <w14:solidFill>
              <w14:schemeClr w14:val="tx1"/>
            </w14:solidFill>
          </w14:textFill>
        </w:rPr>
        <w:t>2</w:t>
      </w:r>
      <w:r>
        <w:rPr>
          <w:rFonts w:hint="eastAsia" w:ascii="仿宋_GB2312" w:hAnsi="黑体" w:eastAsia="仿宋_GB2312"/>
          <w:color w:val="000000" w:themeColor="text1"/>
          <w:sz w:val="32"/>
          <w:szCs w:val="32"/>
          <w:highlight w:val="none"/>
          <w14:textFill>
            <w14:solidFill>
              <w14:schemeClr w14:val="tx1"/>
            </w14:solidFill>
          </w14:textFill>
        </w:rPr>
        <w:t>022〕</w:t>
      </w:r>
      <w:r>
        <w:rPr>
          <w:rFonts w:hint="eastAsia" w:ascii="仿宋_GB2312" w:hAnsi="黑体" w:eastAsia="仿宋_GB2312"/>
          <w:color w:val="auto"/>
          <w:sz w:val="32"/>
          <w:szCs w:val="32"/>
          <w:highlight w:val="none"/>
          <w:lang w:val="en-US" w:eastAsia="zh-CN"/>
        </w:rPr>
        <w:t>51</w:t>
      </w:r>
      <w:r>
        <w:rPr>
          <w:rFonts w:hint="eastAsia" w:ascii="仿宋_GB2312" w:hAnsi="黑体" w:eastAsia="仿宋_GB2312"/>
          <w:color w:val="auto"/>
          <w:sz w:val="32"/>
          <w:szCs w:val="32"/>
          <w:highlight w:val="none"/>
        </w:rPr>
        <w:t>号</w:t>
      </w:r>
      <w:r>
        <w:rPr>
          <w:rFonts w:hint="eastAsia" w:ascii="仿宋_GB2312" w:hAnsi="黑体" w:eastAsia="仿宋_GB2312"/>
          <w:color w:val="auto"/>
          <w:sz w:val="32"/>
          <w:szCs w:val="32"/>
          <w:highlight w:val="none"/>
          <w:lang w:eastAsia="zh-CN"/>
        </w:rPr>
        <w:t>文件</w:t>
      </w:r>
      <w:r>
        <w:rPr>
          <w:rFonts w:hint="eastAsia" w:ascii="仿宋_GB2312" w:hAnsi="黑体" w:eastAsia="仿宋_GB2312"/>
          <w:color w:val="000000" w:themeColor="text1"/>
          <w:sz w:val="32"/>
          <w:szCs w:val="32"/>
          <w:highlight w:val="none"/>
          <w:lang w:eastAsia="zh-CN"/>
          <w14:textFill>
            <w14:solidFill>
              <w14:schemeClr w14:val="tx1"/>
            </w14:solidFill>
          </w14:textFill>
        </w:rPr>
        <w:t>的要求按实账征收全额供款机关事业单位职业年金缴费、单位职业年金实行实账积累、增加职业年金社保项以及社</w:t>
      </w:r>
      <w:r>
        <w:rPr>
          <w:rFonts w:hint="eastAsia" w:ascii="仿宋_GB2312" w:hAnsi="黑体" w:eastAsia="仿宋_GB2312"/>
          <w:sz w:val="32"/>
          <w:szCs w:val="32"/>
          <w:highlight w:val="none"/>
          <w:lang w:eastAsia="zh-CN"/>
        </w:rPr>
        <w:t>保基数上升。</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5</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4.30</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增加0.29万元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社保基数上升</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olor w:val="0070C0"/>
          <w:sz w:val="32"/>
          <w:szCs w:val="32"/>
          <w:lang w:eastAsia="zh-CN"/>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10.88</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lang w:val="en-US" w:eastAsia="zh-CN"/>
        </w:rPr>
        <w:t>增加1.56</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根据人员工资增加</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9.21</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2.83</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公积金基数上升。</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139.07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129.47</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其他社会保障缴费、住房公积金</w:t>
      </w:r>
      <w:r>
        <w:rPr>
          <w:rFonts w:hint="eastAsia" w:ascii="仿宋_GB2312" w:hAnsi="黑体" w:eastAsia="仿宋_GB2312"/>
          <w:sz w:val="32"/>
          <w:szCs w:val="32"/>
          <w:lang w:eastAsia="zh-CN"/>
        </w:rPr>
        <w:t>、医疗费、其他工资福利支出、商品和服务支出、邮电费、其他交通费用、对个人和家庭的补助、奖励金。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9.60</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w:t>
      </w:r>
      <w:r>
        <w:rPr>
          <w:rFonts w:hint="eastAsia" w:ascii="仿宋_GB2312" w:hAnsi="黑体" w:eastAsia="仿宋_GB2312"/>
          <w:sz w:val="32"/>
          <w:szCs w:val="32"/>
        </w:rPr>
        <w:t>他社会保障缴费</w:t>
      </w:r>
      <w:r>
        <w:rPr>
          <w:rFonts w:hint="eastAsia" w:ascii="仿宋_GB2312" w:hAnsi="黑体" w:eastAsia="仿宋_GB2312"/>
          <w:sz w:val="32"/>
          <w:szCs w:val="32"/>
          <w:lang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eastAsia="zh-CN"/>
        </w:rPr>
        <w:t>会议费、培训费、工会经费、福利费、公务用车运行维护费、其他商品和服务支出、</w:t>
      </w:r>
      <w:r>
        <w:rPr>
          <w:rFonts w:hint="eastAsia" w:ascii="仿宋_GB2312" w:hAnsi="黑体" w:eastAsia="仿宋_GB2312"/>
          <w:sz w:val="32"/>
          <w:szCs w:val="32"/>
          <w:lang w:val="en-US" w:eastAsia="zh-CN"/>
        </w:rPr>
        <w:t>对个人和家庭的补助、其他对个人和家庭的补助</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6.81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2023年无出国计划安排，</w:t>
      </w:r>
      <w:r>
        <w:rPr>
          <w:rFonts w:ascii="Times New Roman" w:hAnsi="Times New Roman" w:eastAsia="仿宋_GB2312" w:cs="Times New Roman"/>
          <w:sz w:val="32"/>
          <w:shd w:val="clear" w:color="auto" w:fill="FFFFFF"/>
        </w:rPr>
        <w:t>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8批120人。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lang w:val="en-US" w:eastAsia="zh-CN"/>
        </w:rPr>
        <w:t>因公出国（境）经费0万元，与上年预算持平，2023年无出国计划安排；公务用车购置及运行费0万元（其中，公务用车购置费0万元，公务用车运行费0万元），与上年预算持平；公务接待费0万元，与上年预算持平。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上年结转结余</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rPr>
        <w:t>社会保障和就业支出、卫生健康支出、住房保障支出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年终结转结余</w:t>
      </w:r>
      <w:r>
        <w:rPr>
          <w:rFonts w:hint="eastAsia" w:ascii="仿宋_GB2312" w:hAnsi="黑体" w:eastAsia="仿宋_GB2312" w:cs="仿宋_GB2312"/>
          <w:sz w:val="32"/>
          <w:szCs w:val="32"/>
        </w:rPr>
        <w:t>。</w:t>
      </w:r>
      <w:r>
        <w:rPr>
          <w:rFonts w:hint="eastAsia" w:ascii="仿宋_GB2312" w:hAnsi="黑体" w:eastAsia="仿宋_GB2312" w:cs="黑体"/>
          <w:sz w:val="32"/>
          <w:szCs w:val="32"/>
        </w:rPr>
        <w:t>三亚市台湾同胞联谊会</w:t>
      </w:r>
      <w:r>
        <w:rPr>
          <w:rFonts w:hint="eastAsia" w:ascii="仿宋_GB2312" w:hAnsi="黑体" w:eastAsia="仿宋_GB2312"/>
          <w:sz w:val="32"/>
          <w:szCs w:val="32"/>
          <w:lang w:val="en-US" w:eastAsia="zh-CN"/>
        </w:rPr>
        <w:t>2023</w:t>
      </w:r>
      <w:r>
        <w:rPr>
          <w:rFonts w:hint="eastAsia" w:ascii="仿宋_GB2312" w:hAnsi="黑体" w:eastAsia="仿宋_GB2312" w:cs="黑体"/>
          <w:sz w:val="32"/>
          <w:szCs w:val="32"/>
          <w:shd w:val="clear"/>
        </w:rPr>
        <w:t>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174.67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174.67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0.34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174.07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社保类项目增加以及社保基数上升</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三亚市台湾同胞联谊会</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174.17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139.07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79.85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35.10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20.15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23.18</w:t>
      </w:r>
      <w:r>
        <w:rPr>
          <w:rFonts w:hint="eastAsia" w:ascii="仿宋_GB2312" w:hAnsi="黑体" w:eastAsia="仿宋_GB2312"/>
          <w:sz w:val="32"/>
          <w:szCs w:val="32"/>
        </w:rPr>
        <w:t>万元，主要是主要是</w:t>
      </w:r>
      <w:r>
        <w:rPr>
          <w:rFonts w:hint="eastAsia" w:ascii="仿宋_GB2312" w:hAnsi="黑体" w:eastAsia="仿宋_GB2312"/>
          <w:sz w:val="32"/>
          <w:szCs w:val="32"/>
          <w:lang w:eastAsia="zh-CN"/>
        </w:rPr>
        <w:t>社保类项目增加以及社保基数上升</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9.60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rPr>
        <w:t>三亚市台湾同胞联谊会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174.17</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footerReference r:id="rId6"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tabs>
        <w:tab w:val="left" w:pos="3209"/>
        <w:tab w:val="clear" w:pos="4153"/>
      </w:tabs>
      <w:jc w:val="both"/>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2DBF636"/>
    <w:multiLevelType w:val="singleLevel"/>
    <w:tmpl w:val="52DBF636"/>
    <w:lvl w:ilvl="0" w:tentative="0">
      <w:start w:val="2"/>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47D38"/>
    <w:rsid w:val="01882E81"/>
    <w:rsid w:val="01A3458F"/>
    <w:rsid w:val="02BB37CE"/>
    <w:rsid w:val="0D710852"/>
    <w:rsid w:val="0E324977"/>
    <w:rsid w:val="0E732BB7"/>
    <w:rsid w:val="126050A4"/>
    <w:rsid w:val="15375DA8"/>
    <w:rsid w:val="16CE0CDC"/>
    <w:rsid w:val="181A1DE3"/>
    <w:rsid w:val="18206C79"/>
    <w:rsid w:val="19D5DA33"/>
    <w:rsid w:val="1AC970ED"/>
    <w:rsid w:val="1E443177"/>
    <w:rsid w:val="1F12647C"/>
    <w:rsid w:val="1FBF8E30"/>
    <w:rsid w:val="21C20B34"/>
    <w:rsid w:val="2A9844C2"/>
    <w:rsid w:val="2BDF0DC0"/>
    <w:rsid w:val="2CEB1350"/>
    <w:rsid w:val="2DBE1B3F"/>
    <w:rsid w:val="2DC87F4D"/>
    <w:rsid w:val="2FB409E6"/>
    <w:rsid w:val="2FE45A0C"/>
    <w:rsid w:val="2FF7110D"/>
    <w:rsid w:val="2FFFCED3"/>
    <w:rsid w:val="33927FA0"/>
    <w:rsid w:val="35890CF6"/>
    <w:rsid w:val="36EA097D"/>
    <w:rsid w:val="3F7FB4B5"/>
    <w:rsid w:val="3F92733C"/>
    <w:rsid w:val="3FAD4D11"/>
    <w:rsid w:val="41C0349E"/>
    <w:rsid w:val="4368044E"/>
    <w:rsid w:val="44C270AC"/>
    <w:rsid w:val="461508AD"/>
    <w:rsid w:val="48496595"/>
    <w:rsid w:val="4AD41F12"/>
    <w:rsid w:val="4B1364FC"/>
    <w:rsid w:val="4C4853B5"/>
    <w:rsid w:val="4FB80849"/>
    <w:rsid w:val="50D34FED"/>
    <w:rsid w:val="52A62B6A"/>
    <w:rsid w:val="53346B64"/>
    <w:rsid w:val="5379404B"/>
    <w:rsid w:val="5DB7E539"/>
    <w:rsid w:val="5F760B6D"/>
    <w:rsid w:val="6493131E"/>
    <w:rsid w:val="658E673F"/>
    <w:rsid w:val="66DACB0B"/>
    <w:rsid w:val="6709570F"/>
    <w:rsid w:val="693D6E5E"/>
    <w:rsid w:val="697BF56A"/>
    <w:rsid w:val="6B6CE30F"/>
    <w:rsid w:val="6C7F1319"/>
    <w:rsid w:val="6DDF74AC"/>
    <w:rsid w:val="6FAF0D8D"/>
    <w:rsid w:val="6FCFCADC"/>
    <w:rsid w:val="6FFA4FE6"/>
    <w:rsid w:val="70B77B86"/>
    <w:rsid w:val="745472A0"/>
    <w:rsid w:val="7486671F"/>
    <w:rsid w:val="75FB0B04"/>
    <w:rsid w:val="76AB5236"/>
    <w:rsid w:val="79F7B683"/>
    <w:rsid w:val="7BFB373B"/>
    <w:rsid w:val="7CF0746D"/>
    <w:rsid w:val="7D73BCCE"/>
    <w:rsid w:val="7DE79FA0"/>
    <w:rsid w:val="7DEBCAFF"/>
    <w:rsid w:val="7EDD8B29"/>
    <w:rsid w:val="7FA514C2"/>
    <w:rsid w:val="7FC1328A"/>
    <w:rsid w:val="7FF73252"/>
    <w:rsid w:val="7FFDF15C"/>
    <w:rsid w:val="93F36975"/>
    <w:rsid w:val="AADF2E0B"/>
    <w:rsid w:val="AF3F5406"/>
    <w:rsid w:val="B9D2CE32"/>
    <w:rsid w:val="BB7F118A"/>
    <w:rsid w:val="BFFB8D67"/>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29</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2024-08-07T15:17:04Z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