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default" w:ascii="Times New Roman" w:hAnsi="Times New Roman" w:cs="Times New Roman"/>
          <w:sz w:val="52"/>
          <w:szCs w:val="52"/>
        </w:rPr>
        <w:t>2023</w:t>
      </w:r>
      <w:r>
        <w:rPr>
          <w:rFonts w:hint="eastAsia"/>
          <w:sz w:val="52"/>
          <w:szCs w:val="52"/>
        </w:rPr>
        <w:t>年三亚市重大活动食品安全保障服务中心单位预算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三亚市重大活动食品安全保障服务中心概况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三亚市重大活动食品安全保障服务中心</w:t>
      </w:r>
      <w:r>
        <w:rPr>
          <w:rFonts w:hint="default" w:ascii="Times New Roman" w:hAnsi="Times New Roman" w:eastAsia="黑体" w:cs="Times New Roman"/>
          <w:sz w:val="32"/>
          <w:szCs w:val="32"/>
        </w:rPr>
        <w:t>2023</w:t>
      </w:r>
      <w:r>
        <w:rPr>
          <w:rFonts w:hint="eastAsia" w:ascii="黑体" w:hAnsi="黑体" w:eastAsia="黑体"/>
          <w:sz w:val="32"/>
          <w:szCs w:val="32"/>
        </w:rPr>
        <w:t>年单位预算表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三亚市重大活动食品安全保障服务中心</w:t>
      </w:r>
      <w:r>
        <w:rPr>
          <w:rFonts w:hint="default" w:ascii="Times New Roman" w:hAnsi="Times New Roman" w:eastAsia="仿宋_GB2312" w:cs="Times New Roman"/>
          <w:sz w:val="32"/>
          <w:szCs w:val="32"/>
        </w:rPr>
        <w:t>2023</w:t>
      </w:r>
      <w:r>
        <w:rPr>
          <w:rFonts w:hint="eastAsia" w:ascii="黑体" w:hAnsi="黑体" w:eastAsia="黑体"/>
          <w:sz w:val="32"/>
          <w:szCs w:val="32"/>
        </w:rPr>
        <w:t>年单位预算情况说明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三亚市重大活动食品安全保障服务中心概况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9"/>
        <w:numPr>
          <w:ilvl w:val="255"/>
          <w:numId w:val="0"/>
        </w:num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重大活动食品安全保障服务中心是三亚市市场监督管理局下属公益一类事业单位。主要工作任务是为冬休警卫接待，重要国事接待，国际及国内文化、旅游、体育和金融等重要会议及赛事的食品安全保障提供服务工作。</w:t>
      </w:r>
    </w:p>
    <w:p>
      <w:pPr>
        <w:pStyle w:val="9"/>
        <w:numPr>
          <w:ilvl w:val="255"/>
          <w:numId w:val="0"/>
        </w:numPr>
        <w:jc w:val="left"/>
        <w:rPr>
          <w:rFonts w:hint="eastAsia" w:ascii="仿宋_GB2312" w:hAnsi="黑体" w:eastAsia="仿宋_GB2312" w:cs="仿宋_GB2312"/>
          <w:sz w:val="32"/>
          <w:szCs w:val="32"/>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预算单位构成</w:t>
      </w:r>
    </w:p>
    <w:p>
      <w:pPr>
        <w:ind w:firstLine="627" w:firstLineChars="196"/>
        <w:rPr>
          <w:rFonts w:hint="eastAsia" w:ascii="Times New Roman" w:hAnsi="Times New Roman" w:eastAsia="仿宋_GB2312" w:cs="Times New Roman"/>
          <w:sz w:val="32"/>
          <w:szCs w:val="32"/>
          <w:lang w:eastAsia="zh-CN"/>
        </w:rPr>
      </w:pPr>
      <w:r>
        <w:rPr>
          <w:rFonts w:hint="eastAsia" w:ascii="仿宋_GB2312" w:hAnsi="黑体" w:eastAsia="仿宋_GB2312" w:cs="仿宋_GB2312"/>
          <w:sz w:val="32"/>
          <w:szCs w:val="32"/>
        </w:rPr>
        <w:t>三亚市重大活动食品安全保障服务中心</w:t>
      </w:r>
      <w:r>
        <w:rPr>
          <w:rFonts w:hint="eastAsia" w:ascii="仿宋_GB2312" w:hAnsi="黑体" w:eastAsia="仿宋_GB2312" w:cs="仿宋_GB2312"/>
          <w:sz w:val="32"/>
          <w:szCs w:val="32"/>
          <w:lang w:val="en-US" w:eastAsia="zh-CN"/>
        </w:rPr>
        <w:t>内</w:t>
      </w:r>
      <w:r>
        <w:rPr>
          <w:rFonts w:ascii="Times New Roman" w:hAnsi="Times New Roman" w:eastAsia="仿宋_GB2312" w:cs="Times New Roman"/>
          <w:sz w:val="32"/>
          <w:szCs w:val="32"/>
        </w:rPr>
        <w:t>设</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个内设机构，</w:t>
      </w:r>
      <w:r>
        <w:rPr>
          <w:rFonts w:hint="eastAsia" w:ascii="Times New Roman" w:hAnsi="Times New Roman" w:eastAsia="仿宋_GB2312" w:cs="Times New Roman"/>
          <w:sz w:val="32"/>
          <w:szCs w:val="32"/>
          <w:lang w:val="en-US" w:eastAsia="zh-CN"/>
        </w:rPr>
        <w:t>分别为</w:t>
      </w:r>
      <w:r>
        <w:rPr>
          <w:rFonts w:hint="eastAsia" w:ascii="Times New Roman" w:hAnsi="Times New Roman" w:eastAsia="仿宋_GB2312" w:cs="Times New Roman"/>
          <w:sz w:val="32"/>
          <w:szCs w:val="32"/>
        </w:rPr>
        <w:t>综合科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重大活动食品安全保障服务科。</w:t>
      </w:r>
      <w:r>
        <w:rPr>
          <w:rFonts w:ascii="Times New Roman" w:hAnsi="Times New Roman" w:eastAsia="仿宋_GB2312" w:cs="Times New Roman"/>
          <w:sz w:val="32"/>
          <w:szCs w:val="32"/>
        </w:rPr>
        <w:t>核定事业编制</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名，</w:t>
      </w:r>
      <w:r>
        <w:rPr>
          <w:rFonts w:hint="eastAsia" w:ascii="Times New Roman" w:hAnsi="Times New Roman" w:eastAsia="仿宋_GB2312" w:cs="Times New Roman"/>
          <w:sz w:val="32"/>
          <w:szCs w:val="32"/>
        </w:rPr>
        <w:t>现实有人数</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名，其中在编</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岗</w:t>
      </w:r>
      <w:r>
        <w:rPr>
          <w:rFonts w:ascii="Times New Roman" w:hAnsi="Times New Roman" w:eastAsia="仿宋_GB2312" w:cs="Times New Roman"/>
          <w:sz w:val="32"/>
          <w:szCs w:val="32"/>
        </w:rPr>
        <w:t>人员</w:t>
      </w:r>
      <w:r>
        <w:rPr>
          <w:rFonts w:hint="eastAsia" w:ascii="Times New Roman" w:hAnsi="Times New Roman" w:eastAsia="仿宋_GB2312" w:cs="Times New Roman"/>
          <w:sz w:val="32"/>
          <w:szCs w:val="32"/>
          <w:lang w:val="en-US" w:eastAsia="zh-CN"/>
        </w:rPr>
        <w:t>7名。</w:t>
      </w:r>
    </w:p>
    <w:p>
      <w:pPr>
        <w:pStyle w:val="9"/>
        <w:numPr>
          <w:ilvl w:val="255"/>
          <w:numId w:val="0"/>
        </w:numPr>
        <w:ind w:firstLine="640" w:firstLineChars="200"/>
        <w:jc w:val="left"/>
        <w:rPr>
          <w:rFonts w:ascii="仿宋_GB2312" w:hAnsi="黑体" w:eastAsia="仿宋_GB2312" w:cs="仿宋_GB2312"/>
          <w:sz w:val="32"/>
          <w:szCs w:val="32"/>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三亚市重大活动食品安全保障服务中心</w:t>
      </w:r>
      <w:r>
        <w:rPr>
          <w:rFonts w:hint="eastAsia" w:ascii="Times New Roman" w:hAnsi="Times New Roman" w:eastAsia="仿宋_GB2312" w:cs="Times New Roman"/>
          <w:sz w:val="32"/>
          <w:szCs w:val="32"/>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三亚市重大活动食品安全保障服务中心</w:t>
      </w:r>
      <w:r>
        <w:rPr>
          <w:rFonts w:hint="eastAsia" w:ascii="Times New Roman" w:hAnsi="Times New Roman" w:eastAsia="仿宋_GB2312" w:cs="Times New Roman"/>
          <w:sz w:val="32"/>
          <w:szCs w:val="32"/>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一、关于三亚市重大活动食品安全保障服务中心</w:t>
      </w:r>
      <w:r>
        <w:rPr>
          <w:rFonts w:hint="eastAsia" w:ascii="Times New Roman" w:hAnsi="Times New Roman" w:eastAsia="仿宋_GB2312" w:cs="Times New Roman"/>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仿宋_GB2312" w:hAnsi="黑体" w:eastAsia="仿宋_GB2312" w:cs="仿宋_GB2312"/>
          <w:sz w:val="32"/>
          <w:szCs w:val="32"/>
        </w:rPr>
        <w:t>三亚市重大活动食品安全保障</w:t>
      </w:r>
      <w:r>
        <w:rPr>
          <w:rFonts w:hint="eastAsia" w:ascii="仿宋_GB2312" w:hAnsi="仿宋_GB2312" w:eastAsia="仿宋_GB2312" w:cs="仿宋_GB2312"/>
          <w:sz w:val="32"/>
          <w:szCs w:val="32"/>
        </w:rPr>
        <w:t>服务中心</w:t>
      </w:r>
      <w:r>
        <w:rPr>
          <w:rFonts w:hint="default" w:ascii="Times New Roman" w:hAnsi="Times New Roman" w:eastAsia="仿宋_GB2312" w:cs="Times New Roman"/>
          <w:sz w:val="32"/>
          <w:szCs w:val="32"/>
        </w:rPr>
        <w:t>2023</w:t>
      </w:r>
      <w:r>
        <w:rPr>
          <w:rFonts w:hint="eastAsia" w:ascii="仿宋_GB2312" w:hAnsi="仿宋_GB2312" w:eastAsia="仿宋_GB2312" w:cs="仿宋_GB2312"/>
          <w:sz w:val="32"/>
          <w:szCs w:val="32"/>
        </w:rPr>
        <w:t>年财政拨款收支总预算</w:t>
      </w:r>
      <w:r>
        <w:rPr>
          <w:rFonts w:hint="eastAsia" w:ascii="Times New Roman" w:hAnsi="Times New Roman" w:eastAsia="仿宋_GB2312" w:cs="Times New Roman"/>
          <w:sz w:val="32"/>
          <w:szCs w:val="32"/>
        </w:rPr>
        <w:t>218.79万元。其中，收入总计218.79万元，包括一般公共预算本年收入218.79万元、上年结转0万元，政府性基金预算本年收入0万元、上年结转0万元；支出总计218.79万元，包括一般公共服务支出157.98万元、社会保障和就业支出31.40万元、卫生健康支出16.93万元、住房保障支出12.48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rPr>
        <w:t>0</w:t>
      </w:r>
      <w:r>
        <w:rPr>
          <w:rFonts w:hint="default" w:ascii="Times New Roman" w:hAnsi="Times New Roman" w:eastAsia="仿宋_GB2312" w:cs="Times New Roman"/>
          <w:sz w:val="32"/>
          <w:szCs w:val="32"/>
        </w:rPr>
        <w:t>万</w:t>
      </w:r>
      <w:r>
        <w:rPr>
          <w:rFonts w:ascii="Times New Roman" w:hAnsi="Times New Roman" w:eastAsia="仿宋_GB2312" w:cs="Times New Roman"/>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二、关于三亚市重大活动食品安全保障服务中心</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三亚市重大活动食品安全保障服务中心</w:t>
      </w:r>
      <w:r>
        <w:rPr>
          <w:rFonts w:hint="eastAsia" w:ascii="Times New Roman" w:hAnsi="Times New Roman" w:eastAsia="仿宋_GB2312" w:cs="Times New Roman"/>
          <w:sz w:val="32"/>
          <w:szCs w:val="32"/>
        </w:rPr>
        <w:t>2023年一般公共预算当年拨款218.79万元，比上年预算数增加82.16万元，主要是2023年增加人员工资福利等经费。</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一般公共服务（类）支出</w:t>
      </w:r>
      <w:r>
        <w:rPr>
          <w:rFonts w:hint="eastAsia" w:ascii="Times New Roman" w:hAnsi="Times New Roman" w:eastAsia="仿宋_GB2312" w:cs="Times New Roman"/>
          <w:sz w:val="32"/>
          <w:szCs w:val="32"/>
        </w:rPr>
        <w:t>157.98万元，占72.21%；社会保障和就业支出31.40万元，占比14.35%；卫生健康支出16.93万元，占比7.74%；住房保障支出12.48万元，占比5.70%。</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1.一般公共服务（类）市场监督管理事务（款）食品安全监督（项）2023年预算数为40万元,比上年预算数减少10万元，主要是厉行节约，项目经费减少。</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2.一般公共服务（类）</w:t>
      </w:r>
      <w:bookmarkStart w:id="2" w:name="_GoBack"/>
      <w:bookmarkEnd w:id="2"/>
      <w:r>
        <w:rPr>
          <w:rFonts w:hint="eastAsia" w:ascii="Times New Roman" w:hAnsi="Times New Roman" w:eastAsia="仿宋_GB2312" w:cs="Times New Roman"/>
          <w:sz w:val="32"/>
          <w:szCs w:val="32"/>
        </w:rPr>
        <w:t>市场监督管理事务（款）事业运行（项）2023年预算数为117.98万元,比上年预算数增加50.18万元，主要是基本支出人员经费增加，补缴职业年金。</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3.社会保障和就业支出（类）行政事业单位养老支出（款）机关事业单位基本养老保险缴费支出（项）2023年预算数为14.62万元,比上年预算数增加8.27万元，主要是基本支出养老保险增加。</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4.社会保障和就业支出（类）行政事业单位养老支出（款）机关事业单位职业年金缴费支出（项）2023年预算数为16.78万元,比上年预算数增加16.78万元，主要是补缴职业年金。</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5.卫生健康支出（类）行政事业单位医疗（款）事业单位医疗（项）2023年预算数为6.53万元,比上年预算数增加3.15万元，主要是人员增加，医疗保险增加。</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6.卫生健康支出（类）行政事业单位医疗（款）公务员医疗补助（项）2023年预算数为10.40万元,比上年预算数增加6.26万元，主要是人员增加，公务员医疗补助保险增加。</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7.住房保障支出（类）住房改革支出（款）住房公积金（项）2023年预算数为12.48万元,比上年预算数增加7.51万元，主要是人员增加，住房公积金增加。</w:t>
      </w:r>
    </w:p>
    <w:p>
      <w:pPr>
        <w:ind w:firstLine="640"/>
        <w:rPr>
          <w:rFonts w:ascii="黑体" w:hAnsi="黑体" w:eastAsia="黑体"/>
          <w:sz w:val="32"/>
          <w:szCs w:val="32"/>
        </w:rPr>
      </w:pPr>
      <w:r>
        <w:rPr>
          <w:rFonts w:hint="eastAsia" w:ascii="黑体" w:hAnsi="黑体" w:eastAsia="黑体"/>
          <w:sz w:val="32"/>
          <w:szCs w:val="32"/>
        </w:rPr>
        <w:t>三、关于三亚市重大活动食品安全保障服务中心</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三亚市重大活动食品安全保障服务中心2023年一般公共预算基本支出为178.79万元，其中：</w:t>
      </w:r>
    </w:p>
    <w:p>
      <w:pPr>
        <w:ind w:firstLine="800" w:firstLineChars="250"/>
        <w:rPr>
          <w:rFonts w:hint="eastAsia" w:ascii="仿宋_GB2312" w:hAnsi="黑体" w:eastAsia="仿宋_GB2312"/>
          <w:sz w:val="32"/>
          <w:szCs w:val="32"/>
          <w:lang w:eastAsia="zh-CN"/>
        </w:rPr>
      </w:pPr>
      <w:r>
        <w:rPr>
          <w:rFonts w:hint="eastAsia" w:ascii="Times New Roman" w:hAnsi="Times New Roman" w:eastAsia="仿宋_GB2312" w:cs="Times New Roman"/>
          <w:sz w:val="32"/>
          <w:szCs w:val="32"/>
        </w:rPr>
        <w:t>人员经费170.04万元，主要包括：基本工资、津贴补贴、绩效工资、机关事业单位基</w:t>
      </w:r>
      <w:r>
        <w:rPr>
          <w:rFonts w:hint="eastAsia" w:ascii="仿宋_GB2312" w:hAnsi="黑体" w:eastAsia="仿宋_GB2312"/>
          <w:sz w:val="32"/>
          <w:szCs w:val="32"/>
        </w:rPr>
        <w:t>本养老保险缴费、职业年金缴费、职工基本医疗保险缴费、公务员医疗补助缴费、其他社会保障缴费、住房公积金、医疗费、其他工资福利支出、邮电费等</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Times New Roman" w:hAnsi="Times New Roman" w:eastAsia="仿宋_GB2312" w:cs="Times New Roman"/>
          <w:sz w:val="32"/>
          <w:szCs w:val="32"/>
        </w:rPr>
        <w:t>8.75万</w:t>
      </w:r>
      <w:r>
        <w:rPr>
          <w:rFonts w:hint="eastAsia" w:ascii="仿宋_GB2312" w:hAnsi="黑体" w:eastAsia="仿宋_GB2312"/>
          <w:sz w:val="32"/>
          <w:szCs w:val="32"/>
        </w:rPr>
        <w:t>元，主要包括：其他社会保障缴费、办公费、培训费、工会经费、福利费、其他商品和服务支出等。</w:t>
      </w:r>
      <w:r>
        <w:rPr>
          <w:rFonts w:hint="eastAsia" w:ascii="黑体" w:hAnsi="黑体" w:eastAsia="黑体" w:cs="Times New Roman"/>
          <w:sz w:val="32"/>
          <w:shd w:val="clear" w:color="auto" w:fill="FFFFFF"/>
        </w:rPr>
        <w:t>四、</w:t>
      </w:r>
      <w:r>
        <w:rPr>
          <w:rFonts w:hint="eastAsia" w:ascii="黑体" w:hAnsi="黑体" w:eastAsia="黑体"/>
          <w:sz w:val="32"/>
          <w:szCs w:val="32"/>
        </w:rPr>
        <w:t>三亚市重大活动食品安全保障服务中心</w:t>
      </w:r>
      <w:r>
        <w:rPr>
          <w:rFonts w:hint="default" w:ascii="Times New Roman" w:hAnsi="Times New Roman" w:eastAsia="仿宋_GB2312" w:cs="Times New Roman"/>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800" w:firstLineChars="250"/>
        <w:rPr>
          <w:rFonts w:hint="eastAsia" w:ascii="Times New Roman" w:hAnsi="Times New Roman" w:eastAsia="仿宋_GB2312" w:cs="Times New Roman"/>
          <w:sz w:val="32"/>
          <w:szCs w:val="32"/>
        </w:rPr>
      </w:pPr>
      <w:r>
        <w:rPr>
          <w:rFonts w:hint="eastAsia" w:ascii="仿宋_GB2312" w:hAnsi="黑体" w:eastAsia="仿宋_GB2312" w:cs="仿宋_GB2312"/>
          <w:sz w:val="32"/>
          <w:szCs w:val="32"/>
        </w:rPr>
        <w:t>（一）三亚市重大活动食品安全保</w:t>
      </w:r>
      <w:r>
        <w:rPr>
          <w:rFonts w:hint="eastAsia" w:ascii="仿宋_GB2312" w:hAnsi="仿宋_GB2312" w:eastAsia="仿宋_GB2312" w:cs="仿宋_GB2312"/>
          <w:sz w:val="32"/>
          <w:szCs w:val="32"/>
        </w:rPr>
        <w:t>障服务中</w:t>
      </w:r>
      <w:r>
        <w:rPr>
          <w:rFonts w:hint="eastAsia" w:ascii="Times New Roman" w:hAnsi="Times New Roman" w:eastAsia="仿宋_GB2312" w:cs="Times New Roman"/>
          <w:sz w:val="32"/>
          <w:szCs w:val="32"/>
        </w:rPr>
        <w:t>心2023年一般公共预算“三公”经费预算数为1万元，其中：</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因公出国（境）经费0万元，与上年预算持平，2023年无出国计划安排。</w:t>
      </w:r>
      <w:bookmarkStart w:id="0" w:name="_Hlk171611278"/>
      <w:r>
        <w:rPr>
          <w:rFonts w:hint="eastAsia" w:ascii="Times New Roman" w:hAnsi="Times New Roman" w:eastAsia="仿宋_GB2312" w:cs="Times New Roman"/>
          <w:sz w:val="32"/>
          <w:szCs w:val="32"/>
        </w:rPr>
        <w:t>公务用车购置及运行费1万元（其中，公务用车购置费0万元，公务用车运行费1万元）</w:t>
      </w:r>
      <w:bookmarkEnd w:id="0"/>
      <w:r>
        <w:rPr>
          <w:rFonts w:hint="eastAsia" w:ascii="Times New Roman" w:hAnsi="Times New Roman" w:eastAsia="仿宋_GB2312" w:cs="Times New Roman"/>
          <w:sz w:val="32"/>
          <w:szCs w:val="32"/>
        </w:rPr>
        <w:t>，与上年预算持平。</w:t>
      </w:r>
      <w:bookmarkStart w:id="1" w:name="_Hlk171611850"/>
      <w:r>
        <w:rPr>
          <w:rFonts w:hint="eastAsia" w:ascii="Times New Roman" w:hAnsi="Times New Roman" w:eastAsia="仿宋_GB2312" w:cs="Times New Roman"/>
          <w:sz w:val="32"/>
          <w:szCs w:val="32"/>
        </w:rPr>
        <w:t>公务车保有量0辆，计划购置0辆</w:t>
      </w:r>
      <w:bookmarkEnd w:id="1"/>
      <w:r>
        <w:rPr>
          <w:rFonts w:hint="eastAsia" w:ascii="Times New Roman" w:hAnsi="Times New Roman" w:eastAsia="仿宋_GB2312" w:cs="Times New Roman"/>
          <w:sz w:val="32"/>
          <w:szCs w:val="32"/>
        </w:rPr>
        <w:t>；公务接待费0万元，与上年预算持平，2023年无接待计划安排。</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（二）三亚市重大活动食品安全保障服务中心2023年政府性基金预算“三公”经费预算数为0万元，其中：</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因公出国（境）经费0万元，与上年预算持平，2023年无出国计划安排。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三亚市重大活动食品安全保障服务中心</w:t>
      </w:r>
      <w:r>
        <w:rPr>
          <w:rFonts w:hint="default" w:ascii="Times New Roman" w:hAnsi="Times New Roman" w:eastAsia="黑体" w:cs="Times New Roman"/>
          <w:sz w:val="32"/>
          <w:shd w:val="clear" w:color="auto" w:fill="FFFFFF"/>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800" w:firstLineChars="250"/>
        <w:rPr>
          <w:rFonts w:hint="eastAsia" w:ascii="Times New Roman" w:hAnsi="Times New Roman" w:eastAsia="仿宋_GB2312" w:cs="Times New Roman"/>
          <w:sz w:val="32"/>
          <w:szCs w:val="32"/>
        </w:rPr>
      </w:pPr>
      <w:r>
        <w:rPr>
          <w:rFonts w:hint="eastAsia" w:ascii="仿宋_GB2312" w:hAnsi="黑体" w:eastAsia="仿宋_GB2312" w:cs="仿宋_GB2312"/>
          <w:sz w:val="32"/>
          <w:szCs w:val="32"/>
        </w:rPr>
        <w:t>三亚市重大活动食品安全保障服务中心</w:t>
      </w:r>
      <w:r>
        <w:rPr>
          <w:rFonts w:hint="eastAsia" w:ascii="Times New Roman" w:hAnsi="Times New Roman" w:eastAsia="仿宋_GB2312" w:cs="Times New Roman"/>
          <w:sz w:val="32"/>
          <w:szCs w:val="32"/>
        </w:rPr>
        <w:t>2023年政府性基金预算当年拨款0万元，与上年预算数持平。</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（二）政府性基金预算当年拨款结构情况</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科学技术支出（类）支出0万元，占0%；文化体育与传媒支出（类）支出0万元，占0%；社会保障和就业支出（类）支出0万元。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1.科学技术支出（类）核电站乏燃料处理处置基金支出（款）乏燃料运输（项）2023年预算数为0万元，与上年预算数持平。</w:t>
      </w:r>
    </w:p>
    <w:p>
      <w:pPr>
        <w:ind w:firstLine="800" w:firstLineChars="2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2.科学技术支出（类）核电站乏燃料处理处置基金支出（款）乏燃料离堆贮存（项）2023年预算数为0万元，与上年预算数持平。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三亚市重大活动食品安全保障服务中心</w:t>
      </w:r>
      <w:r>
        <w:rPr>
          <w:rFonts w:hint="eastAsia" w:ascii="Times New Roman" w:hAnsi="Times New Roman" w:eastAsia="仿宋_GB2312" w:cs="Times New Roman"/>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w:t>
      </w:r>
      <w:r>
        <w:rPr>
          <w:rFonts w:hint="eastAsia" w:ascii="仿宋_GB2312" w:hAnsi="黑体" w:eastAsia="仿宋_GB2312" w:cs="仿宋_GB2312"/>
          <w:sz w:val="32"/>
          <w:szCs w:val="32"/>
        </w:rPr>
        <w:t>三亚市重大活动食品安全保障服务中心</w:t>
      </w:r>
      <w:r>
        <w:rPr>
          <w:rFonts w:ascii="Times New Roman" w:hAnsi="Times New Roman" w:eastAsia="仿宋_GB2312" w:cs="Times New Roman"/>
          <w:sz w:val="32"/>
          <w:szCs w:val="32"/>
        </w:rPr>
        <w:t>所有收入和支出均纳入部门预算管理。收入包括：</w:t>
      </w:r>
      <w:r>
        <w:rPr>
          <w:rFonts w:ascii="Times New Roman" w:hAnsi="Times New Roman" w:eastAsia="仿宋_GB2312" w:cs="Times New Roman"/>
          <w:sz w:val="32"/>
          <w:shd w:val="clear" w:color="auto" w:fill="FFFFFF"/>
        </w:rPr>
        <w:t>一般公共预算</w:t>
      </w:r>
      <w:r>
        <w:rPr>
          <w:rFonts w:hint="eastAsia" w:ascii="Times New Roman" w:hAnsi="Times New Roman" w:eastAsia="仿宋_GB2312" w:cs="Times New Roman"/>
          <w:sz w:val="32"/>
          <w:shd w:val="clear" w:color="auto" w:fill="FFFFFF"/>
        </w:rPr>
        <w:t>拨款</w:t>
      </w:r>
      <w:r>
        <w:rPr>
          <w:rFonts w:ascii="Times New Roman" w:hAnsi="Times New Roman" w:eastAsia="仿宋_GB2312" w:cs="Times New Roman"/>
          <w:sz w:val="32"/>
          <w:shd w:val="clear" w:color="auto" w:fill="FFFFFF"/>
        </w:rPr>
        <w:t>收入；</w:t>
      </w:r>
      <w:r>
        <w:rPr>
          <w:rFonts w:ascii="Times New Roman" w:hAnsi="Times New Roman" w:eastAsia="仿宋_GB2312" w:cs="Times New Roman"/>
          <w:sz w:val="32"/>
          <w:szCs w:val="32"/>
        </w:rPr>
        <w:t>支出包括：一般公共服务支出、</w:t>
      </w:r>
      <w:r>
        <w:rPr>
          <w:rFonts w:hint="eastAsia" w:ascii="Times New Roman" w:hAnsi="Times New Roman" w:eastAsia="仿宋_GB2312" w:cs="Times New Roman"/>
          <w:sz w:val="32"/>
          <w:szCs w:val="32"/>
        </w:rPr>
        <w:t>社会保障和就业支出、卫生健康支出、住房保障支出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三亚市重大活动食品安全保障服务中</w:t>
      </w:r>
      <w:r>
        <w:rPr>
          <w:rFonts w:hint="eastAsia" w:ascii="仿宋_GB2312" w:hAnsi="仿宋_GB2312" w:eastAsia="仿宋_GB2312" w:cs="仿宋_GB2312"/>
          <w:sz w:val="32"/>
          <w:szCs w:val="32"/>
        </w:rPr>
        <w:t>心</w:t>
      </w:r>
      <w:r>
        <w:rPr>
          <w:rFonts w:hint="eastAsia" w:ascii="Times New Roman" w:hAnsi="Times New Roman" w:eastAsia="仿宋_GB2312" w:cs="Times New Roman"/>
          <w:sz w:val="32"/>
          <w:szCs w:val="32"/>
        </w:rPr>
        <w:t>2023年收支总预算218.79万</w:t>
      </w:r>
      <w:r>
        <w:rPr>
          <w:rFonts w:ascii="Times New Roman" w:hAnsi="Times New Roman" w:eastAsia="仿宋_GB2312" w:cs="Times New Roman"/>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三亚市重大活动食品安全保障服务中心</w:t>
      </w:r>
      <w:r>
        <w:rPr>
          <w:rFonts w:hint="eastAsia" w:ascii="Times New Roman" w:hAnsi="Times New Roman" w:eastAsia="仿宋_GB2312" w:cs="Times New Roman"/>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zCs w:val="32"/>
        </w:rPr>
        <w:t>三亚市重大活动食品安全保障服务中心2023年收入预算218.79万元，其中：上年结转0万元，占0%；一般公共预算拨款收入218.79元，占100%；政府性基金收入0万元，占0%；比上年预算数增加100.75万元，主要是2023年新增了人员工资福利等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三亚市重大活动食品安全保障服务中心</w:t>
      </w:r>
      <w:r>
        <w:rPr>
          <w:rFonts w:hint="eastAsia" w:ascii="Times New Roman" w:hAnsi="Times New Roman" w:eastAsia="仿宋_GB2312" w:cs="Times New Roman"/>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Times New Roman" w:hAnsi="Times New Roman" w:eastAsia="仿宋_GB2312" w:cs="Times New Roman"/>
          <w:sz w:val="32"/>
          <w:szCs w:val="32"/>
          <w:lang w:eastAsia="zh-CN"/>
        </w:rPr>
      </w:pPr>
      <w:r>
        <w:rPr>
          <w:rFonts w:hint="eastAsia" w:ascii="仿宋_GB2312" w:hAnsi="黑体" w:eastAsia="仿宋_GB2312" w:cs="仿宋_GB2312"/>
          <w:sz w:val="32"/>
          <w:szCs w:val="32"/>
        </w:rPr>
        <w:t>三</w:t>
      </w:r>
      <w:r>
        <w:rPr>
          <w:rFonts w:hint="eastAsia" w:ascii="Times New Roman" w:hAnsi="Times New Roman" w:eastAsia="仿宋_GB2312" w:cs="Times New Roman"/>
          <w:sz w:val="32"/>
          <w:szCs w:val="32"/>
        </w:rPr>
        <w:t>亚市重大活动食品安全保障服务中心2023年支出预算218.79万元，其中：基本支出178.79万元，占81.72%；项目支出40万元，占18.28%。比上年预算数增加100.75万元，主要是2023年新增了人员工资福利等经费</w:t>
      </w:r>
      <w:r>
        <w:rPr>
          <w:rFonts w:hint="eastAsia"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w:t>
      </w:r>
      <w:r>
        <w:rPr>
          <w:rFonts w:ascii="Times New Roman" w:hAnsi="Times New Roman" w:eastAsia="楷体" w:cs="Times New Roman"/>
          <w:sz w:val="32"/>
          <w:szCs w:val="32"/>
        </w:rPr>
        <w:t>一）机关运行经费</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三亚市重大活动食品安全保障服务中心无机关运行经费。</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2023年三亚市重大活动食品安全保障服务中心政府采购预算总额0万元，其中：政府采购货物预算0万元，政府采购工程预算0万元，政府采购服务预算0万元。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截至</w:t>
      </w:r>
      <w:r>
        <w:rPr>
          <w:rFonts w:hint="eastAsia" w:ascii="Times New Roman" w:hAnsi="Times New Roman" w:eastAsia="仿宋_GB2312" w:cs="Times New Roman"/>
          <w:sz w:val="32"/>
          <w:shd w:val="clear" w:color="auto" w:fill="FFFFFF"/>
        </w:rPr>
        <w:t>2022</w:t>
      </w:r>
      <w:r>
        <w:rPr>
          <w:rFonts w:ascii="Times New Roman" w:hAnsi="Times New Roman" w:eastAsia="仿宋_GB2312" w:cs="Times New Roman"/>
          <w:sz w:val="32"/>
          <w:shd w:val="clear" w:color="auto" w:fill="FFFFFF"/>
        </w:rPr>
        <w:t>年12月31日，</w:t>
      </w:r>
      <w:r>
        <w:rPr>
          <w:rFonts w:hint="eastAsia" w:ascii="Times New Roman" w:hAnsi="Times New Roman" w:eastAsia="仿宋_GB2312" w:cs="Times New Roman"/>
          <w:sz w:val="32"/>
          <w:shd w:val="clear" w:color="auto" w:fill="FFFFFF"/>
        </w:rPr>
        <w:t>三亚市重大活动食品安全保障服务中心</w:t>
      </w:r>
      <w:r>
        <w:rPr>
          <w:rFonts w:ascii="Times New Roman" w:hAnsi="Times New Roman" w:eastAsia="仿宋_GB2312" w:cs="Times New Roman"/>
          <w:sz w:val="32"/>
          <w:shd w:val="clear" w:color="auto" w:fill="FFFFFF"/>
        </w:rPr>
        <w:t>共有车辆</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辆，其中，领导干部用车</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辆，机要通信应急用车</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辆、一般执法执勤用车</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辆、特种专业技术用车</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辆、其他用车</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辆。单位价值100万元以上设备</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2023年三亚市重大活动食品安全保障服务中心11个项目实行绩效目标管理，涉及一般公共预算218.79</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政府性基金0万元。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5NDI0NDFlMDNhZGU4MWVmNDc5NDNhZTI1OTdkNTMifQ=="/>
  </w:docVars>
  <w:rsids>
    <w:rsidRoot w:val="00BA5FE0"/>
    <w:rsid w:val="00090EB7"/>
    <w:rsid w:val="001279C4"/>
    <w:rsid w:val="001441AF"/>
    <w:rsid w:val="00150350"/>
    <w:rsid w:val="00175D61"/>
    <w:rsid w:val="002369C2"/>
    <w:rsid w:val="00316018"/>
    <w:rsid w:val="00386788"/>
    <w:rsid w:val="00393D4C"/>
    <w:rsid w:val="003F12C2"/>
    <w:rsid w:val="00461435"/>
    <w:rsid w:val="004D20EE"/>
    <w:rsid w:val="005262EA"/>
    <w:rsid w:val="005324BD"/>
    <w:rsid w:val="005A61C4"/>
    <w:rsid w:val="005B1050"/>
    <w:rsid w:val="00724014"/>
    <w:rsid w:val="00823226"/>
    <w:rsid w:val="008D47BA"/>
    <w:rsid w:val="00910D8B"/>
    <w:rsid w:val="00917702"/>
    <w:rsid w:val="00A47B85"/>
    <w:rsid w:val="00A97F7A"/>
    <w:rsid w:val="00B4266C"/>
    <w:rsid w:val="00BA5FE0"/>
    <w:rsid w:val="00BF1640"/>
    <w:rsid w:val="00D9593D"/>
    <w:rsid w:val="00E36E44"/>
    <w:rsid w:val="00E900F4"/>
    <w:rsid w:val="00EB6ECA"/>
    <w:rsid w:val="00ED78F4"/>
    <w:rsid w:val="00F53151"/>
    <w:rsid w:val="04BA04FE"/>
    <w:rsid w:val="0575455D"/>
    <w:rsid w:val="0758527A"/>
    <w:rsid w:val="082626AF"/>
    <w:rsid w:val="082D11A4"/>
    <w:rsid w:val="0902121F"/>
    <w:rsid w:val="09644D25"/>
    <w:rsid w:val="0980607B"/>
    <w:rsid w:val="0ADF2A21"/>
    <w:rsid w:val="0BED233A"/>
    <w:rsid w:val="0CCF142B"/>
    <w:rsid w:val="0D7B49B2"/>
    <w:rsid w:val="0E727128"/>
    <w:rsid w:val="1290115F"/>
    <w:rsid w:val="12DD6B77"/>
    <w:rsid w:val="13535440"/>
    <w:rsid w:val="138B01CB"/>
    <w:rsid w:val="13F050F5"/>
    <w:rsid w:val="143B77B0"/>
    <w:rsid w:val="18892648"/>
    <w:rsid w:val="1B397D65"/>
    <w:rsid w:val="1C134BC1"/>
    <w:rsid w:val="1C3F1A31"/>
    <w:rsid w:val="1D4E5463"/>
    <w:rsid w:val="1E05679B"/>
    <w:rsid w:val="1F291E28"/>
    <w:rsid w:val="1F621ADA"/>
    <w:rsid w:val="22A8160D"/>
    <w:rsid w:val="23416905"/>
    <w:rsid w:val="254D4B72"/>
    <w:rsid w:val="27C57262"/>
    <w:rsid w:val="27CE30D5"/>
    <w:rsid w:val="289C5835"/>
    <w:rsid w:val="297A642E"/>
    <w:rsid w:val="297E126E"/>
    <w:rsid w:val="29B903C5"/>
    <w:rsid w:val="2A453A8F"/>
    <w:rsid w:val="2C0A3C1B"/>
    <w:rsid w:val="2C1B2A34"/>
    <w:rsid w:val="2D734DF8"/>
    <w:rsid w:val="2FFE211C"/>
    <w:rsid w:val="30D65FD5"/>
    <w:rsid w:val="30E37DC6"/>
    <w:rsid w:val="33AC78F7"/>
    <w:rsid w:val="33FA1668"/>
    <w:rsid w:val="34640BF0"/>
    <w:rsid w:val="36FC6491"/>
    <w:rsid w:val="38266B44"/>
    <w:rsid w:val="39117B68"/>
    <w:rsid w:val="39A208E6"/>
    <w:rsid w:val="39C56FCB"/>
    <w:rsid w:val="3B084AF6"/>
    <w:rsid w:val="3BA979D6"/>
    <w:rsid w:val="3CCC0BE8"/>
    <w:rsid w:val="3CFA3755"/>
    <w:rsid w:val="3D023527"/>
    <w:rsid w:val="3D2464A9"/>
    <w:rsid w:val="3D900C00"/>
    <w:rsid w:val="3DA74D7A"/>
    <w:rsid w:val="3E3940BF"/>
    <w:rsid w:val="3E9B22BE"/>
    <w:rsid w:val="3EFA1043"/>
    <w:rsid w:val="41FD3BC4"/>
    <w:rsid w:val="42415322"/>
    <w:rsid w:val="439D42E3"/>
    <w:rsid w:val="46B549B4"/>
    <w:rsid w:val="47E864A4"/>
    <w:rsid w:val="47F53986"/>
    <w:rsid w:val="4A072A42"/>
    <w:rsid w:val="4A6808AF"/>
    <w:rsid w:val="4BA7784A"/>
    <w:rsid w:val="4C8C263F"/>
    <w:rsid w:val="4DB62ECE"/>
    <w:rsid w:val="4DE12B23"/>
    <w:rsid w:val="4F10007D"/>
    <w:rsid w:val="50783C8A"/>
    <w:rsid w:val="51D82ED3"/>
    <w:rsid w:val="522F7570"/>
    <w:rsid w:val="526E49B2"/>
    <w:rsid w:val="52795A0A"/>
    <w:rsid w:val="527B7BB5"/>
    <w:rsid w:val="54C57CAB"/>
    <w:rsid w:val="55001439"/>
    <w:rsid w:val="57620AF9"/>
    <w:rsid w:val="587F005E"/>
    <w:rsid w:val="58A240EA"/>
    <w:rsid w:val="58E725D0"/>
    <w:rsid w:val="59087F97"/>
    <w:rsid w:val="5A0D2609"/>
    <w:rsid w:val="5AA3500F"/>
    <w:rsid w:val="5AD02BC2"/>
    <w:rsid w:val="5DBF1577"/>
    <w:rsid w:val="5DC7578D"/>
    <w:rsid w:val="5DF82B36"/>
    <w:rsid w:val="5E343DF8"/>
    <w:rsid w:val="5EAE643D"/>
    <w:rsid w:val="5F581BFD"/>
    <w:rsid w:val="61516534"/>
    <w:rsid w:val="62A263F6"/>
    <w:rsid w:val="62F213F9"/>
    <w:rsid w:val="6451573F"/>
    <w:rsid w:val="681E58BC"/>
    <w:rsid w:val="68C01E91"/>
    <w:rsid w:val="69A23A40"/>
    <w:rsid w:val="6BE36096"/>
    <w:rsid w:val="6C0B3A42"/>
    <w:rsid w:val="6D1E3566"/>
    <w:rsid w:val="6E5E7230"/>
    <w:rsid w:val="6EC60B68"/>
    <w:rsid w:val="700462E3"/>
    <w:rsid w:val="705C6F9F"/>
    <w:rsid w:val="70F819CE"/>
    <w:rsid w:val="72ED0F2C"/>
    <w:rsid w:val="73A4511A"/>
    <w:rsid w:val="74552C57"/>
    <w:rsid w:val="745C5F9F"/>
    <w:rsid w:val="74BE19DD"/>
    <w:rsid w:val="75791144"/>
    <w:rsid w:val="75FB169E"/>
    <w:rsid w:val="775831CE"/>
    <w:rsid w:val="77601A3F"/>
    <w:rsid w:val="796E1E44"/>
    <w:rsid w:val="7BEE2AD6"/>
    <w:rsid w:val="7CAB2FF1"/>
    <w:rsid w:val="7DA319F3"/>
    <w:rsid w:val="7DEBCAFF"/>
    <w:rsid w:val="7EE46A0E"/>
    <w:rsid w:val="7F602F07"/>
    <w:rsid w:val="7F857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autoRedefine/>
    <w:semiHidden/>
    <w:unhideWhenUsed/>
    <w:qFormat/>
    <w:uiPriority w:val="0"/>
    <w:rPr>
      <w:b/>
      <w:bCs/>
    </w:rPr>
  </w:style>
  <w:style w:type="character" w:styleId="8">
    <w:name w:val="annotation reference"/>
    <w:basedOn w:val="7"/>
    <w:autoRedefine/>
    <w:semiHidden/>
    <w:unhideWhenUsed/>
    <w:qFormat/>
    <w:uiPriority w:val="0"/>
    <w:rPr>
      <w:sz w:val="21"/>
      <w:szCs w:val="21"/>
    </w:rPr>
  </w:style>
  <w:style w:type="paragraph" w:customStyle="1" w:styleId="9">
    <w:name w:val="列表段落1"/>
    <w:basedOn w:val="1"/>
    <w:autoRedefine/>
    <w:qFormat/>
    <w:uiPriority w:val="34"/>
    <w:pPr>
      <w:ind w:firstLine="420" w:firstLineChars="200"/>
    </w:pPr>
  </w:style>
  <w:style w:type="paragraph" w:customStyle="1" w:styleId="10">
    <w:name w:val="正文1 Char Char Char"/>
    <w:basedOn w:val="1"/>
    <w:autoRedefine/>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autoRedefine/>
    <w:semiHidden/>
    <w:qFormat/>
    <w:uiPriority w:val="99"/>
    <w:rPr>
      <w:sz w:val="18"/>
      <w:szCs w:val="18"/>
    </w:rPr>
  </w:style>
  <w:style w:type="character" w:customStyle="1" w:styleId="12">
    <w:name w:val="页脚 字符"/>
    <w:basedOn w:val="7"/>
    <w:link w:val="3"/>
    <w:autoRedefine/>
    <w:semiHidden/>
    <w:qFormat/>
    <w:uiPriority w:val="99"/>
    <w:rPr>
      <w:sz w:val="18"/>
      <w:szCs w:val="18"/>
    </w:rPr>
  </w:style>
  <w:style w:type="character" w:customStyle="1" w:styleId="13">
    <w:name w:val="批注文字 字符"/>
    <w:basedOn w:val="7"/>
    <w:link w:val="2"/>
    <w:autoRedefine/>
    <w:semiHidden/>
    <w:qFormat/>
    <w:uiPriority w:val="0"/>
    <w:rPr>
      <w:rFonts w:ascii="Calibri" w:hAnsi="Calibri" w:cs="黑体"/>
      <w:kern w:val="2"/>
      <w:sz w:val="21"/>
      <w:szCs w:val="22"/>
    </w:rPr>
  </w:style>
  <w:style w:type="character" w:customStyle="1" w:styleId="14">
    <w:name w:val="批注主题 字符"/>
    <w:basedOn w:val="13"/>
    <w:link w:val="5"/>
    <w:autoRedefine/>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3825</Words>
  <Characters>4158</Characters>
  <Lines>29</Lines>
  <Paragraphs>8</Paragraphs>
  <TotalTime>106</TotalTime>
  <ScaleCrop>false</ScaleCrop>
  <LinksUpToDate>false</LinksUpToDate>
  <CharactersWithSpaces>4181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2024-07-11T02:41:00Z</dcterms:created>
  <dc:creator>null,null,总收发</dc:creator>
  <cp:lastModifiedBy>admin</cp:lastModifiedBy>
  <dcterms:modified xsi:type="dcterms:W3CDTF">2024-07-18T05:07:25Z</dcterms:modified>
  <dc:title>××年××部门（单位）预算</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866D89827BA44764883CEBD3E4F81D6B</vt:lpwstr>
  </property>
</Properties>
</file>