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三亚市粮食和物资储备服务中心</w:t>
      </w:r>
      <w:r>
        <w:rPr>
          <w:rFonts w:hint="eastAsia"/>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w:t>
      </w:r>
      <w:r>
        <w:rPr>
          <w:rFonts w:hint="eastAsia" w:ascii="黑体" w:hAnsi="黑体" w:eastAsia="黑体"/>
          <w:sz w:val="32"/>
          <w:szCs w:val="32"/>
        </w:rPr>
        <w:t>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spacing w:line="560" w:lineRule="exact"/>
        <w:ind w:firstLine="580"/>
        <w:rPr>
          <w:rFonts w:ascii="仿宋_GB2312" w:hAnsi="仿宋_GB2312" w:eastAsia="仿宋_GB2312" w:cs="仿宋_GB2312"/>
          <w:sz w:val="32"/>
          <w:szCs w:val="32"/>
        </w:rPr>
      </w:pPr>
      <w:r>
        <w:rPr>
          <w:rFonts w:hint="eastAsia" w:eastAsia="仿宋_GB2312"/>
          <w:kern w:val="0"/>
          <w:sz w:val="32"/>
          <w:szCs w:val="32"/>
          <w:lang w:val="en-US" w:eastAsia="zh-CN"/>
        </w:rPr>
        <w:t>承担粮食和物资储备服务的信息收集与综合分析、政策宣传、质量检验检测、技术推广和应用、粮食产品的展销服务、政策情粮食购销业务指导。承办上级部部门交办的其它工作。</w:t>
      </w:r>
    </w:p>
    <w:p>
      <w:pPr>
        <w:pStyle w:val="6"/>
        <w:numPr>
          <w:ilvl w:val="-1"/>
          <w:numId w:val="0"/>
        </w:numPr>
        <w:ind w:left="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二、部门预算单位构成</w:t>
      </w:r>
    </w:p>
    <w:p>
      <w:pPr>
        <w:spacing w:line="560" w:lineRule="exact"/>
        <w:ind w:firstLine="580"/>
        <w:rPr>
          <w:rFonts w:hint="default" w:eastAsia="仿宋_GB2312"/>
          <w:kern w:val="0"/>
          <w:sz w:val="32"/>
          <w:szCs w:val="32"/>
          <w:lang w:val="en-US" w:eastAsia="zh-CN"/>
        </w:rPr>
      </w:pPr>
      <w:r>
        <w:rPr>
          <w:rFonts w:hint="eastAsia" w:eastAsia="仿宋_GB2312"/>
          <w:kern w:val="0"/>
          <w:sz w:val="32"/>
          <w:szCs w:val="32"/>
          <w:lang w:val="en-US" w:eastAsia="zh-CN"/>
        </w:rPr>
        <w:t>粮食和物资储备服务中心（科级</w:t>
      </w:r>
      <w:bookmarkStart w:id="0" w:name="_GoBack"/>
      <w:bookmarkEnd w:id="0"/>
      <w:r>
        <w:rPr>
          <w:rFonts w:hint="eastAsia" w:eastAsia="仿宋_GB2312"/>
          <w:kern w:val="0"/>
          <w:sz w:val="32"/>
          <w:szCs w:val="32"/>
          <w:lang w:val="en-US" w:eastAsia="zh-CN"/>
        </w:rPr>
        <w:t>）</w:t>
      </w:r>
    </w:p>
    <w:p>
      <w:pPr>
        <w:ind w:firstLine="640" w:firstLineChars="200"/>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万元、社会保障和就业支出10.07万元、卫生健康支出7.93万元、住房保障支出</w:t>
      </w:r>
      <w:r>
        <w:rPr>
          <w:rFonts w:hint="eastAsia" w:ascii="仿宋_GB2312" w:hAnsi="黑体" w:eastAsia="仿宋_GB2312"/>
          <w:sz w:val="32"/>
          <w:szCs w:val="32"/>
          <w:lang w:val="en-US" w:eastAsia="zh-CN"/>
        </w:rPr>
        <w:t>5.27万元、 粮油物资储备支出52.60万元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82.86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8.27万元</w:t>
      </w:r>
      <w:r>
        <w:rPr>
          <w:rFonts w:hint="eastAsia" w:ascii="仿宋_GB2312" w:hAnsi="黑体" w:eastAsia="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人员增加。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8.45</w:t>
      </w:r>
      <w:r>
        <w:rPr>
          <w:rFonts w:hint="eastAsia" w:ascii="仿宋_GB2312" w:hAnsi="黑体" w:eastAsia="仿宋_GB2312"/>
          <w:sz w:val="32"/>
          <w:szCs w:val="32"/>
        </w:rPr>
        <w:t>%；社会保障和就业（类）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10.07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12.15</w:t>
      </w:r>
      <w:r>
        <w:rPr>
          <w:rFonts w:hint="eastAsia" w:ascii="仿宋_GB2312" w:hAnsi="黑体" w:eastAsia="仿宋_GB2312"/>
          <w:sz w:val="32"/>
          <w:szCs w:val="32"/>
        </w:rPr>
        <w:t>%；卫生健康（类）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7.93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9.57</w:t>
      </w:r>
      <w:r>
        <w:rPr>
          <w:rFonts w:hint="eastAsia" w:ascii="仿宋_GB2312" w:hAnsi="黑体" w:eastAsia="仿宋_GB2312"/>
          <w:sz w:val="32"/>
          <w:szCs w:val="32"/>
        </w:rPr>
        <w:t>%；住房保障（类）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6.36</w:t>
      </w:r>
      <w:r>
        <w:rPr>
          <w:rFonts w:hint="eastAsia" w:ascii="仿宋_GB2312" w:hAnsi="黑体" w:eastAsia="仿宋_GB2312"/>
          <w:sz w:val="32"/>
          <w:szCs w:val="32"/>
        </w:rPr>
        <w:t>%；粮油物资储备（类）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52.60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63.48</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1.一般公共服务（类）发展与改革事务（款）</w:t>
      </w:r>
      <w:r>
        <w:rPr>
          <w:rFonts w:hint="eastAsia" w:ascii="仿宋_GB2312" w:hAnsi="黑体" w:eastAsia="仿宋_GB2312" w:cs="仿宋_GB2312"/>
          <w:sz w:val="32"/>
          <w:szCs w:val="32"/>
          <w:lang w:val="en-US" w:eastAsia="zh-CN"/>
        </w:rPr>
        <w:t>事业</w:t>
      </w:r>
      <w:r>
        <w:rPr>
          <w:rFonts w:hint="eastAsia" w:ascii="仿宋_GB2312" w:hAnsi="黑体" w:eastAsia="仿宋_GB2312" w:cs="仿宋_GB2312"/>
          <w:sz w:val="32"/>
          <w:szCs w:val="32"/>
        </w:rPr>
        <w:t>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w:t>
      </w:r>
    </w:p>
    <w:p>
      <w:pPr>
        <w:shd w:val="clear"/>
        <w:ind w:firstLine="640" w:firstLineChars="200"/>
        <w:rPr>
          <w:rFonts w:hint="eastAsia" w:ascii="仿宋_GB2312" w:hAnsi="黑体" w:eastAsia="仿宋_GB2312"/>
          <w:color w:val="000000" w:themeColor="text1"/>
          <w:sz w:val="32"/>
          <w:szCs w:val="32"/>
          <w:highlight w:val="none"/>
          <w:shd w:val="clear" w:color="auto" w:fill="auto"/>
          <w:lang w:eastAsia="zh-CN"/>
          <w14:textFill>
            <w14:solidFill>
              <w14:schemeClr w14:val="tx1"/>
            </w14:solidFill>
          </w14:textFill>
        </w:rPr>
      </w:pPr>
      <w:r>
        <w:rPr>
          <w:rFonts w:hint="eastAsia" w:ascii="仿宋_GB2312" w:hAnsi="黑体" w:eastAsia="仿宋_GB2312"/>
          <w:color w:val="000000" w:themeColor="text1"/>
          <w:sz w:val="32"/>
          <w:szCs w:val="32"/>
          <w:highlight w:val="none"/>
          <w:shd w:val="clear" w:color="auto" w:fill="auto"/>
          <w14:textFill>
            <w14:solidFill>
              <w14:schemeClr w14:val="tx1"/>
            </w14:solidFill>
          </w14:textFill>
        </w:rPr>
        <w:t>2.</w:t>
      </w:r>
      <w:r>
        <w:rPr>
          <w:rFonts w:hint="eastAsia" w:ascii="仿宋_GB2312" w:hAnsi="黑体" w:eastAsia="仿宋_GB2312" w:cs="仿宋_GB2312"/>
          <w:color w:val="000000" w:themeColor="text1"/>
          <w:sz w:val="32"/>
          <w:szCs w:val="32"/>
          <w:highlight w:val="none"/>
          <w:shd w:val="clear" w:color="auto" w:fill="auto"/>
          <w14:textFill>
            <w14:solidFill>
              <w14:schemeClr w14:val="tx1"/>
            </w14:solidFill>
          </w14:textFill>
        </w:rPr>
        <w:t xml:space="preserve"> 社会保障和就业支出（类）行政事业单位养老支出（款）机关事业单位基本养老保险缴费支出（项）</w:t>
      </w:r>
      <w:r>
        <w:rPr>
          <w:rFonts w:hint="eastAsia" w:ascii="仿宋_GB2312" w:hAnsi="黑体" w:eastAsia="仿宋_GB2312" w:cs="仿宋_GB2312"/>
          <w:color w:val="000000" w:themeColor="text1"/>
          <w:sz w:val="32"/>
          <w:szCs w:val="32"/>
          <w:highlight w:val="none"/>
          <w:shd w:val="clear" w:color="auto" w:fill="auto"/>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shd w:val="clear" w:color="auto" w:fill="auto"/>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shd w:val="clear" w:color="auto" w:fill="auto"/>
          <w:lang w:val="en-US" w:eastAsia="zh-CN"/>
          <w14:textFill>
            <w14:solidFill>
              <w14:schemeClr w14:val="tx1"/>
            </w14:solidFill>
          </w14:textFill>
        </w:rPr>
        <w:t>6.71</w:t>
      </w:r>
      <w:r>
        <w:rPr>
          <w:rFonts w:hint="eastAsia" w:ascii="仿宋_GB2312" w:hAnsi="黑体" w:eastAsia="仿宋_GB2312"/>
          <w:color w:val="000000" w:themeColor="text1"/>
          <w:sz w:val="32"/>
          <w:szCs w:val="32"/>
          <w:highlight w:val="none"/>
          <w:shd w:val="clear" w:color="auto" w:fill="auto"/>
          <w14:textFill>
            <w14:solidFill>
              <w14:schemeClr w14:val="tx1"/>
            </w14:solidFill>
          </w14:textFill>
        </w:rPr>
        <w:t>万元，比上年预算数</w:t>
      </w:r>
      <w:r>
        <w:rPr>
          <w:rFonts w:hint="eastAsia" w:ascii="仿宋_GB2312" w:hAnsi="黑体" w:eastAsia="仿宋_GB2312" w:cs="仿宋_GB2312"/>
          <w:color w:val="000000" w:themeColor="text1"/>
          <w:sz w:val="32"/>
          <w:szCs w:val="32"/>
          <w:highlight w:val="none"/>
          <w:shd w:val="clear" w:color="auto" w:fill="auto"/>
          <w14:textFill>
            <w14:solidFill>
              <w14:schemeClr w14:val="tx1"/>
            </w14:solidFill>
          </w14:textFill>
        </w:rPr>
        <w:t>增加</w:t>
      </w:r>
      <w:r>
        <w:rPr>
          <w:rFonts w:hint="eastAsia" w:ascii="仿宋_GB2312" w:hAnsi="黑体" w:eastAsia="仿宋_GB2312" w:cs="仿宋_GB2312"/>
          <w:color w:val="000000" w:themeColor="text1"/>
          <w:sz w:val="32"/>
          <w:szCs w:val="32"/>
          <w:highlight w:val="none"/>
          <w:shd w:val="clear" w:color="auto" w:fill="auto"/>
          <w:lang w:val="en-US" w:eastAsia="zh-CN"/>
          <w14:textFill>
            <w14:solidFill>
              <w14:schemeClr w14:val="tx1"/>
            </w14:solidFill>
          </w14:textFill>
        </w:rPr>
        <w:t>1.62</w:t>
      </w:r>
      <w:r>
        <w:rPr>
          <w:rFonts w:hint="eastAsia" w:ascii="仿宋_GB2312" w:hAnsi="黑体" w:eastAsia="仿宋_GB2312"/>
          <w:color w:val="000000" w:themeColor="text1"/>
          <w:sz w:val="32"/>
          <w:szCs w:val="32"/>
          <w:highlight w:val="none"/>
          <w:shd w:val="clear" w:color="auto" w:fill="auto"/>
          <w14:textFill>
            <w14:solidFill>
              <w14:schemeClr w14:val="tx1"/>
            </w14:solidFill>
          </w14:textFill>
        </w:rPr>
        <w:t>万元，主要是</w:t>
      </w:r>
      <w:r>
        <w:rPr>
          <w:rFonts w:hint="eastAsia" w:ascii="仿宋_GB2312" w:hAnsi="黑体" w:eastAsia="仿宋_GB2312"/>
          <w:color w:val="000000" w:themeColor="text1"/>
          <w:sz w:val="32"/>
          <w:szCs w:val="32"/>
          <w:highlight w:val="none"/>
          <w:shd w:val="clear" w:color="auto" w:fill="auto"/>
          <w:lang w:eastAsia="zh-CN"/>
          <w14:textFill>
            <w14:solidFill>
              <w14:schemeClr w14:val="tx1"/>
            </w14:solidFill>
          </w14:textFill>
        </w:rPr>
        <w:t>人员增加。</w:t>
      </w:r>
    </w:p>
    <w:p>
      <w:pPr>
        <w:numPr>
          <w:ilvl w:val="-1"/>
          <w:numId w:val="0"/>
        </w:numPr>
        <w:shd w:val="clear"/>
        <w:ind w:left="630" w:firstLine="0" w:firstLineChars="0"/>
        <w:rPr>
          <w:rFonts w:hint="default" w:ascii="仿宋_GB2312" w:hAnsi="黑体" w:eastAsia="仿宋_GB2312"/>
          <w:color w:val="000000" w:themeColor="text1"/>
          <w:sz w:val="32"/>
          <w:szCs w:val="32"/>
          <w:highlight w:val="none"/>
          <w:shd w:val="clear" w:color="auto" w:fill="auto"/>
          <w:lang w:val="en-US" w:eastAsia="zh-CN"/>
          <w14:textFill>
            <w14:solidFill>
              <w14:schemeClr w14:val="tx1"/>
            </w14:solidFill>
          </w14:textFill>
        </w:rPr>
      </w:pPr>
      <w:r>
        <w:rPr>
          <w:rFonts w:hint="eastAsia" w:ascii="仿宋_GB2312" w:hAnsi="黑体" w:eastAsia="仿宋_GB2312" w:cs="仿宋_GB2312"/>
          <w:color w:val="000000" w:themeColor="text1"/>
          <w:sz w:val="32"/>
          <w:szCs w:val="32"/>
          <w:highlight w:val="none"/>
          <w:shd w:val="clear" w:color="auto" w:fill="auto"/>
          <w:lang w:val="en-US" w:eastAsia="zh-CN"/>
          <w14:textFill>
            <w14:solidFill>
              <w14:schemeClr w14:val="tx1"/>
            </w14:solidFill>
          </w14:textFill>
        </w:rPr>
        <w:t>3.</w:t>
      </w:r>
      <w:r>
        <w:rPr>
          <w:rFonts w:hint="eastAsia" w:ascii="仿宋_GB2312" w:hAnsi="黑体" w:eastAsia="仿宋_GB2312" w:cs="仿宋_GB2312"/>
          <w:color w:val="000000" w:themeColor="text1"/>
          <w:sz w:val="32"/>
          <w:szCs w:val="32"/>
          <w:highlight w:val="none"/>
          <w:shd w:val="clear" w:color="auto" w:fill="auto"/>
          <w14:textFill>
            <w14:solidFill>
              <w14:schemeClr w14:val="tx1"/>
            </w14:solidFill>
          </w14:textFill>
        </w:rPr>
        <w:t xml:space="preserve"> 社会保障和就业支出（类）行政事业单位养老支出（款）机关事业单位职业年金缴费支出（项）</w:t>
      </w:r>
      <w:r>
        <w:rPr>
          <w:rFonts w:hint="eastAsia" w:ascii="仿宋_GB2312" w:hAnsi="黑体" w:eastAsia="仿宋_GB2312" w:cs="仿宋_GB2312"/>
          <w:color w:val="000000" w:themeColor="text1"/>
          <w:sz w:val="32"/>
          <w:szCs w:val="32"/>
          <w:highlight w:val="none"/>
          <w:shd w:val="clear" w:color="auto" w:fill="auto"/>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shd w:val="clear" w:color="auto" w:fill="auto"/>
          <w14:textFill>
            <w14:solidFill>
              <w14:schemeClr w14:val="tx1"/>
            </w14:solidFill>
          </w14:textFill>
        </w:rPr>
        <w:t>年预算数为</w:t>
      </w:r>
      <w:r>
        <w:rPr>
          <w:rFonts w:hint="eastAsia" w:ascii="仿宋_GB2312" w:hAnsi="黑体" w:eastAsia="仿宋_GB2312" w:cs="仿宋_GB2312"/>
          <w:color w:val="000000" w:themeColor="text1"/>
          <w:sz w:val="32"/>
          <w:szCs w:val="32"/>
          <w:highlight w:val="none"/>
          <w:shd w:val="clear" w:color="auto" w:fill="auto"/>
          <w:lang w:val="en-US" w:eastAsia="zh-CN"/>
          <w14:textFill>
            <w14:solidFill>
              <w14:schemeClr w14:val="tx1"/>
            </w14:solidFill>
          </w14:textFill>
        </w:rPr>
        <w:t>3.36</w:t>
      </w:r>
      <w:r>
        <w:rPr>
          <w:rFonts w:hint="eastAsia" w:ascii="仿宋_GB2312" w:hAnsi="黑体" w:eastAsia="仿宋_GB2312"/>
          <w:color w:val="000000" w:themeColor="text1"/>
          <w:sz w:val="32"/>
          <w:szCs w:val="32"/>
          <w:highlight w:val="none"/>
          <w:shd w:val="clear" w:color="auto" w:fill="auto"/>
          <w14:textFill>
            <w14:solidFill>
              <w14:schemeClr w14:val="tx1"/>
            </w14:solidFill>
          </w14:textFill>
        </w:rPr>
        <w:t>万元，</w:t>
      </w:r>
      <w:r>
        <w:rPr>
          <w:rFonts w:hint="eastAsia" w:ascii="仿宋_GB2312" w:hAnsi="黑体" w:eastAsia="仿宋_GB2312"/>
          <w:color w:val="000000" w:themeColor="text1"/>
          <w:sz w:val="32"/>
          <w:szCs w:val="32"/>
          <w:highlight w:val="none"/>
          <w:shd w:val="clear" w:color="auto" w:fill="auto"/>
          <w:lang w:eastAsia="zh-CN"/>
          <w14:textFill>
            <w14:solidFill>
              <w14:schemeClr w14:val="tx1"/>
            </w14:solidFill>
          </w14:textFill>
        </w:rPr>
        <w:t>上年未安排预算。</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卫生健康支出（类）行政事业单位医疗（款）事业单位医疗（项）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3.53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0.82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4.39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住房保障支出（类）住房改革支出（款）住房公积金（项）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粮油物资储备支出（类）粮油物资事务（款）事业运行（项）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52.60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0.09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预算编制趋于合理。</w:t>
      </w:r>
    </w:p>
    <w:p>
      <w:pPr>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75.86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71.13</w:t>
      </w:r>
      <w:r>
        <w:rPr>
          <w:rFonts w:hint="eastAsia" w:ascii="仿宋_GB2312" w:hAnsi="黑体" w:eastAsia="仿宋_GB2312"/>
          <w:sz w:val="32"/>
          <w:szCs w:val="32"/>
        </w:rPr>
        <w:t>万元，主要包括：基本工资、津贴补贴、机关事业单位基本养老保险缴费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、职业年金缴费、职工基本医疗保险缴费、公务员医疗补助缴费、其他社会保障缴费、住房公积金、医疗费、其他工资福利支出、邮电费、奖励金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4.74</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培训费、工会经费、福利费、</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numPr>
          <w:ilvl w:val="-1"/>
          <w:numId w:val="0"/>
        </w:numPr>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2023年未安排政府性基金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粮油物资储备支出。</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8.27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新增人员</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三亚市粮食和物资储备服务中心</w:t>
      </w:r>
      <w:r>
        <w:rPr>
          <w:rFonts w:hint="eastAsia" w:ascii="黑体" w:hAnsi="黑体" w:eastAsia="黑体"/>
          <w:sz w:val="32"/>
          <w:szCs w:val="32"/>
        </w:rPr>
        <w:t>（单位）</w:t>
      </w:r>
      <w:r>
        <w:rPr>
          <w:rFonts w:hint="eastAsia" w:ascii="仿宋_GB2312" w:hAnsi="黑体" w:eastAsia="仿宋_GB2312" w:cs="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黑体"/>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75.86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91.55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7.00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人员增加、项目增加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4.74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黑体"/>
          <w:sz w:val="32"/>
          <w:szCs w:val="32"/>
          <w:lang w:eastAsia="zh-CN"/>
        </w:rPr>
        <w:t>三亚市粮食和物资储备服务中心</w:t>
      </w:r>
      <w:r>
        <w:rPr>
          <w:rFonts w:hint="eastAsia" w:ascii="仿宋_GB2312" w:hAnsi="黑体" w:eastAsia="仿宋_GB2312"/>
          <w:sz w:val="32"/>
          <w:szCs w:val="32"/>
        </w:rPr>
        <w:t>（单位）</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82.86</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swiss"/>
    <w:pitch w:val="default"/>
    <w:sig w:usb0="A00002EF" w:usb1="4000004B" w:usb2="00000000" w:usb3="00000000" w:csb0="2000009F" w:csb1="00000000"/>
  </w:font>
  <w:font w:name="Calibri">
    <w:panose1 w:val="020F0502020204030204"/>
    <w:charset w:val="00"/>
    <w:family w:val="roman"/>
    <w:pitch w:val="default"/>
    <w:sig w:usb0="A00002EF" w:usb1="4000207B" w:usb2="00000000" w:usb3="00000000" w:csb0="200000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A00002EF" w:usb1="4000004B" w:usb2="00000000" w:usb3="00000000" w:csb0="2000009F" w:csb1="00000000"/>
  </w:font>
  <w:font w:name="Calibri">
    <w:panose1 w:val="020F0502020204030204"/>
    <w:charset w:val="00"/>
    <w:family w:val="modern"/>
    <w:pitch w:val="default"/>
    <w:sig w:usb0="A00002EF" w:usb1="4000207B" w:usb2="00000000" w:usb3="00000000" w:csb0="200000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4A429E"/>
    <w:rsid w:val="035D123B"/>
    <w:rsid w:val="04BC05BA"/>
    <w:rsid w:val="082B75C0"/>
    <w:rsid w:val="0B5F69B8"/>
    <w:rsid w:val="0DA8553B"/>
    <w:rsid w:val="10483A83"/>
    <w:rsid w:val="116837FE"/>
    <w:rsid w:val="12A75860"/>
    <w:rsid w:val="19D5DA33"/>
    <w:rsid w:val="1D046116"/>
    <w:rsid w:val="1FBF8E30"/>
    <w:rsid w:val="21067763"/>
    <w:rsid w:val="2228582A"/>
    <w:rsid w:val="22E67BF7"/>
    <w:rsid w:val="236B78FC"/>
    <w:rsid w:val="24A15824"/>
    <w:rsid w:val="25D5541A"/>
    <w:rsid w:val="2A550C1C"/>
    <w:rsid w:val="2BDF0DC0"/>
    <w:rsid w:val="2C8363BC"/>
    <w:rsid w:val="2D285C6B"/>
    <w:rsid w:val="2D95272C"/>
    <w:rsid w:val="2F0B7456"/>
    <w:rsid w:val="2FF7110D"/>
    <w:rsid w:val="2FFFCED3"/>
    <w:rsid w:val="302848AF"/>
    <w:rsid w:val="30B43979"/>
    <w:rsid w:val="34014959"/>
    <w:rsid w:val="34B1195E"/>
    <w:rsid w:val="3F7FB4B5"/>
    <w:rsid w:val="3FAD4D11"/>
    <w:rsid w:val="3FF442A5"/>
    <w:rsid w:val="402A436B"/>
    <w:rsid w:val="408342C6"/>
    <w:rsid w:val="408549CE"/>
    <w:rsid w:val="445E5BA7"/>
    <w:rsid w:val="47D3001C"/>
    <w:rsid w:val="4C1C43C4"/>
    <w:rsid w:val="4EAD554B"/>
    <w:rsid w:val="4FB80849"/>
    <w:rsid w:val="50FB4B8D"/>
    <w:rsid w:val="512A2FA6"/>
    <w:rsid w:val="543512AB"/>
    <w:rsid w:val="5DB7E539"/>
    <w:rsid w:val="60A973D1"/>
    <w:rsid w:val="60F1225C"/>
    <w:rsid w:val="619B5147"/>
    <w:rsid w:val="66A24B67"/>
    <w:rsid w:val="66DACB0B"/>
    <w:rsid w:val="697BF56A"/>
    <w:rsid w:val="6B6CE30F"/>
    <w:rsid w:val="6C2037CF"/>
    <w:rsid w:val="6C2D021D"/>
    <w:rsid w:val="6C7F1319"/>
    <w:rsid w:val="6D5C4FA3"/>
    <w:rsid w:val="6DDF74AC"/>
    <w:rsid w:val="6E50485E"/>
    <w:rsid w:val="6E8870EF"/>
    <w:rsid w:val="6FAF0D8D"/>
    <w:rsid w:val="6FCFCADC"/>
    <w:rsid w:val="6FFA4FE6"/>
    <w:rsid w:val="72006C30"/>
    <w:rsid w:val="74126D5A"/>
    <w:rsid w:val="75FB0B04"/>
    <w:rsid w:val="78112891"/>
    <w:rsid w:val="78C979A8"/>
    <w:rsid w:val="79F7B683"/>
    <w:rsid w:val="7CAF047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wang</cp:lastModifiedBy>
  <dcterms:modified xsi:type="dcterms:W3CDTF">2024-07-24T07:42:18Z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