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rPr>
          <w:rFonts w:ascii="仿宋_GB2312" w:hAnsi="仿宋_GB2312" w:eastAsia="仿宋_GB2312" w:cs="仿宋_GB2312"/>
          <w:sz w:val="32"/>
          <w:szCs w:val="32"/>
        </w:rPr>
      </w:pPr>
    </w:p>
    <w:p>
      <w:pPr>
        <w:jc w:val="center"/>
        <w:rPr>
          <w:rFonts w:ascii="宋体" w:hAnsi="宋体" w:eastAsia="宋体" w:cs="宋体"/>
          <w:sz w:val="52"/>
          <w:szCs w:val="52"/>
        </w:rPr>
      </w:pPr>
    </w:p>
    <w:p>
      <w:pPr>
        <w:jc w:val="center"/>
        <w:rPr>
          <w:rFonts w:ascii="宋体" w:hAnsi="宋体" w:eastAsia="宋体" w:cs="宋体"/>
          <w:sz w:val="52"/>
          <w:szCs w:val="52"/>
        </w:rPr>
      </w:pPr>
    </w:p>
    <w:p>
      <w:pPr>
        <w:jc w:val="center"/>
        <w:rPr>
          <w:rFonts w:ascii="宋体" w:hAnsi="宋体" w:eastAsia="宋体" w:cs="宋体"/>
          <w:sz w:val="52"/>
          <w:szCs w:val="52"/>
        </w:rPr>
      </w:pPr>
    </w:p>
    <w:p>
      <w:pPr>
        <w:jc w:val="center"/>
        <w:rPr>
          <w:rFonts w:ascii="宋体" w:hAnsi="宋体" w:eastAsia="宋体" w:cs="宋体"/>
          <w:sz w:val="52"/>
          <w:szCs w:val="52"/>
        </w:rPr>
      </w:pPr>
    </w:p>
    <w:p>
      <w:pPr>
        <w:jc w:val="center"/>
        <w:rPr>
          <w:rFonts w:ascii="宋体" w:hAnsi="宋体" w:eastAsia="宋体" w:cs="宋体"/>
          <w:sz w:val="52"/>
          <w:szCs w:val="52"/>
        </w:rPr>
      </w:pPr>
    </w:p>
    <w:p>
      <w:pPr>
        <w:jc w:val="center"/>
        <w:rPr>
          <w:rFonts w:hint="eastAsia" w:ascii="宋体" w:hAnsi="宋体" w:eastAsia="宋体" w:cs="宋体"/>
          <w:sz w:val="52"/>
          <w:szCs w:val="52"/>
        </w:rPr>
      </w:pPr>
      <w:r>
        <w:rPr>
          <w:rFonts w:hint="eastAsia" w:ascii="宋体" w:hAnsi="宋体" w:eastAsia="宋体" w:cs="宋体"/>
          <w:sz w:val="52"/>
          <w:szCs w:val="52"/>
        </w:rPr>
        <w:t>2023年三亚市工商业联合会</w:t>
      </w:r>
    </w:p>
    <w:p>
      <w:pPr>
        <w:jc w:val="center"/>
        <w:rPr>
          <w:rFonts w:ascii="宋体" w:hAnsi="宋体" w:eastAsia="宋体" w:cs="宋体"/>
          <w:sz w:val="52"/>
          <w:szCs w:val="52"/>
        </w:rPr>
      </w:pPr>
      <w:r>
        <w:rPr>
          <w:rFonts w:hint="eastAsia" w:ascii="宋体" w:hAnsi="宋体" w:eastAsia="宋体" w:cs="宋体"/>
          <w:sz w:val="52"/>
          <w:szCs w:val="52"/>
        </w:rPr>
        <w:t>部门预算</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jc w:val="center"/>
        <w:rPr>
          <w:rFonts w:ascii="黑体" w:hAnsi="黑体" w:eastAsia="黑体" w:cs="黑体"/>
          <w:sz w:val="52"/>
          <w:szCs w:val="52"/>
        </w:rPr>
      </w:pPr>
      <w:r>
        <w:rPr>
          <w:rFonts w:hint="eastAsia" w:ascii="黑体" w:hAnsi="黑体" w:eastAsia="黑体" w:cs="黑体"/>
          <w:sz w:val="52"/>
          <w:szCs w:val="52"/>
        </w:rPr>
        <w:t>目录</w:t>
      </w:r>
    </w:p>
    <w:p>
      <w:pPr>
        <w:rPr>
          <w:rFonts w:ascii="黑体" w:hAnsi="黑体" w:eastAsia="黑体" w:cs="黑体"/>
          <w:sz w:val="32"/>
          <w:szCs w:val="32"/>
        </w:rPr>
      </w:pPr>
      <w:r>
        <w:rPr>
          <w:rFonts w:hint="eastAsia" w:ascii="黑体" w:hAnsi="黑体" w:eastAsia="黑体" w:cs="黑体"/>
          <w:sz w:val="32"/>
          <w:szCs w:val="32"/>
        </w:rPr>
        <w:t>第一部分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联合会概况</w:t>
      </w:r>
      <w:bookmarkStart w:id="0" w:name="_GoBack"/>
      <w:bookmarkEnd w:id="0"/>
    </w:p>
    <w:p>
      <w:pPr>
        <w:rPr>
          <w:rFonts w:ascii="黑体" w:hAnsi="黑体" w:eastAsia="黑体" w:cs="黑体"/>
          <w:sz w:val="32"/>
          <w:szCs w:val="32"/>
        </w:rPr>
      </w:pPr>
      <w:r>
        <w:rPr>
          <w:rFonts w:hint="eastAsia" w:ascii="黑体" w:hAnsi="黑体" w:eastAsia="黑体" w:cs="黑体"/>
          <w:sz w:val="32"/>
          <w:szCs w:val="32"/>
        </w:rPr>
        <w:t>一、主要职能</w:t>
      </w:r>
    </w:p>
    <w:p>
      <w:pPr>
        <w:rPr>
          <w:rFonts w:ascii="黑体" w:hAnsi="黑体" w:eastAsia="黑体" w:cs="黑体"/>
          <w:sz w:val="32"/>
          <w:szCs w:val="32"/>
        </w:rPr>
      </w:pPr>
      <w:r>
        <w:rPr>
          <w:rFonts w:hint="eastAsia" w:ascii="黑体" w:hAnsi="黑体" w:eastAsia="黑体" w:cs="黑体"/>
          <w:sz w:val="32"/>
          <w:szCs w:val="32"/>
        </w:rPr>
        <w:t>二、部门预算单位构成</w:t>
      </w:r>
    </w:p>
    <w:p>
      <w:pPr>
        <w:rPr>
          <w:rFonts w:ascii="黑体" w:hAnsi="黑体" w:eastAsia="黑体" w:cs="黑体"/>
          <w:sz w:val="32"/>
          <w:szCs w:val="32"/>
        </w:rPr>
      </w:pPr>
      <w:r>
        <w:rPr>
          <w:rFonts w:hint="eastAsia" w:ascii="黑体" w:hAnsi="黑体" w:eastAsia="黑体" w:cs="黑体"/>
          <w:sz w:val="32"/>
          <w:szCs w:val="32"/>
        </w:rPr>
        <w:t>第二部分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联合会2023年部门预算表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七、部门收支总表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八、部门收入总表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九、部门支出总表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十、项目支出绩效信息表</w:t>
      </w:r>
    </w:p>
    <w:p>
      <w:pPr>
        <w:ind w:left="1600" w:hanging="1600" w:hangingChars="500"/>
        <w:rPr>
          <w:rFonts w:ascii="黑体" w:hAnsi="黑体" w:eastAsia="黑体" w:cs="黑体"/>
          <w:sz w:val="32"/>
          <w:szCs w:val="32"/>
        </w:rPr>
      </w:pPr>
      <w:r>
        <w:rPr>
          <w:rFonts w:hint="eastAsia" w:ascii="黑体" w:hAnsi="黑体" w:eastAsia="黑体" w:cs="黑体"/>
          <w:sz w:val="32"/>
          <w:szCs w:val="32"/>
        </w:rPr>
        <w:t>第三部分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联合会2023年部门预算情况说明</w:t>
      </w:r>
    </w:p>
    <w:p>
      <w:pPr>
        <w:rPr>
          <w:rFonts w:ascii="黑体" w:hAnsi="黑体" w:eastAsia="黑体" w:cs="黑体"/>
          <w:sz w:val="32"/>
          <w:szCs w:val="32"/>
        </w:rPr>
      </w:pPr>
      <w:r>
        <w:rPr>
          <w:rFonts w:hint="eastAsia" w:ascii="黑体" w:hAnsi="黑体" w:eastAsia="黑体" w:cs="黑体"/>
          <w:sz w:val="32"/>
          <w:szCs w:val="32"/>
        </w:rPr>
        <w:t>第四部分  名词解释</w:t>
      </w:r>
    </w:p>
    <w:p>
      <w:pPr>
        <w:rPr>
          <w:rFonts w:ascii="黑体" w:hAnsi="黑体" w:eastAsia="黑体" w:cs="黑体"/>
          <w:sz w:val="32"/>
          <w:szCs w:val="32"/>
        </w:rPr>
      </w:pPr>
    </w:p>
    <w:p>
      <w:pPr>
        <w:rPr>
          <w:rFonts w:ascii="黑体" w:hAnsi="黑体" w:eastAsia="黑体" w:cs="黑体"/>
          <w:sz w:val="32"/>
          <w:szCs w:val="32"/>
        </w:rPr>
      </w:pPr>
    </w:p>
    <w:p>
      <w:pPr>
        <w:rPr>
          <w:rFonts w:ascii="黑体" w:hAnsi="黑体" w:eastAsia="黑体" w:cs="黑体"/>
          <w:sz w:val="32"/>
          <w:szCs w:val="32"/>
        </w:rPr>
      </w:pPr>
    </w:p>
    <w:p>
      <w:pPr>
        <w:rPr>
          <w:rFonts w:ascii="黑体" w:hAnsi="黑体" w:eastAsia="黑体" w:cs="黑体"/>
          <w:sz w:val="32"/>
          <w:szCs w:val="32"/>
        </w:rPr>
      </w:pPr>
    </w:p>
    <w:p>
      <w:pPr>
        <w:jc w:val="center"/>
        <w:rPr>
          <w:rFonts w:ascii="黑体" w:hAnsi="黑体" w:eastAsia="黑体" w:cs="黑体"/>
          <w:sz w:val="32"/>
          <w:szCs w:val="32"/>
        </w:rPr>
      </w:pPr>
      <w:r>
        <w:rPr>
          <w:rFonts w:hint="eastAsia" w:ascii="黑体" w:hAnsi="黑体" w:eastAsia="黑体" w:cs="黑体"/>
          <w:sz w:val="32"/>
          <w:szCs w:val="32"/>
        </w:rPr>
        <w:t>第一部分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联合会概况</w:t>
      </w:r>
    </w:p>
    <w:p>
      <w:pPr>
        <w:jc w:val="center"/>
        <w:rPr>
          <w:rFonts w:ascii="黑体" w:hAnsi="黑体" w:eastAsia="黑体" w:cs="黑体"/>
          <w:sz w:val="32"/>
          <w:szCs w:val="32"/>
        </w:rPr>
      </w:pPr>
    </w:p>
    <w:p>
      <w:pPr>
        <w:rPr>
          <w:rFonts w:ascii="黑体" w:hAnsi="黑体" w:eastAsia="黑体" w:cs="黑体"/>
          <w:sz w:val="32"/>
          <w:szCs w:val="32"/>
        </w:rPr>
      </w:pPr>
      <w:r>
        <w:rPr>
          <w:rFonts w:hint="eastAsia" w:ascii="黑体" w:hAnsi="黑体" w:eastAsia="黑体" w:cs="黑体"/>
          <w:sz w:val="32"/>
          <w:szCs w:val="32"/>
        </w:rPr>
        <w:t>一、主要职能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三亚市工商联是党和政府联系非公有制经济人士的桥梁和纽带，是政府管理非公经济的助手。三亚市工商联工作的主要职能：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１、贯彻执行党的基本路线。积极引导教育非公经济组织人士爱国、敬业，认真学习，自觉遵守国家的政策法令，履行应尽的社会责任。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 、参政议政、民主监督，积极向市政府和有关部门及时反映非公有制经济人士意见、要求，积极维护会员的合法权益。</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 、为非公有制经济组织提供市场、技术、商品等信息，组织有关管理、法律、会计、融资等各种形式的咨询服务活动；参与有关仲裁工作。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 、经市政府委托和批准，举办和组织非公有制经济人士参加各种对内、对外展销会和交易会，组织会员到境内外考察，为会员办理有关证照。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5 、开展与全国工商联、企业家协会等全国性商会、企业协会组织及港澳台同胞、海外侨胞、华人中的商会、社会、工商界人士的联络工作，协调会员的关系，协助企业引进资金、人才和技术。</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6、开展非公经济组织党建设工作。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7、经有关部门批准举办各种专业、职业培训。</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8、办理市委、市政府授权的其他有关事宜。  </w:t>
      </w:r>
    </w:p>
    <w:p>
      <w:pPr>
        <w:rPr>
          <w:rFonts w:ascii="黑体" w:hAnsi="黑体" w:eastAsia="黑体" w:cs="黑体"/>
          <w:sz w:val="32"/>
          <w:szCs w:val="32"/>
        </w:rPr>
      </w:pPr>
      <w:r>
        <w:rPr>
          <w:rFonts w:hint="eastAsia" w:ascii="黑体" w:hAnsi="黑体" w:eastAsia="黑体" w:cs="黑体"/>
          <w:sz w:val="32"/>
          <w:szCs w:val="32"/>
        </w:rPr>
        <w:t>二、部门预算单位构成</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纳入</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部门预算编制范围的二级预算单位无。根据“三定”方案工作职责和《三亚市机构编制委员会关于加强“两新”组织党建工作调整相关机构编制设置的通知》，本部门内设机构有办公室、经济联络科，非公有制经济组织委员会、非公经济组织党群服务中心。</w:t>
      </w:r>
    </w:p>
    <w:p>
      <w:pPr>
        <w:rPr>
          <w:rFonts w:ascii="仿宋_GB2312" w:hAnsi="仿宋_GB2312" w:eastAsia="仿宋_GB2312" w:cs="仿宋_GB2312"/>
          <w:sz w:val="32"/>
          <w:szCs w:val="32"/>
        </w:rPr>
      </w:pPr>
    </w:p>
    <w:p>
      <w:pPr>
        <w:rPr>
          <w:rFonts w:ascii="黑体" w:hAnsi="黑体" w:eastAsia="黑体" w:cs="黑体"/>
          <w:sz w:val="32"/>
          <w:szCs w:val="32"/>
        </w:rPr>
      </w:pPr>
      <w:r>
        <w:rPr>
          <w:rFonts w:hint="eastAsia" w:ascii="黑体" w:hAnsi="黑体" w:eastAsia="黑体" w:cs="黑体"/>
          <w:sz w:val="32"/>
          <w:szCs w:val="32"/>
        </w:rPr>
        <w:t>第二部分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联合会2023年部门预算表</w:t>
      </w:r>
    </w:p>
    <w:p>
      <w:pPr>
        <w:rPr>
          <w:rFonts w:ascii="黑体" w:hAnsi="黑体" w:eastAsia="黑体" w:cs="黑体"/>
          <w:sz w:val="32"/>
          <w:szCs w:val="32"/>
        </w:rPr>
      </w:pPr>
    </w:p>
    <w:p>
      <w:pPr>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仿宋_GB2312" w:hAnsi="仿宋_GB2312" w:eastAsia="仿宋_GB2312" w:cs="仿宋_GB2312"/>
          <w:sz w:val="32"/>
          <w:szCs w:val="32"/>
        </w:rPr>
      </w:pPr>
    </w:p>
    <w:p>
      <w:pPr>
        <w:rPr>
          <w:rFonts w:ascii="黑体" w:hAnsi="黑体" w:eastAsia="黑体" w:cs="黑体"/>
          <w:sz w:val="32"/>
          <w:szCs w:val="32"/>
        </w:rPr>
      </w:pPr>
      <w:r>
        <w:rPr>
          <w:rFonts w:hint="eastAsia" w:ascii="黑体" w:hAnsi="黑体" w:eastAsia="黑体" w:cs="黑体"/>
          <w:sz w:val="32"/>
          <w:szCs w:val="32"/>
        </w:rPr>
        <w:t>第三部分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联合会2023年部门预算情况说明</w:t>
      </w:r>
    </w:p>
    <w:p>
      <w:pPr>
        <w:rPr>
          <w:rFonts w:ascii="仿宋_GB2312" w:hAnsi="仿宋_GB2312" w:eastAsia="仿宋_GB2312" w:cs="仿宋_GB2312"/>
          <w:sz w:val="32"/>
          <w:szCs w:val="32"/>
        </w:rPr>
      </w:pPr>
    </w:p>
    <w:p>
      <w:pPr>
        <w:rPr>
          <w:rFonts w:ascii="黑体" w:hAnsi="黑体" w:eastAsia="黑体" w:cs="黑体"/>
          <w:sz w:val="32"/>
          <w:szCs w:val="32"/>
        </w:rPr>
      </w:pPr>
      <w:r>
        <w:rPr>
          <w:rFonts w:hint="eastAsia" w:ascii="黑体" w:hAnsi="黑体" w:eastAsia="黑体" w:cs="黑体"/>
          <w:sz w:val="32"/>
          <w:szCs w:val="32"/>
        </w:rPr>
        <w:t>一、关于三亚市工商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联合会2023年财政拨款收支预算情况的总体说明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财政拨款收支总预算731万元。其中，收入总计731元，包括一般公共预算本年收入731万元、上年结转0万元，政府性基金预算本年收入0万元、上年结转0万元；支出总计731万元，包括一般公共服务支出507.11万元、社会保障和就业支出121.28万元、卫生健康支出61.55万元、住房保障支出41.05万元，结转下年0万元。</w:t>
      </w:r>
    </w:p>
    <w:p>
      <w:pPr>
        <w:rPr>
          <w:rFonts w:ascii="黑体" w:hAnsi="黑体" w:eastAsia="黑体" w:cs="黑体"/>
          <w:sz w:val="32"/>
          <w:szCs w:val="32"/>
        </w:rPr>
      </w:pPr>
      <w:r>
        <w:rPr>
          <w:rFonts w:hint="eastAsia" w:ascii="黑体" w:hAnsi="黑体" w:eastAsia="黑体" w:cs="黑体"/>
          <w:sz w:val="32"/>
          <w:szCs w:val="32"/>
        </w:rPr>
        <w:t>二、关于三亚市工商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联合会2023年一般公共预算当年拨款情况说明</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（一）一般公共预算当年规模变化情况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市工商联2023年一般公共预算当年拨款731万元，比上年预算数增加109.75万元，主要原因为，一是接收安置军转干部，人数增加1 人，工资预算数增加；二是历年职业年金记实，较大增加预算数；三是正常晋升工资标准调整，相应社会保障、医疗补助、公积金等基本支出预算增加。</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（二）一般公共预算当年拨款结构情况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一般公共服务（类）支出507.11万元，占69.4%；社会保障和就业支出121.28万元，占16.6%；卫生健康支出61.55万元，占8.4%；住房保障支出41.05万元，占5.6%。</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（三）一般公共预算当年拨款具体使用情况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一般公共服务（类）民主党派及工商联事务（款）行政运行（项）2023年预算数为399.11万元，比上年预算数增加21.09万元，主要是按组织任命安置军转干部人员1人，人员基本工资增加、各类津贴补贴、日常公用经费等支出相对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 一般公共服务（类）民主党派及工商联事务（款）一般行政管理事务（项）2023年预算数为108万元，比上年预算数增加2.5万元，主要是用于本部门及设备购置、网络维护、信息服务建设等专项项目支出略有增加。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 社会保障和就业支出（类）行政事业单位养老支出（款） 机关事业单位基本养老保险缴费支出（项）2023年预算数为46.82万元，比上年预算数增加11.41万元，主要是本年度新增军转干部1人和单位人员基本养老保险缴费基数按新政策调整测算，此预算额度相应增加。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4.社会保障和就业支出（类）行政事业单位养老支出（款） 机关事业单位职业年金缴费支出（项）2023年预算数为69.91万元，比上年预算数增加53.11万元，主要是根据政策本部门全体人员需记实历年职业年金，补交历年职业年金费。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5. 社会保障和就业支出（类）抚恤（款）其他优抚支出（项）2023年预算数为4.56万元，比上年预算数增加0.72万元，主要是遗属生活困难补助预算标准逐年调整增加，用于本部门2人遗属人员生活困难补助。</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6、卫生健康支出（类）行政事业单位医疗（款）行政单位医疗（项）2023年预算数为21.21万元，比上年预算数增加2.4万元，主要是在职人员增加1人，用于单位在职人员医疗保险、生育保险费等的支出相应增加。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7、 卫生健康支出（类）行政事业单位医疗（款）公务员医疗补助（项）2023年预算数为40.34万元，比上年预算数增加10.41万元，主要是在职人员增加1人，人员工资正常晋升、工资标准调整，用于单位在职及退休人员公务员医疗补贴的支出相应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8. 住房保障支出（类）住房改革支出（款）住房公积金（项）2023年预算数为41.05万元，比上年预算数增加11.61万元，主要一是人员增加1人；二是按政策纳入住房公积金基数增大，用于在职人员住房公积金支出相应增加。</w:t>
      </w:r>
    </w:p>
    <w:p>
      <w:pPr>
        <w:rPr>
          <w:rFonts w:ascii="黑体" w:hAnsi="黑体" w:eastAsia="黑体" w:cs="黑体"/>
          <w:sz w:val="32"/>
          <w:szCs w:val="32"/>
        </w:rPr>
      </w:pPr>
      <w:r>
        <w:rPr>
          <w:rFonts w:hint="eastAsia" w:ascii="黑体" w:hAnsi="黑体" w:eastAsia="黑体" w:cs="黑体"/>
          <w:sz w:val="32"/>
          <w:szCs w:val="32"/>
        </w:rPr>
        <w:t>三、关于三亚市工商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联合会2023年一般公共预算基本支出情况说明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一般公共预算基本支出为623万元，其中：人员经费583.41万元，主要包括：基本工资、津贴补贴、奖金、绩效工资、机关事业单位基本养老保险缴费、职业年金缴费、职工基本医疗保险缴费、公务员医疗补助缴费、其他社会保障缴费、住房公积金、医疗费、其他工资福利支出、邮电费、其他交通费用、生活补助、奖励金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公用经费39.59万元，主要包括：其他社会保障缴费、办公费、会议费、培训费、工会经费、福利费、公务用车运行维护费、其他商品和服务支出、生活补助、其他对个人和家庭的补助等。</w:t>
      </w:r>
    </w:p>
    <w:p>
      <w:pPr>
        <w:rPr>
          <w:rFonts w:ascii="黑体" w:hAnsi="黑体" w:eastAsia="黑体" w:cs="黑体"/>
          <w:sz w:val="32"/>
          <w:szCs w:val="32"/>
        </w:rPr>
      </w:pPr>
      <w:r>
        <w:rPr>
          <w:rFonts w:hint="eastAsia" w:ascii="黑体" w:hAnsi="黑体" w:eastAsia="黑体" w:cs="黑体"/>
          <w:sz w:val="32"/>
          <w:szCs w:val="32"/>
        </w:rPr>
        <w:t>四、三亚市工商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联合会2023年“三公”经费预算情况说明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市工商联2023年一般公共预算“三公”经费预算数为2.16万元，其中：</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因公出国（境）经费0万元，与上年预算持平。根据有关部门（如外事部门等）安排的2023年出国计划，拟安排出国（境）组0次，无出国计划，出国（境）0人。出国（境）团组主要包括：0团组，目的地为0，人数为0人，天数为0天，主要无出国任务。公务用车购置及运行费1.81万元（其中，公务用车购置费0万元，公务用车运行费1.81万元），与上年预算持平。持平的主要原因包括：严格公务用车的运行的管理，加强用车制度等，运行维护费支出按标准定额预算，公务车保有量1辆，计划购置0辆；公务接待费0.35万元，与上年预算持平，主要原因是：严格遵守“八项规定”，厉行勤俭节约，按要求严格压缩控制预算数，各级各项交流、互访、调研等接待活动相应减少，计划接待4批25人。</w:t>
      </w:r>
    </w:p>
    <w:p>
      <w:pPr>
        <w:rPr>
          <w:rFonts w:ascii="Times New Roman" w:hAnsi="Times New Roman" w:eastAsia="仿宋_GB2312" w:cs="Times New Roman"/>
          <w:sz w:val="32"/>
          <w:shd w:val="clear" w:color="auto" w:fill="FFFFFF"/>
        </w:rPr>
      </w:pPr>
      <w:r>
        <w:rPr>
          <w:rFonts w:hint="eastAsia" w:ascii="仿宋_GB2312" w:hAnsi="仿宋_GB2312" w:eastAsia="仿宋_GB2312" w:cs="仿宋_GB2312"/>
          <w:sz w:val="32"/>
          <w:szCs w:val="32"/>
        </w:rPr>
        <w:t xml:space="preserve">    （二）</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市工商联2023年政府性基金预算“三公”经费预算数为0万元，</w:t>
      </w:r>
      <w:r>
        <w:rPr>
          <w:rFonts w:hint="eastAsia" w:ascii="仿宋_GB2312" w:hAnsi="仿宋_GB2312" w:eastAsia="仿宋_GB2312" w:cs="仿宋_GB2312"/>
          <w:sz w:val="32"/>
          <w:szCs w:val="32"/>
          <w:lang w:eastAsia="zh-CN"/>
        </w:rPr>
        <w:t>其中：</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市委市政府和</w:t>
      </w:r>
      <w:r>
        <w:rPr>
          <w:rFonts w:ascii="Times New Roman" w:hAnsi="Times New Roman" w:eastAsia="仿宋_GB2312" w:cs="Times New Roman"/>
          <w:sz w:val="32"/>
          <w:shd w:val="clear" w:color="auto" w:fill="FFFFFF"/>
        </w:rPr>
        <w:t>外事部门</w:t>
      </w:r>
      <w:r>
        <w:rPr>
          <w:rFonts w:hint="eastAsia" w:ascii="Times New Roman" w:hAnsi="Times New Roman" w:eastAsia="仿宋_GB2312" w:cs="Times New Roman"/>
          <w:sz w:val="32"/>
          <w:shd w:val="clear" w:color="auto" w:fill="FFFFFF"/>
          <w:lang w:eastAsia="zh-CN"/>
        </w:rPr>
        <w:t>等</w:t>
      </w:r>
      <w:r>
        <w:rPr>
          <w:rFonts w:ascii="Times New Roman" w:hAnsi="Times New Roman" w:eastAsia="仿宋_GB2312" w:cs="Times New Roman"/>
          <w:sz w:val="32"/>
          <w:shd w:val="clear" w:color="auto" w:fill="FFFFFF"/>
        </w:rPr>
        <w:t>安排的</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任务</w:t>
      </w:r>
      <w:r>
        <w:rPr>
          <w:rFonts w:hint="eastAsia" w:ascii="Times New Roman" w:hAnsi="Times New Roman" w:eastAsia="仿宋_GB2312" w:cs="Times New Roman"/>
          <w:sz w:val="32"/>
          <w:shd w:val="clear" w:color="auto" w:fill="FFFFFF"/>
          <w:lang w:eastAsia="zh-CN"/>
        </w:rPr>
        <w:t>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是无此预算</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hint="eastAsia" w:ascii="仿宋_GB2312" w:hAnsi="仿宋_GB2312" w:eastAsia="仿宋_GB2312" w:cs="仿宋_GB2312"/>
          <w:sz w:val="32"/>
          <w:szCs w:val="32"/>
        </w:rPr>
      </w:pPr>
    </w:p>
    <w:p>
      <w:pPr>
        <w:ind w:left="640" w:hanging="640" w:hangingChars="200"/>
        <w:rPr>
          <w:rFonts w:ascii="黑体" w:hAnsi="黑体" w:eastAsia="黑体" w:cs="黑体"/>
          <w:sz w:val="32"/>
          <w:szCs w:val="32"/>
        </w:rPr>
      </w:pPr>
      <w:r>
        <w:rPr>
          <w:rFonts w:hint="eastAsia" w:ascii="黑体" w:hAnsi="黑体" w:eastAsia="黑体" w:cs="黑体"/>
          <w:sz w:val="32"/>
          <w:szCs w:val="32"/>
        </w:rPr>
        <w:t>五、关于三亚市工商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联合会2023年政府性基金预算当年拨款情况说明</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（一）政府性基金预算当年规模变化情况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市工商联2023年政府性基金预算当年拨款0万元，与上年预算数持平，无政府性基金预算。</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（二）政府性基金预算当年拨款结构情况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科学技术支出（类）支出0万元，占0%；文化体育与传媒支出（类）支出0万元，占0%；社会保障和就业支出（类）支出0万元，占0%；节能环保（类）支出0万元，占0%。</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（三）政府性基金预算当年拨款具体使用情况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 科学技术支出（类）核电站乏燃料处理处置基金支出（款）乏燃料运输（项）2023年预算数为0万元，与上年预算数持平0万元，无政府性基金预算。</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 科学技术支出（类）核电站乏燃料处理处置基金支出（款）乏燃料离堆贮存（项）2023年预算数为0万元，与上年预算数持平0万元，无政府性基金预算。</w:t>
      </w:r>
    </w:p>
    <w:p>
      <w:pPr>
        <w:rPr>
          <w:rFonts w:ascii="黑体" w:hAnsi="黑体" w:eastAsia="黑体" w:cs="黑体"/>
          <w:sz w:val="32"/>
          <w:szCs w:val="32"/>
        </w:rPr>
      </w:pPr>
      <w:r>
        <w:rPr>
          <w:rFonts w:hint="eastAsia" w:ascii="黑体" w:hAnsi="黑体" w:eastAsia="黑体" w:cs="黑体"/>
          <w:sz w:val="32"/>
          <w:szCs w:val="32"/>
        </w:rPr>
        <w:t>六、关于三亚市工商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联合会2023年收支预算情况的总体说明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按照综合预算原则，三亚市工商业联合会所有收入和支出均纳入部门预算管理。收入包括：一般公共预算收入；支出包括：一般公共服务支出、社会保障和就业支出、卫生健康支出、住房保障支出。三亚市工商业联合会2023年收支总预算731万元。    </w:t>
      </w:r>
    </w:p>
    <w:p>
      <w:pPr>
        <w:rPr>
          <w:rFonts w:ascii="黑体" w:hAnsi="黑体" w:eastAsia="黑体" w:cs="黑体"/>
          <w:sz w:val="32"/>
          <w:szCs w:val="32"/>
        </w:rPr>
      </w:pPr>
      <w:r>
        <w:rPr>
          <w:rFonts w:hint="eastAsia" w:ascii="黑体" w:hAnsi="黑体" w:eastAsia="黑体" w:cs="黑体"/>
          <w:sz w:val="32"/>
          <w:szCs w:val="32"/>
        </w:rPr>
        <w:t>七、关于三亚市工商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联合会2023年收入预算情况说明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 xml:space="preserve">市工商联2023年收入预算731万元，其中：上年结转0万元，占0%；经费拨款收入731万元，占100%；政府性基金收入0万元，占0%；专项收入0万元，占0%。比上年预算数增加109.75万元，主要是按照市委市政府有关规定本年度新增安置军转干部1人，在职人员记实交纳历年职业年金费，“五险一金”交费基数调整等，造成人员基本支出预算总数相应增加。 </w:t>
      </w:r>
    </w:p>
    <w:p>
      <w:pPr>
        <w:rPr>
          <w:rFonts w:ascii="黑体" w:hAnsi="黑体" w:eastAsia="黑体" w:cs="黑体"/>
          <w:sz w:val="32"/>
          <w:szCs w:val="32"/>
        </w:rPr>
      </w:pPr>
      <w:r>
        <w:rPr>
          <w:rFonts w:hint="eastAsia" w:ascii="黑体" w:hAnsi="黑体" w:eastAsia="黑体" w:cs="黑体"/>
          <w:sz w:val="32"/>
          <w:szCs w:val="32"/>
        </w:rPr>
        <w:t>八、关于三亚市工商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联合会2023年支出预算情况说明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支出预算731万元，其中：基本支出623万元，占85.2%；项目支出108万元，占14.8%。比上年预算数减少1万元，主要是受疫情影响，项目支出进度过缓，按照有关政策规定压缩减少项目预算比例。但随着本部门人员的增加，基本支出预算是相应增加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九、其他重要事项的情况说明</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（一）机关运行经费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2023年</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市工商联本级的机关运行经费预算39.59万元。</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（二）政府采购情况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2023年</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市工商联本级及下属各预算单位政府采购预算总额1.3万元，其中：政府采购货物预算1.3万元，政府采购工程预算0万元，政府采购服务预算0万元。</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（三）国有资产占有使用情况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截至2022年12月31日，</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市工商联本级及下属各预算单位共有车辆1辆，其中，领导干部用车0辆，机要通信应急用车1辆、一般执法执勤用车0辆、特种专业技术用车0辆、其他用车0辆。单位价值100万元以上设备0台（套）。</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（四）绩效目标设置情况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2023年</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市工商联15个项目实行绩效目标管理，涉及一般公共预算731万元、政府性基金0万元。</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黑体" w:hAnsi="黑体" w:eastAsia="黑体" w:cs="黑体"/>
          <w:sz w:val="32"/>
          <w:szCs w:val="32"/>
        </w:rPr>
      </w:pPr>
      <w:r>
        <w:rPr>
          <w:rFonts w:hint="eastAsia" w:ascii="黑体" w:hAnsi="黑体" w:eastAsia="黑体" w:cs="黑体"/>
          <w:sz w:val="32"/>
          <w:szCs w:val="32"/>
        </w:rPr>
        <w:t>第四部分  名词解释</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一、财政拨款收入：指本级财政当年拨付的资金。</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二、事业收入：指事业单位开展专业业务活动及辅助活动取得的收入。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三、经营收入：指事业单位在专业业务活动及其辅助活动之外开展非独立核算经营活动取得的收入。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四、其他收入：指除上述“财政拨款收入”“事业收入”“经营收入”等以外的收入。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五、年初结转和结余：指以前年度尚未完成、结转到本年按有关规定继续使用的资金。</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六、基本支出：指行政事业单位用于为保障其机构正常运转、完成日常工作任务而发生的人员支出和公用支出。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七、工资福利支出：反映单位开支的在职职工和编制外长期聘用人员的各类劳动报酬，以及为上述人员缴纳的各项社会保险费等。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八、对个人和家庭的补助支出：反映政府用于对个人和家庭的补助支出，包括离休费、退休费、退职（役）费、抚恤金、生活补助、救济费、医疗费补助、助学金、独生子女奖励金、个人农业生产补贴、代缴社会保险费、其他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十、项目支出：指各部门、各单位为完成其特定的工作任务和事业发展目标所发生的支出。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A2E45BB"/>
    <w:rsid w:val="00622C88"/>
    <w:rsid w:val="00F52BAF"/>
    <w:rsid w:val="031C2553"/>
    <w:rsid w:val="0371289F"/>
    <w:rsid w:val="064E6204"/>
    <w:rsid w:val="0A2E45BB"/>
    <w:rsid w:val="0F931DEF"/>
    <w:rsid w:val="138A175B"/>
    <w:rsid w:val="1D5E3A3C"/>
    <w:rsid w:val="252C2672"/>
    <w:rsid w:val="37EB70CB"/>
    <w:rsid w:val="45012D7B"/>
    <w:rsid w:val="4DD74506"/>
    <w:rsid w:val="51B01DB1"/>
    <w:rsid w:val="52695CE7"/>
    <w:rsid w:val="58E95BA9"/>
    <w:rsid w:val="59AC7302"/>
    <w:rsid w:val="63F20007"/>
    <w:rsid w:val="65406674"/>
    <w:rsid w:val="6E5E3879"/>
    <w:rsid w:val="75BE5F9B"/>
    <w:rsid w:val="79FDFEA1"/>
    <w:rsid w:val="CFFF122F"/>
    <w:rsid w:val="FE7D1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823</Words>
  <Characters>4696</Characters>
  <Lines>39</Lines>
  <Paragraphs>11</Paragraphs>
  <TotalTime>9</TotalTime>
  <ScaleCrop>false</ScaleCrop>
  <LinksUpToDate>false</LinksUpToDate>
  <CharactersWithSpaces>5508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2023-02-09T08:51:00Z</dcterms:created>
  <dc:creator>hgj</dc:creator>
  <cp:lastModifiedBy>user</cp:lastModifiedBy>
  <dcterms:modified xsi:type="dcterms:W3CDTF">2024-07-22T17:24:30Z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9915DC0776A64239BC6C9CD16B23E99C_13</vt:lpwstr>
  </property>
</Properties>
</file>