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三亚市育才那受小学单位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三亚市育才那受小学单位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三亚市育才那受小学单位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三亚市育才那受小学单位</w:t>
      </w:r>
      <w:r>
        <w:rPr>
          <w:rFonts w:hint="eastAsia" w:ascii="黑体" w:hAnsi="黑体" w:eastAsia="黑体" w:cs="黑体"/>
          <w:sz w:val="32"/>
          <w:szCs w:val="32"/>
          <w:lang w:val="en-US" w:eastAsia="zh-CN"/>
        </w:rPr>
        <w:t>2023</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三亚市育才那受小学单位</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6"/>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三亚市育才</w:t>
      </w:r>
      <w:r>
        <w:rPr>
          <w:rFonts w:hint="eastAsia" w:ascii="仿宋_GB2312" w:hAnsi="宋体" w:eastAsia="仿宋_GB2312" w:cs="仿宋_GB2312"/>
          <w:kern w:val="0"/>
          <w:sz w:val="32"/>
          <w:szCs w:val="32"/>
          <w:lang w:eastAsia="zh-CN"/>
        </w:rPr>
        <w:t>那受小学</w:t>
      </w:r>
      <w:r>
        <w:rPr>
          <w:rFonts w:hint="default" w:ascii="仿宋_GB2312" w:hAnsi="宋体" w:eastAsia="仿宋_GB2312" w:cs="仿宋_GB2312"/>
          <w:kern w:val="0"/>
          <w:sz w:val="32"/>
          <w:szCs w:val="32"/>
        </w:rPr>
        <w:t>由三亚市教育局举办，经登记批准，属公益一类事业单位。学校为全日制六年制公办小学，主要职责是：</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（一）贯彻执行党和国家的教育方针、政策、法规。</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（二）研究拟定全校教育发展战略法，研究拟定学校发展规划和年度计划，组织实施教育体制和办学体制改革。</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（三）管理和指导学校基础教育工作；确保普及九年义务教育工作成果。</w:t>
      </w:r>
    </w:p>
    <w:p>
      <w:pPr>
        <w:keepNext w:val="0"/>
        <w:keepLines w:val="0"/>
        <w:widowControl/>
        <w:suppressLineNumbers w:val="0"/>
        <w:ind w:left="0" w:firstLine="640" w:firstLineChars="200"/>
        <w:rPr>
          <w:rFonts w:hint="default" w:ascii="仿宋_GB2312" w:hAnsi="宋体" w:eastAsia="仿宋_GB2312" w:cs="宋体"/>
          <w:kern w:val="0"/>
          <w:sz w:val="32"/>
          <w:szCs w:val="32"/>
        </w:rPr>
      </w:pPr>
      <w:r>
        <w:rPr>
          <w:rFonts w:hint="default" w:ascii="仿宋_GB2312" w:hAnsi="宋体" w:eastAsia="仿宋_GB2312" w:cs="仿宋_GB2312"/>
          <w:kern w:val="0"/>
          <w:sz w:val="32"/>
          <w:szCs w:val="32"/>
        </w:rPr>
        <w:t>（四）管理学校教育经费；管理学校教育经费，执行财务管理制度。</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000000"/>
          <w:sz w:val="32"/>
          <w:szCs w:val="32"/>
          <w:highlight w:val="none"/>
        </w:rPr>
      </w:pPr>
      <w:r>
        <w:rPr>
          <w:rFonts w:hint="default" w:ascii="仿宋_GB2312" w:hAnsi="宋体" w:eastAsia="仿宋_GB2312" w:cs="仿宋_GB2312"/>
          <w:kern w:val="0"/>
          <w:sz w:val="32"/>
          <w:szCs w:val="32"/>
        </w:rPr>
        <w:t>（五）负责和指导学校教职工的思想政治工作，规划学校品德教育、体育卫生教育、艺术教育和国防教育工作；负责做好社会治安综合治理及安全保卫工作。</w:t>
      </w:r>
    </w:p>
    <w:p>
      <w:pPr>
        <w:pStyle w:val="6"/>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机构设置</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三亚市育才那受小学设3个内设机构，事业编制8名，设校长1名，部门主任3名。</w:t>
      </w:r>
    </w:p>
    <w:p>
      <w:pPr>
        <w:ind w:firstLine="640" w:firstLineChars="200"/>
        <w:rPr>
          <w:rFonts w:hint="eastAsia" w:ascii="黑体" w:hAnsi="黑体" w:eastAsia="黑体"/>
          <w:color w:val="auto"/>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三亚市育才那受小学单位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hint="eastAsia" w:ascii="黑体" w:hAnsi="黑体" w:eastAsia="黑体"/>
          <w:b/>
          <w:sz w:val="32"/>
          <w:szCs w:val="32"/>
        </w:rPr>
      </w:pPr>
      <w:r>
        <w:rPr>
          <w:rFonts w:hint="eastAsia" w:ascii="黑体" w:hAnsi="黑体" w:eastAsia="黑体"/>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三亚市育才那受小学单位</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三亚市育才那受小学单位</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default" w:ascii="仿宋_GB2312" w:hAnsi="黑体" w:eastAsia="仿宋_GB2312" w:cs="仿宋_GB2312"/>
          <w:sz w:val="32"/>
          <w:szCs w:val="32"/>
          <w:lang w:val="en-US"/>
        </w:rPr>
        <w:t>326.99</w:t>
      </w:r>
      <w:r>
        <w:rPr>
          <w:rFonts w:hint="eastAsia" w:ascii="仿宋_GB2312" w:hAnsi="黑体" w:eastAsia="仿宋_GB2312"/>
          <w:sz w:val="32"/>
          <w:szCs w:val="32"/>
        </w:rPr>
        <w:t>万元。其中，收入总计</w:t>
      </w:r>
      <w:r>
        <w:rPr>
          <w:rFonts w:hint="default" w:ascii="仿宋_GB2312" w:hAnsi="黑体" w:eastAsia="仿宋_GB2312" w:cs="仿宋_GB2312"/>
          <w:sz w:val="32"/>
          <w:szCs w:val="32"/>
          <w:lang w:val="en-US"/>
        </w:rPr>
        <w:t>326.99</w:t>
      </w:r>
      <w:r>
        <w:rPr>
          <w:rFonts w:hint="eastAsia" w:ascii="仿宋_GB2312" w:hAnsi="黑体" w:eastAsia="仿宋_GB2312"/>
          <w:sz w:val="32"/>
          <w:szCs w:val="32"/>
        </w:rPr>
        <w:t>万元，包括一般公共预算本年收入</w:t>
      </w:r>
      <w:r>
        <w:rPr>
          <w:rFonts w:hint="default" w:ascii="仿宋_GB2312" w:hAnsi="黑体" w:eastAsia="仿宋_GB2312" w:cs="仿宋_GB2312"/>
          <w:sz w:val="32"/>
          <w:szCs w:val="32"/>
          <w:lang w:val="en-US"/>
        </w:rPr>
        <w:t>326.99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default" w:ascii="仿宋_GB2312" w:hAnsi="黑体" w:eastAsia="仿宋_GB2312" w:cs="仿宋_GB2312"/>
          <w:sz w:val="32"/>
          <w:szCs w:val="32"/>
          <w:lang w:val="en-US"/>
        </w:rPr>
        <w:t>326.99</w:t>
      </w:r>
      <w:r>
        <w:rPr>
          <w:rFonts w:hint="eastAsia" w:ascii="仿宋_GB2312" w:hAnsi="黑体" w:eastAsia="仿宋_GB2312"/>
          <w:sz w:val="32"/>
          <w:szCs w:val="32"/>
        </w:rPr>
        <w:t>万元，包括教育支出</w:t>
      </w:r>
      <w:r>
        <w:rPr>
          <w:rFonts w:hint="default" w:ascii="仿宋_GB2312" w:hAnsi="黑体" w:eastAsia="仿宋_GB2312" w:cs="仿宋_GB2312"/>
          <w:sz w:val="32"/>
          <w:szCs w:val="32"/>
          <w:lang w:val="en-US"/>
        </w:rPr>
        <w:t>220.55</w:t>
      </w:r>
      <w:r>
        <w:rPr>
          <w:rFonts w:hint="eastAsia" w:ascii="仿宋_GB2312" w:hAnsi="黑体" w:eastAsia="仿宋_GB2312"/>
          <w:sz w:val="32"/>
          <w:szCs w:val="32"/>
        </w:rPr>
        <w:t>万元、社会保障和就业支出</w:t>
      </w:r>
      <w:r>
        <w:rPr>
          <w:rFonts w:hint="default" w:ascii="仿宋_GB2312" w:hAnsi="黑体" w:eastAsia="仿宋_GB2312" w:cs="仿宋_GB2312"/>
          <w:sz w:val="32"/>
          <w:szCs w:val="32"/>
          <w:lang w:val="en-US"/>
        </w:rPr>
        <w:t>49.28</w:t>
      </w:r>
      <w:r>
        <w:rPr>
          <w:rFonts w:hint="eastAsia" w:ascii="仿宋_GB2312" w:hAnsi="黑体" w:eastAsia="仿宋_GB2312"/>
          <w:sz w:val="32"/>
          <w:szCs w:val="32"/>
        </w:rPr>
        <w:t>万元、卫生健康支出</w:t>
      </w:r>
      <w:r>
        <w:rPr>
          <w:rFonts w:hint="default" w:ascii="仿宋_GB2312" w:hAnsi="黑体" w:eastAsia="仿宋_GB2312" w:cs="仿宋_GB2312"/>
          <w:sz w:val="32"/>
          <w:szCs w:val="32"/>
          <w:lang w:val="en-US"/>
        </w:rPr>
        <w:t>37.63</w:t>
      </w:r>
      <w:r>
        <w:rPr>
          <w:rFonts w:hint="eastAsia" w:ascii="仿宋_GB2312" w:hAnsi="黑体" w:eastAsia="仿宋_GB2312"/>
          <w:sz w:val="32"/>
          <w:szCs w:val="32"/>
        </w:rPr>
        <w:t>万元、住房保障支出19.53</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三亚市育才那受小学单位</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default" w:ascii="仿宋_GB2312" w:hAnsi="黑体" w:eastAsia="仿宋_GB2312" w:cs="仿宋_GB2312"/>
          <w:sz w:val="32"/>
          <w:szCs w:val="32"/>
          <w:lang w:val="en-US"/>
        </w:rPr>
        <w:t>326.99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94.42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（类）支出</w:t>
      </w:r>
      <w:r>
        <w:rPr>
          <w:rFonts w:hint="default" w:ascii="仿宋_GB2312" w:hAnsi="黑体" w:eastAsia="仿宋_GB2312" w:cs="仿宋_GB2312"/>
          <w:sz w:val="32"/>
          <w:szCs w:val="32"/>
          <w:lang w:val="en-US"/>
        </w:rPr>
        <w:t>220.55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67.45</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49.28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15.07</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37.63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11.51</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default" w:ascii="仿宋_GB2312" w:hAnsi="黑体" w:eastAsia="仿宋_GB2312" w:cs="仿宋_GB2312"/>
          <w:sz w:val="32"/>
          <w:szCs w:val="32"/>
          <w:lang w:val="en-US"/>
        </w:rPr>
        <w:t>19.53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5.97</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（类）普通教育（款）小学教育（项）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220.55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56.22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社会保障和就业（类）行政事业单位养老（款）机关事业单位基本养老保险缴费（项）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default" w:ascii="仿宋_GB2312" w:hAnsi="黑体" w:eastAsia="仿宋_GB2312" w:cs="仿宋_GB2312"/>
          <w:sz w:val="32"/>
          <w:szCs w:val="32"/>
          <w:lang w:val="en-US"/>
        </w:rPr>
        <w:t>16.00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养老基数增加，相应单位部分养老保险费也增加。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社会保障和就业（类）行政事业单位养老（款）机关事业单位职业年金缴费（项）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主要是上年</w:t>
      </w:r>
      <w:r>
        <w:rPr>
          <w:rFonts w:hint="eastAsia" w:ascii="仿宋_GB2312" w:hAnsi="黑体" w:eastAsia="仿宋_GB2312" w:cs="仿宋_GB2312"/>
          <w:sz w:val="32"/>
          <w:szCs w:val="32"/>
        </w:rPr>
        <w:t>机关事业单位职业年金</w:t>
      </w:r>
      <w:r>
        <w:rPr>
          <w:rFonts w:hint="eastAsia" w:ascii="仿宋_GB2312" w:hAnsi="黑体" w:eastAsia="仿宋_GB2312" w:cs="仿宋_GB2312"/>
          <w:sz w:val="32"/>
          <w:szCs w:val="32"/>
          <w:lang w:eastAsia="zh-CN"/>
        </w:rPr>
        <w:t>未纳入预算。</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社会保障和就业（类）抚恤（款）其他优抚（项）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2.28</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主要是本年度遗嘱人员补助经费纳入预算</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0.47</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主要是医疗保险基数增加，相应单位部分医疗保险费也增加。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8.09</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主要是退休人员减少，相应公补预算也相应减少。</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9.49</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主要是住房公积金基数增加，相应的单位部分公积金也增加。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三亚市育才那受小学单位</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286.85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276.33</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、绩效工资、编外人员薪资、遗嘱补助</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10.52</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工会费</w:t>
      </w:r>
      <w:r>
        <w:rPr>
          <w:rFonts w:hint="eastAsia" w:ascii="仿宋_GB2312" w:hAnsi="黑体" w:eastAsia="仿宋_GB2312"/>
          <w:sz w:val="32"/>
          <w:szCs w:val="32"/>
        </w:rPr>
        <w:t>、水费、电费</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三亚市育才那受小学单位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三亚市育才那受小学单位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上年与本年均无政府基金预算</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上年与本年均无该项预算</w:t>
      </w:r>
      <w:r>
        <w:rPr>
          <w:rFonts w:hint="eastAsia" w:ascii="仿宋_GB2312" w:hAnsi="黑体" w:eastAsia="仿宋_GB2312"/>
          <w:sz w:val="32"/>
          <w:szCs w:val="32"/>
        </w:rPr>
        <w:t>。</w:t>
      </w:r>
    </w:p>
    <w:p>
      <w:pPr>
        <w:ind w:firstLine="640"/>
        <w:jc w:val="left"/>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上年与本年均无该项预算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三亚市育才那受小学单位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rPr>
        <w:t>所有收入和支出均纳入部门预算管理。收入包括：一般公共预算资金</w:t>
      </w:r>
      <w:r>
        <w:rPr>
          <w:rFonts w:hint="eastAsia" w:ascii="仿宋_GB2312" w:hAnsi="黑体" w:eastAsia="仿宋_GB2312"/>
          <w:sz w:val="32"/>
          <w:szCs w:val="32"/>
        </w:rPr>
        <w:t>；支出包括：教育支出、社会保障和就业支出、卫生健康支出、住房保障支出。</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455.8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三亚市育才那受小学单位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年收入预算326.99万元，其中：上年结转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326.99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94.42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三亚市育才那受小学单位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326.99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286.85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87.72</w:t>
      </w:r>
      <w:r>
        <w:rPr>
          <w:rFonts w:hint="eastAsia" w:ascii="仿宋_GB2312" w:hAnsi="黑体" w:eastAsia="仿宋_GB2312"/>
          <w:sz w:val="32"/>
          <w:szCs w:val="32"/>
        </w:rPr>
        <w:t>%；项目支出40.14万元，占</w:t>
      </w:r>
      <w:r>
        <w:rPr>
          <w:rFonts w:hint="eastAsia" w:ascii="仿宋_GB2312" w:hAnsi="黑体" w:eastAsia="仿宋_GB2312" w:cs="仿宋_GB2312"/>
          <w:sz w:val="32"/>
          <w:szCs w:val="32"/>
          <w:lang w:val="en-US" w:eastAsia="zh-CN"/>
        </w:rPr>
        <w:t>12.28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94.42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在人员薪资增长，基本工资、绩效工资及津贴补贴等预算也增加指标，另上年度部分因市财政局紧急收回的经费，均预算在本年度。</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一</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三亚市育才那受小学</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三亚市育才那受小学单位</w:t>
      </w:r>
      <w:r>
        <w:rPr>
          <w:rFonts w:hint="eastAsia" w:ascii="仿宋_GB2312" w:hAnsi="黑体" w:eastAsia="仿宋_GB2312" w:cs="仿宋_GB2312"/>
          <w:sz w:val="32"/>
          <w:szCs w:val="32"/>
        </w:rPr>
        <w:t>本级预算单位共有车辆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三</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三亚市育才那受小学单位</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326.99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ˎ̥">
    <w:altName w:val="仿宋_GB2312"/>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A191937"/>
    <w:multiLevelType w:val="singleLevel"/>
    <w:tmpl w:val="6A191937"/>
    <w:lvl w:ilvl="0" w:tentative="0">
      <w:start w:val="2"/>
      <w:numFmt w:val="chineseCounting"/>
      <w:suff w:val="nothing"/>
      <w:lvlText w:val="（%1）"/>
      <w:lvlJc w:val="left"/>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04083691"/>
    <w:rsid w:val="09DB15DA"/>
    <w:rsid w:val="13B871AB"/>
    <w:rsid w:val="19225B92"/>
    <w:rsid w:val="19D5DA33"/>
    <w:rsid w:val="1FBF8E30"/>
    <w:rsid w:val="1FCC08FE"/>
    <w:rsid w:val="2BDF0DC0"/>
    <w:rsid w:val="2FF7110D"/>
    <w:rsid w:val="2FFFCED3"/>
    <w:rsid w:val="321C75CA"/>
    <w:rsid w:val="3F7FB4B5"/>
    <w:rsid w:val="3FAD4D11"/>
    <w:rsid w:val="43386AE7"/>
    <w:rsid w:val="4FB80849"/>
    <w:rsid w:val="5DB7E539"/>
    <w:rsid w:val="5F6C0670"/>
    <w:rsid w:val="66DACB0B"/>
    <w:rsid w:val="697BF56A"/>
    <w:rsid w:val="6B6CE30F"/>
    <w:rsid w:val="6C7F1319"/>
    <w:rsid w:val="6DDF74AC"/>
    <w:rsid w:val="6FAF0D8D"/>
    <w:rsid w:val="6FCFCADC"/>
    <w:rsid w:val="6FFA4FE6"/>
    <w:rsid w:val="71036FD8"/>
    <w:rsid w:val="71930E3B"/>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5289</Words>
  <Characters>5667</Characters>
  <Lines>27</Lines>
  <Paragraphs>7</Paragraphs>
  <TotalTime>7</TotalTime>
  <ScaleCrop>false</ScaleCrop>
  <LinksUpToDate>false</LinksUpToDate>
  <CharactersWithSpaces>5700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HUAWEI</cp:lastModifiedBy>
  <dcterms:modified xsi:type="dcterms:W3CDTF">2024-07-18T15:28:26Z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B318D43B977447E692CCACE17B7F84FB</vt:lpwstr>
  </property>
</Properties>
</file>