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bookmarkStart w:id="0" w:name="_GoBack"/>
      <w:bookmarkEnd w:id="0"/>
    </w:p>
    <w:p>
      <w:pPr>
        <w:jc w:val="center"/>
        <w:rPr>
          <w:rFonts w:ascii="Times New Roman" w:hAnsi="Times New Roman" w:cs="Times New Roman"/>
          <w:b/>
          <w:bCs/>
          <w:sz w:val="52"/>
          <w:szCs w:val="52"/>
        </w:rPr>
      </w:pPr>
      <w:r>
        <w:rPr>
          <w:rFonts w:ascii="Times New Roman" w:hAnsi="Times New Roman" w:cs="Times New Roman"/>
          <w:b/>
          <w:bCs/>
          <w:sz w:val="52"/>
          <w:szCs w:val="52"/>
        </w:rPr>
        <w:t>2023年三亚市残疾人联合会</w:t>
      </w:r>
    </w:p>
    <w:p>
      <w:pPr>
        <w:jc w:val="center"/>
        <w:rPr>
          <w:rFonts w:ascii="Times New Roman" w:hAnsi="Times New Roman" w:cs="Times New Roman"/>
          <w:b/>
          <w:bCs/>
          <w:sz w:val="52"/>
          <w:szCs w:val="52"/>
        </w:rPr>
      </w:pPr>
      <w:r>
        <w:rPr>
          <w:rFonts w:ascii="Times New Roman" w:hAnsi="Times New Roman" w:cs="Times New Roman"/>
          <w:b/>
          <w:bCs/>
          <w:sz w:val="52"/>
          <w:szCs w:val="52"/>
        </w:rPr>
        <w:t>部门预算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widowControl/>
        <w:jc w:val="left"/>
        <w:rPr>
          <w:rFonts w:ascii="Times New Roman" w:hAnsi="Times New Roman" w:cs="Times New Roman"/>
          <w:sz w:val="84"/>
          <w:szCs w:val="84"/>
        </w:rPr>
      </w:pPr>
      <w:r>
        <w:rPr>
          <w:rFonts w:ascii="Times New Roman" w:hAnsi="Times New Roman" w:cs="Times New Roman"/>
          <w:sz w:val="84"/>
          <w:szCs w:val="84"/>
        </w:rPr>
        <w:br w:type="page"/>
      </w: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w:t>
      </w:r>
      <w:r>
        <w:rPr>
          <w:rFonts w:ascii="Times New Roman" w:hAnsi="Times New Roman" w:eastAsia="仿宋" w:cs="Times New Roman"/>
          <w:sz w:val="32"/>
          <w:szCs w:val="32"/>
        </w:rPr>
        <w:t xml:space="preserve"> </w:t>
      </w:r>
      <w:r>
        <w:rPr>
          <w:rFonts w:ascii="Times New Roman" w:hAnsi="Times New Roman" w:eastAsia="黑体" w:cs="Times New Roman"/>
          <w:sz w:val="32"/>
          <w:szCs w:val="32"/>
        </w:rPr>
        <w:t>三亚市残疾人联合会概况</w:t>
      </w:r>
    </w:p>
    <w:p>
      <w:pPr>
        <w:pStyle w:val="6"/>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6"/>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部门预算单位构成</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三亚市残疾人联合会</w:t>
      </w:r>
      <w:r>
        <w:rPr>
          <w:rFonts w:ascii="Times New Roman" w:hAnsi="Times New Roman" w:eastAsia="仿宋" w:cs="Times New Roman"/>
          <w:sz w:val="32"/>
          <w:szCs w:val="32"/>
        </w:rPr>
        <w:t>2023</w:t>
      </w:r>
      <w:r>
        <w:rPr>
          <w:rFonts w:ascii="Times New Roman" w:hAnsi="Times New Roman" w:eastAsia="黑体" w:cs="Times New Roman"/>
          <w:sz w:val="32"/>
          <w:szCs w:val="32"/>
        </w:rPr>
        <w:t>年部门预算表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财政拨款收支总表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一般公共预算支出表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一般公共预算基本支出表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一般公共预算“三公”经费支出表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政府性基金预算支出表。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政府性基金预算“三公”经费支出表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 w:cs="Times New Roman"/>
          <w:sz w:val="32"/>
          <w:szCs w:val="32"/>
        </w:rPr>
        <w:t>部门收支总表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 w:cs="Times New Roman"/>
          <w:sz w:val="32"/>
          <w:szCs w:val="32"/>
        </w:rPr>
        <w:t>部门收入总表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 w:cs="Times New Roman"/>
          <w:sz w:val="32"/>
          <w:szCs w:val="32"/>
        </w:rPr>
        <w:t>部门支出总表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 w:cs="Times New Roman"/>
          <w:sz w:val="32"/>
          <w:szCs w:val="32"/>
        </w:rPr>
        <w:t>项目支出绩效信息表</w:t>
      </w:r>
    </w:p>
    <w:p>
      <w:pPr>
        <w:pStyle w:val="6"/>
        <w:numPr>
          <w:ilvl w:val="0"/>
          <w:numId w:val="1"/>
        </w:numPr>
        <w:ind w:firstLineChars="0"/>
        <w:jc w:val="left"/>
        <w:rPr>
          <w:rFonts w:ascii="Times New Roman" w:hAnsi="Times New Roman" w:eastAsia="仿宋" w:cs="Times New Roman"/>
          <w:sz w:val="32"/>
          <w:szCs w:val="32"/>
        </w:rPr>
      </w:pPr>
      <w:r>
        <w:rPr>
          <w:rFonts w:ascii="Times New Roman" w:hAnsi="Times New Roman" w:eastAsia="黑体" w:cs="Times New Roman"/>
          <w:sz w:val="32"/>
          <w:szCs w:val="32"/>
        </w:rPr>
        <w:t xml:space="preserve">  三亚市残疾人联合会</w:t>
      </w:r>
      <w:r>
        <w:rPr>
          <w:rFonts w:ascii="Times New Roman" w:hAnsi="Times New Roman" w:eastAsia="仿宋" w:cs="Times New Roman"/>
          <w:sz w:val="32"/>
          <w:szCs w:val="32"/>
        </w:rPr>
        <w:t>2023</w:t>
      </w:r>
      <w:r>
        <w:rPr>
          <w:rFonts w:ascii="Times New Roman" w:hAnsi="Times New Roman" w:eastAsia="黑体" w:cs="Times New Roman"/>
          <w:sz w:val="32"/>
          <w:szCs w:val="32"/>
        </w:rPr>
        <w:t>年部门预算情况说明</w:t>
      </w:r>
    </w:p>
    <w:p>
      <w:pPr>
        <w:pStyle w:val="6"/>
        <w:numPr>
          <w:ilvl w:val="0"/>
          <w:numId w:val="1"/>
        </w:numPr>
        <w:ind w:firstLineChars="0"/>
        <w:jc w:val="left"/>
        <w:rPr>
          <w:rFonts w:ascii="Times New Roman" w:hAnsi="Times New Roman" w:eastAsia="仿宋" w:cs="Times New Roman"/>
          <w:sz w:val="32"/>
          <w:szCs w:val="32"/>
        </w:rPr>
      </w:pPr>
      <w:r>
        <w:rPr>
          <w:rFonts w:ascii="Times New Roman" w:hAnsi="Times New Roman" w:eastAsia="黑体" w:cs="Times New Roman"/>
          <w:sz w:val="32"/>
          <w:szCs w:val="32"/>
        </w:rPr>
        <w:t xml:space="preserve">   名词解释</w:t>
      </w: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pStyle w:val="6"/>
        <w:numPr>
          <w:ilvl w:val="0"/>
          <w:numId w:val="4"/>
        </w:numPr>
        <w:ind w:firstLineChars="0"/>
        <w:jc w:val="center"/>
        <w:rPr>
          <w:rFonts w:ascii="Times New Roman" w:hAnsi="Times New Roman" w:eastAsia="仿宋" w:cs="Times New Roman"/>
          <w:sz w:val="32"/>
          <w:szCs w:val="32"/>
        </w:rPr>
      </w:pPr>
      <w:r>
        <w:rPr>
          <w:rFonts w:ascii="Times New Roman" w:hAnsi="Times New Roman" w:eastAsia="黑体" w:cs="Times New Roman"/>
          <w:sz w:val="32"/>
          <w:szCs w:val="32"/>
        </w:rPr>
        <w:t xml:space="preserve">  三亚市残疾人联合会概况</w:t>
      </w:r>
    </w:p>
    <w:p>
      <w:pPr>
        <w:jc w:val="left"/>
        <w:rPr>
          <w:rFonts w:ascii="Times New Roman" w:hAnsi="Times New Roman" w:eastAsia="仿宋" w:cs="Times New Roman"/>
          <w:sz w:val="32"/>
          <w:szCs w:val="32"/>
        </w:rPr>
      </w:pPr>
    </w:p>
    <w:p>
      <w:pPr>
        <w:pStyle w:val="6"/>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1、负责残疾人政策、法规的宣传、贯彻、维护残疾人合法效益。</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2、负责对儿麻、白内障、弱视、聋哑、精神病、</w:t>
      </w:r>
      <w:r>
        <w:rPr>
          <w:rFonts w:ascii="Times New Roman" w:hAnsi="Times New Roman" w:eastAsia="仿宋" w:cs="Times New Roman"/>
          <w:sz w:val="32"/>
          <w:szCs w:val="32"/>
          <w:lang w:val="en"/>
        </w:rPr>
        <w:t>智力障碍者</w:t>
      </w:r>
      <w:r>
        <w:rPr>
          <w:rFonts w:ascii="Times New Roman" w:hAnsi="Times New Roman" w:eastAsia="仿宋" w:cs="Times New Roman"/>
          <w:sz w:val="32"/>
          <w:szCs w:val="32"/>
        </w:rPr>
        <w:t>、缺碘等残疾病患者施行康复手术、康复理疗。开展残疾人社区康复，并做好相关疾病的强化免疫和残疾预防工作。</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3、配合教育部门做好残疾人的文化教育、劳动技能教育等工作。</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4、负责残疾人劳力资源、劳动市场等情况的调查统计工作，推进按比例安置残疾人劳动就业工作的开展。</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5、创造条件发展残疾人的康复扶贫工作，提高残疾人的经济收入，扶持、帮助残疾人脱贫解困。</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6、做好组织联络、信访等工作，反映残疾人的呼声。</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7、开展各项募捐业务，协调福利院、敬老院等慈善机构做好残疾人的社会福利、社会保障工作。</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8、组织、开展残疾人的文娱体育活动，促进残疾人精神文明建设的发展。</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9、根据国家有关残疾人劳动就业的方针、政策，结合我市实际，制定我市残疾人就业服务工作计划并组织实施。</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10、推动社会用人单位按比例安排残疾人就业，组织实施残疾人就业年审工作，依法征收残疾人就业保障金。</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11、对盲人按摩机构、工疗机构及其他集中安置残疾人用人单位进行资格认定，为用人单位享受政策、安置残疾人就业提供服务。</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12、组织开展残疾人求职登记、职业培训、职业指导、职业介绍等工作，为残疾人就业创业提供服务。</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13、做好残疾人辅助器具服务相关工作。</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14、承办市委、市政府和上级部门交办的工作；检查指导各区与残联相关的工作</w:t>
      </w:r>
    </w:p>
    <w:p>
      <w:pPr>
        <w:pStyle w:val="6"/>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部门预算单位构成</w:t>
      </w:r>
    </w:p>
    <w:p>
      <w:pPr>
        <w:ind w:firstLine="800" w:firstLineChars="250"/>
        <w:jc w:val="left"/>
        <w:rPr>
          <w:rFonts w:ascii="Times New Roman" w:hAnsi="Times New Roman" w:eastAsia="仿宋" w:cs="Times New Roman"/>
          <w:sz w:val="32"/>
          <w:szCs w:val="32"/>
        </w:rPr>
      </w:pPr>
      <w:r>
        <w:rPr>
          <w:rFonts w:ascii="Times New Roman" w:hAnsi="Times New Roman" w:eastAsia="仿宋" w:cs="Times New Roman"/>
          <w:sz w:val="32"/>
          <w:szCs w:val="32"/>
        </w:rPr>
        <w:t>纳入三亚市残疾人联合会2023年部门预算编制范围的二级预算单位包括：三亚市残疾人就业服务中心（加挂 三亚市残疾人辅助器具服务中心）</w:t>
      </w: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第二部分 </w:t>
      </w:r>
      <w:r>
        <w:rPr>
          <w:rFonts w:ascii="Times New Roman" w:hAnsi="Times New Roman" w:eastAsia="仿宋" w:cs="Times New Roman"/>
          <w:sz w:val="32"/>
          <w:szCs w:val="32"/>
        </w:rPr>
        <w:t xml:space="preserve"> </w:t>
      </w:r>
      <w:r>
        <w:rPr>
          <w:rFonts w:ascii="Times New Roman" w:hAnsi="Times New Roman" w:eastAsia="黑体" w:cs="Times New Roman"/>
          <w:sz w:val="32"/>
          <w:szCs w:val="32"/>
        </w:rPr>
        <w:t>三亚市残疾人联合会2023年部门预算表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 w:cs="Times New Roman"/>
          <w:b/>
          <w:sz w:val="32"/>
          <w:szCs w:val="32"/>
        </w:rPr>
      </w:pPr>
      <w:r>
        <w:rPr>
          <w:rFonts w:ascii="Times New Roman" w:hAnsi="Times New Roman" w:eastAsia="仿宋" w:cs="Times New Roman"/>
          <w:b/>
          <w:sz w:val="32"/>
          <w:szCs w:val="32"/>
        </w:rPr>
        <w:t>（此部分内容即为部门预算公开表）</w:t>
      </w:r>
    </w:p>
    <w:p>
      <w:pPr>
        <w:rPr>
          <w:rFonts w:ascii="Times New Roman" w:hAnsi="Times New Roman" w:eastAsia="黑体" w:cs="Times New Roman"/>
          <w:sz w:val="32"/>
          <w:szCs w:val="32"/>
        </w:rPr>
      </w:pP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ind w:firstLine="480" w:firstLineChars="150"/>
        <w:jc w:val="center"/>
        <w:rPr>
          <w:rFonts w:ascii="Times New Roman" w:hAnsi="Times New Roman" w:eastAsia="黑体" w:cs="Times New Roman"/>
          <w:sz w:val="32"/>
          <w:szCs w:val="32"/>
        </w:rPr>
      </w:pPr>
      <w:r>
        <w:rPr>
          <w:rFonts w:ascii="Times New Roman" w:hAnsi="Times New Roman" w:eastAsia="黑体" w:cs="Times New Roman"/>
          <w:sz w:val="32"/>
          <w:szCs w:val="32"/>
        </w:rPr>
        <w:t>第三部分   三亚市残疾人联合会</w:t>
      </w:r>
    </w:p>
    <w:p>
      <w:pPr>
        <w:ind w:firstLine="480" w:firstLineChars="150"/>
        <w:jc w:val="center"/>
        <w:rPr>
          <w:rFonts w:ascii="Times New Roman" w:hAnsi="Times New Roman" w:eastAsia="黑体" w:cs="Times New Roman"/>
          <w:sz w:val="32"/>
          <w:szCs w:val="32"/>
        </w:rPr>
      </w:pPr>
      <w:r>
        <w:rPr>
          <w:rFonts w:ascii="Times New Roman" w:hAnsi="Times New Roman" w:eastAsia="黑体" w:cs="Times New Roman"/>
          <w:sz w:val="32"/>
          <w:szCs w:val="32"/>
        </w:rPr>
        <w:t>2023年部门预算情况说明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一、关于三亚市残疾人联合会（部门）2023年财政拨款收支预算情况的总体说明</w:t>
      </w:r>
    </w:p>
    <w:p>
      <w:pPr>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2023年财政拨款收支总预算5,167.39万元。其中，收入总计5,167.39万元，包括一般公共预算本年收入4,736.62万元、上年结转65.58万元，政府性基金预算本年收入359.85万元、上年结转5.35万元；支出总计5,167.39万元，包括社会保障和就业支出4,671.04万元、卫生健康支出67.31万元、住房保障支出63.84万元、其他支出365.20万元，结转下年0.00万元。</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二、关于三亚市残疾人联合会（部门）</w:t>
      </w:r>
      <w:r>
        <w:rPr>
          <w:rFonts w:ascii="Times New Roman" w:hAnsi="Times New Roman" w:eastAsia="仿宋" w:cs="Times New Roman"/>
          <w:sz w:val="32"/>
          <w:szCs w:val="32"/>
        </w:rPr>
        <w:t>2023</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三亚市残疾人联合会（部门）2023年一般公共预算当年拨款4,736.62万元，比上年预算数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164.72万元，主要是</w:t>
      </w:r>
      <w:r>
        <w:rPr>
          <w:rFonts w:hint="eastAsia" w:ascii="Times New Roman" w:hAnsi="Times New Roman" w:eastAsia="仿宋" w:cs="Times New Roman"/>
          <w:sz w:val="32"/>
          <w:szCs w:val="32"/>
        </w:rPr>
        <w:t>部分项目使用政府性基金预算资金</w:t>
      </w:r>
      <w:r>
        <w:rPr>
          <w:rFonts w:ascii="Times New Roman" w:hAnsi="Times New Roman" w:eastAsia="仿宋" w:cs="Times New Roman"/>
          <w:sz w:val="32"/>
          <w:szCs w:val="32"/>
        </w:rPr>
        <w:t>。</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 w:cs="Times New Roman"/>
          <w:sz w:val="32"/>
          <w:szCs w:val="32"/>
        </w:rPr>
      </w:pPr>
      <w:r>
        <w:rPr>
          <w:rFonts w:ascii="Times New Roman" w:hAnsi="Times New Roman" w:eastAsia="仿宋" w:cs="Times New Roman"/>
          <w:sz w:val="32"/>
          <w:szCs w:val="32"/>
        </w:rPr>
        <w:t>社会保障和就业（类）支出4,671.04万元，占97.27%；卫生健康（类）支出67.31万元，占1.40%；住房保障（类）支出63.84万元，占1.33%。</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1.社会保障和就业（类）行政事业单位养老支出（款）机关事业单位基本养老保险缴费支出（项）2023年预算数为71.18万元，比上年预算数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7.26万元，主要是</w:t>
      </w:r>
      <w:r>
        <w:rPr>
          <w:rFonts w:hint="eastAsia" w:ascii="Times New Roman" w:hAnsi="Times New Roman" w:eastAsia="仿宋" w:cs="Times New Roman"/>
          <w:sz w:val="32"/>
          <w:szCs w:val="32"/>
        </w:rPr>
        <w:t>预算管理一体化系统测算更加精准</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2.社会保障和就业（类）行政事业单位养老支出（款）机关事业单位职业年金缴费支出（项）2023年预算数为34.89万元，比上年预算数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9.01万元，主要是</w:t>
      </w:r>
      <w:r>
        <w:rPr>
          <w:rFonts w:hint="eastAsia" w:ascii="Times New Roman" w:hAnsi="Times New Roman" w:eastAsia="仿宋" w:cs="Times New Roman"/>
          <w:sz w:val="32"/>
          <w:szCs w:val="32"/>
        </w:rPr>
        <w:t>预算管理一体化系统测算更加精准</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3.社会保障和就业（类）残疾人事业（款）行政运行（项）2023年预算数为335.44万元，比上年预算数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27.87万元，主要是科目调整。</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4.社会保障和就业（类）残疾人事业（款）</w:t>
      </w:r>
      <w:r>
        <w:rPr>
          <w:rFonts w:hint="eastAsia" w:ascii="Times New Roman" w:hAnsi="Times New Roman" w:eastAsia="仿宋" w:cs="Times New Roman"/>
          <w:sz w:val="32"/>
          <w:szCs w:val="32"/>
        </w:rPr>
        <w:t>一般行政管理事务</w:t>
      </w:r>
      <w:r>
        <w:rPr>
          <w:rFonts w:ascii="Times New Roman" w:hAnsi="Times New Roman" w:eastAsia="仿宋" w:cs="Times New Roman"/>
          <w:sz w:val="32"/>
          <w:szCs w:val="32"/>
        </w:rPr>
        <w:t>（项）2023年预算数为56.40万元，比上年预算数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10.3万元，主要是</w:t>
      </w:r>
      <w:r>
        <w:rPr>
          <w:rFonts w:hint="eastAsia" w:ascii="Times New Roman" w:hAnsi="Times New Roman" w:eastAsia="仿宋" w:cs="Times New Roman"/>
          <w:sz w:val="32"/>
          <w:szCs w:val="32"/>
        </w:rPr>
        <w:t>压缩单位日常开支</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5.社会保障和就业（类）残疾人事业（款）残疾人康复（项）2023年预算数为655.00万元，比上年预算数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89.28万元，主要是</w:t>
      </w:r>
      <w:r>
        <w:rPr>
          <w:rFonts w:hint="eastAsia" w:ascii="Times New Roman" w:hAnsi="Times New Roman" w:eastAsia="仿宋" w:cs="Times New Roman"/>
          <w:sz w:val="32"/>
          <w:szCs w:val="32"/>
        </w:rPr>
        <w:t>省级财政转移支付相关预算增加</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6.社会保障和就业（类）残疾人事业（款）残疾人就业（项）2023年预算数为189.83万元，比上年预算数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141万元，主要是</w:t>
      </w:r>
      <w:r>
        <w:rPr>
          <w:rFonts w:hint="eastAsia" w:ascii="Times New Roman" w:hAnsi="Times New Roman" w:eastAsia="仿宋" w:cs="Times New Roman"/>
          <w:sz w:val="32"/>
          <w:szCs w:val="32"/>
        </w:rPr>
        <w:t>省级财政相关预算提前下达，部分科目进行了调整</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7.社会保障和就业（类）残疾人事业（款）其他残疾人事业支出（项）2023年预算数为3,328.29万元，比上年预算数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167.17万元，</w:t>
      </w:r>
      <w:r>
        <w:rPr>
          <w:rFonts w:hint="eastAsia" w:ascii="Times New Roman" w:hAnsi="Times New Roman" w:eastAsia="仿宋" w:cs="Times New Roman"/>
          <w:sz w:val="32"/>
          <w:szCs w:val="32"/>
        </w:rPr>
        <w:t>主要是调整了部分项目预算</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8.卫生健康（类）行政事业单位医疗（款）行政单位医疗（项）2023年预算数为17.77万元，比上年预算数增加0.81万元,主要是</w:t>
      </w:r>
      <w:r>
        <w:rPr>
          <w:rFonts w:hint="eastAsia" w:ascii="Times New Roman" w:hAnsi="Times New Roman" w:eastAsia="仿宋" w:cs="Times New Roman"/>
          <w:sz w:val="32"/>
          <w:szCs w:val="32"/>
        </w:rPr>
        <w:t>预算管理一体化系统根据人员数据自动测算。</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9.卫生健康（类）行政事业单位医疗（款）事业单位医疗（项）2023年预算数为13.30万元，比上年预算数减少1.4万元,主要是</w:t>
      </w:r>
      <w:r>
        <w:rPr>
          <w:rFonts w:hint="eastAsia" w:ascii="Times New Roman" w:hAnsi="Times New Roman" w:eastAsia="仿宋" w:cs="Times New Roman"/>
          <w:sz w:val="32"/>
          <w:szCs w:val="32"/>
        </w:rPr>
        <w:t>预算管理一体化系统根据人员数据自动测算。</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10.卫生健康（类）行政事业单位医疗（款）公务员医疗补助（项）2023年预算数为36.24万元，比上年预算数增加1.96万元，主要是</w:t>
      </w:r>
      <w:r>
        <w:rPr>
          <w:rFonts w:hint="eastAsia" w:ascii="Times New Roman" w:hAnsi="Times New Roman" w:eastAsia="仿宋" w:cs="Times New Roman"/>
          <w:sz w:val="32"/>
          <w:szCs w:val="32"/>
        </w:rPr>
        <w:t>预算管理一体化系统根据人员数据自动测算。</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11.住房保障（类）住房改革支出（款）住房公积金（项）2023年预算数为63.84万元，比上年预算数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7.5万元，主要是</w:t>
      </w:r>
      <w:r>
        <w:rPr>
          <w:rFonts w:hint="eastAsia" w:ascii="Times New Roman" w:hAnsi="Times New Roman" w:eastAsia="仿宋" w:cs="Times New Roman"/>
          <w:sz w:val="32"/>
          <w:szCs w:val="32"/>
        </w:rPr>
        <w:t>预算管理一体化系统根据人员数据自动测算。</w:t>
      </w: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三、关于三亚市残疾人联合会（部门）2023年一般公共预算基本支出情况说明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三亚市残疾人联合会（部门）2023年一般公共预算基本支出为850.91万元，其中：</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人员经费807.49万元，主要包括：基本工资、津贴补贴、奖金、绩效工资、机关事业单位基本养老保险缴费、职业年金缴费、城镇职工基本医疗保险缴费、公务员医疗补助缴费、其他社会保障缴费、住房公积金、其他工资福利支出、邮电费、其他交通费用、奖励金；</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公用经费43.41万元，主要包括：办公费、会议费、培训费、工会经费、福利费、公务用车运行维护费、其他商品和服务支出、生活补助、其他对个人和家庭的补助。</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（部门）2023年“三公”经费预算情况说明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（一）三亚市残疾人联合会（部门）2023年一般公共预算“三公”经费预算数为6.46万元，其中：</w:t>
      </w:r>
    </w:p>
    <w:p>
      <w:pPr>
        <w:ind w:firstLine="630"/>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因公出国（境）经费</w:t>
      </w:r>
      <w:r>
        <w:rPr>
          <w:rFonts w:ascii="Times New Roman" w:hAnsi="Times New Roman" w:eastAsia="仿宋" w:cs="Times New Roman"/>
          <w:sz w:val="32"/>
          <w:szCs w:val="32"/>
        </w:rPr>
        <w:t>0.00万元</w:t>
      </w:r>
      <w:r>
        <w:rPr>
          <w:rFonts w:ascii="Times New Roman" w:hAnsi="Times New Roman" w:eastAsia="仿宋" w:cs="Times New Roman"/>
          <w:sz w:val="32"/>
          <w:shd w:val="clear" w:color="auto" w:fill="FFFFFF"/>
        </w:rPr>
        <w:t>，与上年预算持平。2023年无出国计划安排；</w:t>
      </w:r>
    </w:p>
    <w:p>
      <w:pPr>
        <w:ind w:firstLine="630"/>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公务用车购置及运行费</w:t>
      </w:r>
      <w:r>
        <w:rPr>
          <w:rFonts w:ascii="Times New Roman" w:hAnsi="Times New Roman" w:eastAsia="仿宋" w:cs="Times New Roman"/>
          <w:sz w:val="32"/>
          <w:szCs w:val="32"/>
        </w:rPr>
        <w:t>3.46万元（其中，</w:t>
      </w:r>
      <w:r>
        <w:rPr>
          <w:rFonts w:ascii="Times New Roman" w:hAnsi="Times New Roman" w:eastAsia="仿宋" w:cs="Times New Roman"/>
          <w:sz w:val="32"/>
          <w:shd w:val="clear" w:color="auto" w:fill="FFFFFF"/>
        </w:rPr>
        <w:t>公务用车购置费</w:t>
      </w:r>
      <w:r>
        <w:rPr>
          <w:rFonts w:ascii="Times New Roman" w:hAnsi="Times New Roman" w:eastAsia="仿宋" w:cs="Times New Roman"/>
          <w:sz w:val="32"/>
          <w:szCs w:val="32"/>
        </w:rPr>
        <w:t>0万元</w:t>
      </w:r>
      <w:r>
        <w:rPr>
          <w:rFonts w:ascii="Times New Roman" w:hAnsi="Times New Roman" w:eastAsia="仿宋" w:cs="Times New Roman"/>
          <w:sz w:val="32"/>
          <w:shd w:val="clear" w:color="auto" w:fill="FFFFFF"/>
        </w:rPr>
        <w:t>，公务用车运行费</w:t>
      </w:r>
      <w:r>
        <w:rPr>
          <w:rFonts w:ascii="Times New Roman" w:hAnsi="Times New Roman" w:eastAsia="仿宋" w:cs="Times New Roman"/>
          <w:sz w:val="32"/>
          <w:szCs w:val="32"/>
        </w:rPr>
        <w:t>3.46万元）</w:t>
      </w:r>
      <w:r>
        <w:rPr>
          <w:rFonts w:ascii="Times New Roman" w:hAnsi="Times New Roman" w:eastAsia="仿宋" w:cs="Times New Roman"/>
          <w:sz w:val="32"/>
          <w:shd w:val="clear" w:color="auto" w:fill="FFFFFF"/>
        </w:rPr>
        <w:t>，</w:t>
      </w:r>
      <w:r>
        <w:rPr>
          <w:rFonts w:hint="eastAsia" w:ascii="Times New Roman" w:hAnsi="Times New Roman" w:eastAsia="仿宋" w:cs="Times New Roman"/>
          <w:sz w:val="32"/>
          <w:shd w:val="clear" w:color="auto" w:fill="FFFFFF"/>
        </w:rPr>
        <w:t>比</w:t>
      </w:r>
      <w:r>
        <w:rPr>
          <w:rFonts w:ascii="Times New Roman" w:hAnsi="Times New Roman" w:eastAsia="仿宋" w:cs="Times New Roman"/>
          <w:sz w:val="32"/>
          <w:shd w:val="clear" w:color="auto" w:fill="FFFFFF"/>
        </w:rPr>
        <w:t>上年预算</w:t>
      </w:r>
      <w:r>
        <w:rPr>
          <w:rFonts w:hint="eastAsia" w:ascii="Times New Roman" w:hAnsi="Times New Roman" w:eastAsia="仿宋" w:cs="Times New Roman"/>
          <w:sz w:val="32"/>
          <w:shd w:val="clear" w:color="auto" w:fill="FFFFFF"/>
        </w:rPr>
        <w:t>增加1</w:t>
      </w:r>
      <w:r>
        <w:rPr>
          <w:rFonts w:ascii="Times New Roman" w:hAnsi="Times New Roman" w:eastAsia="仿宋" w:cs="Times New Roman"/>
          <w:sz w:val="32"/>
          <w:shd w:val="clear" w:color="auto" w:fill="FFFFFF"/>
        </w:rPr>
        <w:t>.65</w:t>
      </w:r>
      <w:r>
        <w:rPr>
          <w:rFonts w:hint="eastAsia" w:ascii="Times New Roman" w:hAnsi="Times New Roman" w:eastAsia="仿宋" w:cs="Times New Roman"/>
          <w:sz w:val="32"/>
          <w:shd w:val="clear" w:color="auto" w:fill="FFFFFF"/>
        </w:rPr>
        <w:t>万元，主要是新增一台无障碍公务车</w:t>
      </w:r>
      <w:r>
        <w:rPr>
          <w:rFonts w:ascii="Times New Roman" w:hAnsi="Times New Roman" w:eastAsia="仿宋" w:cs="Times New Roman"/>
          <w:sz w:val="32"/>
          <w:shd w:val="clear" w:color="auto" w:fill="FFFFFF"/>
        </w:rPr>
        <w:t>；</w:t>
      </w:r>
    </w:p>
    <w:p>
      <w:pPr>
        <w:ind w:firstLine="630"/>
        <w:rPr>
          <w:rFonts w:ascii="Times New Roman" w:hAnsi="Times New Roman" w:eastAsia="仿宋" w:cs="Times New Roman"/>
          <w:sz w:val="32"/>
          <w:shd w:val="clear" w:color="auto" w:fill="FFFFFF"/>
        </w:rPr>
      </w:pPr>
      <w:r>
        <w:rPr>
          <w:rFonts w:ascii="Times New Roman" w:hAnsi="Times New Roman" w:eastAsia="仿宋" w:cs="Times New Roman"/>
          <w:sz w:val="32"/>
          <w:szCs w:val="32"/>
        </w:rPr>
        <w:t>公务接待费3.00</w:t>
      </w:r>
      <w:r>
        <w:rPr>
          <w:rFonts w:ascii="Times New Roman" w:hAnsi="Times New Roman" w:eastAsia="仿宋" w:cs="Times New Roman"/>
          <w:sz w:val="32"/>
          <w:shd w:val="clear" w:color="auto" w:fill="FFFFFF"/>
        </w:rPr>
        <w:t>万元，与上年预算持平</w:t>
      </w:r>
      <w:r>
        <w:rPr>
          <w:rFonts w:hint="eastAsia" w:ascii="Times New Roman" w:hAnsi="Times New Roman" w:eastAsia="仿宋" w:cs="Times New Roman"/>
          <w:sz w:val="32"/>
          <w:shd w:val="clear" w:color="auto" w:fill="FFFFFF"/>
        </w:rPr>
        <w:t>，计划接待1</w:t>
      </w:r>
      <w:r>
        <w:rPr>
          <w:rFonts w:ascii="Times New Roman" w:hAnsi="Times New Roman" w:eastAsia="仿宋" w:cs="Times New Roman"/>
          <w:sz w:val="32"/>
          <w:shd w:val="clear" w:color="auto" w:fill="FFFFFF"/>
        </w:rPr>
        <w:t>5</w:t>
      </w:r>
      <w:r>
        <w:rPr>
          <w:rFonts w:hint="eastAsia" w:ascii="Times New Roman" w:hAnsi="Times New Roman" w:eastAsia="仿宋" w:cs="Times New Roman"/>
          <w:sz w:val="32"/>
          <w:shd w:val="clear" w:color="auto" w:fill="FFFFFF"/>
        </w:rPr>
        <w:t>批1</w:t>
      </w:r>
      <w:r>
        <w:rPr>
          <w:rFonts w:ascii="Times New Roman" w:hAnsi="Times New Roman" w:eastAsia="仿宋" w:cs="Times New Roman"/>
          <w:sz w:val="32"/>
          <w:shd w:val="clear" w:color="auto" w:fill="FFFFFF"/>
        </w:rPr>
        <w:t>20</w:t>
      </w:r>
      <w:r>
        <w:rPr>
          <w:rFonts w:hint="eastAsia" w:ascii="Times New Roman" w:hAnsi="Times New Roman" w:eastAsia="仿宋" w:cs="Times New Roman"/>
          <w:sz w:val="32"/>
          <w:shd w:val="clear" w:color="auto" w:fill="FFFFFF"/>
        </w:rPr>
        <w:t>人</w:t>
      </w:r>
      <w:r>
        <w:rPr>
          <w:rFonts w:ascii="Times New Roman" w:hAnsi="Times New Roman" w:eastAsia="仿宋" w:cs="Times New Roman"/>
          <w:sz w:val="32"/>
          <w:shd w:val="clear" w:color="auto" w:fill="FFFFFF"/>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（二）三亚市残疾人联合会（部门）2023年政府性基金预算“三公”经费预算数为0.00万元，其中：</w:t>
      </w:r>
    </w:p>
    <w:p>
      <w:pPr>
        <w:ind w:firstLine="645"/>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因公出国（境）经费</w:t>
      </w:r>
      <w:r>
        <w:rPr>
          <w:rFonts w:ascii="Times New Roman" w:hAnsi="Times New Roman" w:eastAsia="仿宋" w:cs="Times New Roman"/>
          <w:sz w:val="32"/>
          <w:szCs w:val="32"/>
        </w:rPr>
        <w:t>0.00万元</w:t>
      </w:r>
      <w:r>
        <w:rPr>
          <w:rFonts w:ascii="Times New Roman" w:hAnsi="Times New Roman" w:eastAsia="仿宋" w:cs="Times New Roman"/>
          <w:sz w:val="32"/>
          <w:shd w:val="clear" w:color="auto" w:fill="FFFFFF"/>
        </w:rPr>
        <w:t>，与上年预算持平。2023年无出国计划安排；</w:t>
      </w:r>
    </w:p>
    <w:p>
      <w:pPr>
        <w:ind w:firstLine="645"/>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公务用车购置及运行费</w:t>
      </w:r>
      <w:r>
        <w:rPr>
          <w:rFonts w:ascii="Times New Roman" w:hAnsi="Times New Roman" w:eastAsia="仿宋" w:cs="Times New Roman"/>
          <w:sz w:val="32"/>
          <w:szCs w:val="32"/>
        </w:rPr>
        <w:t>0.00万元（其中，</w:t>
      </w:r>
      <w:r>
        <w:rPr>
          <w:rFonts w:ascii="Times New Roman" w:hAnsi="Times New Roman" w:eastAsia="仿宋" w:cs="Times New Roman"/>
          <w:sz w:val="32"/>
          <w:shd w:val="clear" w:color="auto" w:fill="FFFFFF"/>
        </w:rPr>
        <w:t>公务用车购置费</w:t>
      </w:r>
      <w:r>
        <w:rPr>
          <w:rFonts w:ascii="Times New Roman" w:hAnsi="Times New Roman" w:eastAsia="仿宋" w:cs="Times New Roman"/>
          <w:sz w:val="32"/>
          <w:szCs w:val="32"/>
        </w:rPr>
        <w:t>0万元</w:t>
      </w:r>
      <w:r>
        <w:rPr>
          <w:rFonts w:ascii="Times New Roman" w:hAnsi="Times New Roman" w:eastAsia="仿宋" w:cs="Times New Roman"/>
          <w:sz w:val="32"/>
          <w:shd w:val="clear" w:color="auto" w:fill="FFFFFF"/>
        </w:rPr>
        <w:t>，公务用车运行费</w:t>
      </w:r>
      <w:r>
        <w:rPr>
          <w:rFonts w:ascii="Times New Roman" w:hAnsi="Times New Roman" w:eastAsia="仿宋" w:cs="Times New Roman"/>
          <w:sz w:val="32"/>
          <w:szCs w:val="32"/>
        </w:rPr>
        <w:t>0万元）</w:t>
      </w:r>
      <w:r>
        <w:rPr>
          <w:rFonts w:ascii="Times New Roman" w:hAnsi="Times New Roman" w:eastAsia="仿宋" w:cs="Times New Roman"/>
          <w:sz w:val="32"/>
          <w:shd w:val="clear" w:color="auto" w:fill="FFFFFF"/>
        </w:rPr>
        <w:t>，与上年预算持平；</w:t>
      </w:r>
    </w:p>
    <w:p>
      <w:pPr>
        <w:ind w:firstLine="645"/>
        <w:rPr>
          <w:rFonts w:ascii="Times New Roman" w:hAnsi="Times New Roman" w:eastAsia="仿宋" w:cs="Times New Roman"/>
          <w:sz w:val="32"/>
          <w:shd w:val="clear" w:color="auto" w:fill="FFFFFF"/>
        </w:rPr>
      </w:pPr>
      <w:r>
        <w:rPr>
          <w:rFonts w:ascii="Times New Roman" w:hAnsi="Times New Roman" w:eastAsia="仿宋" w:cs="Times New Roman"/>
          <w:sz w:val="32"/>
          <w:szCs w:val="32"/>
        </w:rPr>
        <w:t>公务接待费0.00</w:t>
      </w:r>
      <w:r>
        <w:rPr>
          <w:rFonts w:ascii="Times New Roman" w:hAnsi="Times New Roman" w:eastAsia="仿宋" w:cs="Times New Roman"/>
          <w:sz w:val="32"/>
          <w:shd w:val="clear" w:color="auto" w:fill="FFFFFF"/>
        </w:rPr>
        <w:t>万元，与上年预算持平。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（部门）2023年政府性基金预算当年拨款情况说明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三亚市残疾人联合会（部门）2023年政府性基金预算当年拨款365.20万元，比上年预算数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283.29万元，主要是</w:t>
      </w:r>
      <w:r>
        <w:rPr>
          <w:rFonts w:hint="eastAsia" w:ascii="Times New Roman" w:hAnsi="Times New Roman" w:eastAsia="仿宋" w:cs="Times New Roman"/>
          <w:sz w:val="32"/>
          <w:szCs w:val="32"/>
        </w:rPr>
        <w:t>新增安排了运动员集训参赛、无障碍环境建设等项目</w:t>
      </w:r>
      <w:r>
        <w:rPr>
          <w:rFonts w:ascii="Times New Roman" w:hAnsi="Times New Roman" w:eastAsia="仿宋" w:cs="Times New Roman"/>
          <w:sz w:val="32"/>
          <w:szCs w:val="32"/>
        </w:rPr>
        <w:t>。</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 w:cs="Times New Roman"/>
          <w:sz w:val="32"/>
          <w:szCs w:val="32"/>
        </w:rPr>
      </w:pPr>
      <w:r>
        <w:rPr>
          <w:rFonts w:hint="eastAsia" w:ascii="Times New Roman" w:hAnsi="Times New Roman" w:eastAsia="仿宋" w:cs="Times New Roman"/>
          <w:sz w:val="32"/>
          <w:szCs w:val="32"/>
        </w:rPr>
        <w:t>其他支出（类）彩票公益金安排的支出（款）用于残疾人事业的彩票公益金支出（项）265.20万元，占72.62%。</w:t>
      </w:r>
    </w:p>
    <w:p>
      <w:pPr>
        <w:ind w:firstLine="800" w:firstLineChars="250"/>
        <w:rPr>
          <w:rFonts w:ascii="Times New Roman" w:hAnsi="Times New Roman" w:eastAsia="仿宋" w:cs="Times New Roman"/>
          <w:sz w:val="32"/>
          <w:szCs w:val="32"/>
        </w:rPr>
      </w:pPr>
      <w:r>
        <w:rPr>
          <w:rFonts w:hint="eastAsia" w:ascii="Times New Roman" w:hAnsi="Times New Roman" w:eastAsia="仿宋" w:cs="Times New Roman"/>
          <w:sz w:val="32"/>
          <w:szCs w:val="32"/>
        </w:rPr>
        <w:t>其他支出（类）彩票公益金安排的支出（款）用于体育事业的彩票公益金支出（项）100.00万元，占27.38%。</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（三）政府性基金预算当年拨款具体使用情况</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其他支出（类）彩票公益金安排的支出（款）用于残疾人事业的彩票公益金支出（项）2023年预算数为265.20万元，比上年预算数增加了</w:t>
      </w:r>
      <w:r>
        <w:rPr>
          <w:rFonts w:ascii="Times New Roman" w:hAnsi="Times New Roman" w:eastAsia="仿宋" w:cs="Times New Roman"/>
          <w:sz w:val="32"/>
          <w:szCs w:val="32"/>
        </w:rPr>
        <w:t>183.29</w:t>
      </w:r>
      <w:r>
        <w:rPr>
          <w:rFonts w:hint="eastAsia" w:ascii="Times New Roman" w:hAnsi="Times New Roman" w:eastAsia="仿宋" w:cs="Times New Roman"/>
          <w:sz w:val="32"/>
          <w:szCs w:val="32"/>
        </w:rPr>
        <w:t>万元，主要是增加了无障碍环境建设、残疾人康复等项目，上级转移支付增加了政府性基金预算。</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其他支出（类）彩票公益金安排的支出（款）用于体育事业的彩票公益金支出（项）2023年预算数为100.00万元，比上年预算数增加了100.00万元，主要是增加残疾人运动员集训及参赛等项目。</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（部门）2023年收支预算情况的总体说明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按照综合预算原则，三亚市残疾人联合会（部门）所有收入和支出均纳入部门预算管理。收入包括：一般公共预算收入、政府性基金收入；支出包括：社会保障和就业支出、卫生健康支出、住房保障支出、其他支出。三亚市残疾人联合会（部门）2023年收支总预算5,176.08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（部门）2023年收入预算情况说明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2023年收入预算5,176.08万元，其中：上年结转79.62万元，占1.54%；经费拨款收入4,736.62万元，占91.51%；政府性基金收入359.85万元，占6.95%；专项收入0.00万元，占0.00%，其他收入0.00万元，占0.00%。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302.32万元，主要是</w:t>
      </w:r>
      <w:r>
        <w:rPr>
          <w:rFonts w:hint="eastAsia" w:ascii="Times New Roman" w:hAnsi="Times New Roman" w:eastAsia="仿宋" w:cs="Times New Roman"/>
          <w:sz w:val="32"/>
          <w:szCs w:val="32"/>
        </w:rPr>
        <w:t>上年结转数减少</w:t>
      </w:r>
      <w:r>
        <w:rPr>
          <w:rFonts w:ascii="Times New Roman" w:hAnsi="Times New Roman" w:eastAsia="仿宋"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（部门）2023年支出预算情况说明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三亚市残疾人联合会（部门）2023年支出预算5,167.39万元，其中：基本支出850.91万元，占16.47%；项目支出4,316.49万元，占83.53%。比上年预算数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184.14万元，主要是</w:t>
      </w:r>
      <w:r>
        <w:rPr>
          <w:rFonts w:hint="eastAsia" w:ascii="Times New Roman" w:hAnsi="Times New Roman" w:eastAsia="仿宋" w:cs="Times New Roman"/>
          <w:sz w:val="32"/>
          <w:szCs w:val="32"/>
        </w:rPr>
        <w:t>增加了运动员集训参赛等项目</w:t>
      </w:r>
      <w:r>
        <w:rPr>
          <w:rFonts w:ascii="Times New Roman" w:hAnsi="Times New Roman" w:eastAsia="仿宋"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2023年三亚市残疾人联合会（部门）本级的机关运行经费预算58.40万元。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 w:cs="Times New Roman"/>
          <w:sz w:val="32"/>
          <w:szCs w:val="32"/>
        </w:rPr>
      </w:pPr>
      <w:r>
        <w:rPr>
          <w:rFonts w:ascii="Times New Roman" w:hAnsi="Times New Roman" w:eastAsia="仿宋" w:cs="Times New Roman"/>
          <w:sz w:val="32"/>
          <w:szCs w:val="32"/>
        </w:rPr>
        <w:t>2023年三亚市残疾人联合会（部门）本级及下属各预算单位政府采购预算总额0.00万元，其中：政府采购货物预算0.00万元。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截至2022年12月31日，三亚市残疾人联合会（部门）本级及下属各预算单位共有车辆3辆，其中，特种专业技术用车1辆、其他用车2辆。单位价值100万元以上设备0台（套）。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jc w:val="left"/>
        <w:rPr>
          <w:rFonts w:ascii="Times New Roman" w:hAnsi="Times New Roman" w:eastAsia="黑体" w:cs="Times New Roman"/>
          <w:sz w:val="32"/>
          <w:szCs w:val="32"/>
        </w:rPr>
      </w:pPr>
      <w:r>
        <w:rPr>
          <w:rFonts w:ascii="Times New Roman" w:hAnsi="Times New Roman" w:eastAsia="仿宋" w:cs="Times New Roman"/>
          <w:sz w:val="32"/>
          <w:szCs w:val="32"/>
        </w:rPr>
        <w:t>2023年三亚市残疾人联合会（部门）19个项目实行绩效目标管理，涉及一般公共预算4736.62万元、政府性基金359.85万元。</w:t>
      </w:r>
    </w:p>
    <w:p>
      <w:pPr>
        <w:jc w:val="left"/>
        <w:rPr>
          <w:rFonts w:ascii="Times New Roman" w:hAnsi="Times New Roman" w:eastAsia="仿宋" w:cs="Times New Roman"/>
          <w:color w:val="000000"/>
          <w:kern w:val="0"/>
          <w:sz w:val="32"/>
          <w:szCs w:val="30"/>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 w:cs="Times New Roman"/>
          <w:bCs/>
          <w:color w:val="000000"/>
          <w:kern w:val="0"/>
          <w:sz w:val="32"/>
          <w:szCs w:val="32"/>
          <w:lang w:val="zh-CN"/>
        </w:rPr>
      </w:pP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一、一般公共预算收入：</w:t>
      </w:r>
      <w:r>
        <w:rPr>
          <w:rFonts w:ascii="Times New Roman" w:hAnsi="Times New Roman" w:eastAsia="仿宋" w:cs="Times New Roman"/>
          <w:bCs/>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二、政府性基金收入：</w:t>
      </w:r>
      <w:r>
        <w:rPr>
          <w:rFonts w:ascii="Times New Roman" w:hAnsi="Times New Roman" w:eastAsia="仿宋" w:cs="Times New Roman"/>
          <w:bCs/>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三、其他财政资金收入：</w:t>
      </w:r>
      <w:r>
        <w:rPr>
          <w:rFonts w:ascii="Times New Roman" w:hAnsi="Times New Roman" w:eastAsia="仿宋" w:cs="Times New Roman"/>
          <w:bCs/>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四、收回存量资金收入：</w:t>
      </w:r>
      <w:r>
        <w:rPr>
          <w:rFonts w:ascii="Times New Roman" w:hAnsi="Times New Roman" w:eastAsia="仿宋" w:cs="Times New Roman"/>
          <w:bCs/>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Times New Roman" w:hAnsi="Times New Roman" w:eastAsia="仿宋" w:cs="Times New Roman"/>
          <w:kern w:val="0"/>
          <w:sz w:val="32"/>
          <w:szCs w:val="32"/>
          <w:lang w:val="zh-CN"/>
        </w:rPr>
        <w:t>。</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五、事业收入：</w:t>
      </w:r>
      <w:r>
        <w:rPr>
          <w:rFonts w:ascii="Times New Roman" w:hAnsi="Times New Roman" w:eastAsia="仿宋" w:cs="Times New Roman"/>
          <w:bCs/>
          <w:kern w:val="0"/>
          <w:sz w:val="32"/>
          <w:szCs w:val="32"/>
          <w:lang w:val="zh-CN"/>
        </w:rPr>
        <w:t>指用于反映事业单位开展专业业务活动及辅助活动所取得的收入。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六、</w:t>
      </w:r>
      <w:r>
        <w:rPr>
          <w:rFonts w:ascii="Times New Roman" w:hAnsi="Times New Roman" w:eastAsia="仿宋" w:cs="Times New Roman"/>
          <w:sz w:val="32"/>
          <w:szCs w:val="32"/>
        </w:rPr>
        <w:t>事业单位经营收入</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指用于反映事业单位在专业活动及辅助活动之外开展非独立核算经营活动取得的收入。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七、其他收入：</w:t>
      </w:r>
      <w:r>
        <w:rPr>
          <w:rFonts w:ascii="Times New Roman" w:hAnsi="Times New Roman" w:eastAsia="仿宋" w:cs="Times New Roman"/>
          <w:bCs/>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八、</w:t>
      </w:r>
      <w:r>
        <w:rPr>
          <w:rFonts w:ascii="Times New Roman" w:hAnsi="Times New Roman" w:eastAsia="仿宋" w:cs="Times New Roman"/>
          <w:sz w:val="32"/>
          <w:szCs w:val="32"/>
        </w:rPr>
        <w:t>用事业基金弥补收支差额</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九、</w:t>
      </w:r>
      <w:r>
        <w:rPr>
          <w:rFonts w:ascii="Times New Roman" w:hAnsi="Times New Roman" w:eastAsia="仿宋" w:cs="Times New Roman"/>
          <w:sz w:val="32"/>
          <w:szCs w:val="32"/>
        </w:rPr>
        <w:t>上年结转结余收入</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指用于反映以前年度尚未完成、结转到本年仍按规定用途继续使用的资金等。</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十、社会保障和就业（类）行政事业单位离退休（款）机关事业单位基本养老保险缴费支出（项）：指用于行政事业单位养老保险缴费。</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十一、社会保障和就业（类）行政事业单位离退休（款）机关事业单位职业年金缴费支出（项）：指实施养老保险制度后，按规定由单位缴纳的职业年金支出。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十二、社会保障和就业（类）残疾人事业（款）行政运行（项）：</w:t>
      </w:r>
      <w:r>
        <w:rPr>
          <w:rFonts w:ascii="Times New Roman" w:hAnsi="Times New Roman" w:eastAsia="仿宋" w:cs="Times New Roman"/>
          <w:kern w:val="0"/>
          <w:sz w:val="32"/>
          <w:szCs w:val="30"/>
        </w:rPr>
        <w:t>指用于保障机构正常运行、开展日常工作的基本支出</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十三、社会保障和就业（类）残疾人事业（款）一般行政管理事务（项）：</w:t>
      </w:r>
      <w:r>
        <w:rPr>
          <w:rFonts w:ascii="Times New Roman" w:hAnsi="Times New Roman" w:eastAsia="仿宋" w:cs="Times New Roman"/>
          <w:kern w:val="0"/>
          <w:sz w:val="32"/>
          <w:szCs w:val="30"/>
        </w:rPr>
        <w:t>指用于办公费、印刷费等未单独设置项级科目的项目支出</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十四、社会保障和就业（类）残疾人事业（款）残疾人康复（项）：指用于残疾人康复工作的项目支出。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十五、社会保障和就业（类）残疾人事业（款）残疾人体育（项）：指用于残疾人文化、体育等工作的项目支出。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十六、社会保障和就业（类）残疾人事业（款）其他残疾人事业支出（项）：</w:t>
      </w:r>
      <w:r>
        <w:rPr>
          <w:rFonts w:ascii="Times New Roman" w:hAnsi="Times New Roman" w:eastAsia="仿宋" w:cs="Times New Roman"/>
          <w:kern w:val="0"/>
          <w:sz w:val="32"/>
          <w:szCs w:val="30"/>
        </w:rPr>
        <w:t>指用于智力精神和重度残疾人托养、手语培训和设备、康复人才培训等工作未单独设置项级科目的项目支出</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十七、卫生健康（类）行政事业单位医疗（款）行政单位医疗（项）：指用于行政事业单位基本医疗保险支出。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十八、卫生健康（类）行政事业单位医疗（款）公务员医疗补助（项）：指机关及参公管理事业单位集中缴纳公务员医疗补助支出。</w:t>
      </w:r>
    </w:p>
    <w:p>
      <w:pPr>
        <w:widowControl/>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十九、住房保障（类）住房改革（款）住房公积金（项）：指部门按规定比例为职工缴纳的住房公积金支出。</w:t>
      </w:r>
    </w:p>
    <w:p>
      <w:pPr>
        <w:ind w:firstLine="640" w:firstLineChars="200"/>
        <w:jc w:val="left"/>
        <w:rPr>
          <w:rFonts w:ascii="Times New Roman" w:hAnsi="Times New Roman" w:eastAsia="仿宋" w:cs="Times New Roman"/>
          <w:kern w:val="0"/>
          <w:sz w:val="32"/>
          <w:szCs w:val="30"/>
        </w:rPr>
      </w:pPr>
      <w:r>
        <w:rPr>
          <w:rFonts w:ascii="Times New Roman" w:hAnsi="Times New Roman" w:eastAsia="仿宋" w:cs="Times New Roman"/>
          <w:kern w:val="0"/>
          <w:sz w:val="32"/>
          <w:szCs w:val="30"/>
        </w:rPr>
        <w:t>二十、基本支出：指行政事业单位用于为保障其机构正常运转、完成日常工作任务而发生的人员支出和公用支出。</w:t>
      </w:r>
    </w:p>
    <w:p>
      <w:pPr>
        <w:ind w:firstLine="640" w:firstLineChars="200"/>
        <w:jc w:val="left"/>
        <w:rPr>
          <w:rFonts w:ascii="Times New Roman" w:hAnsi="Times New Roman" w:eastAsia="仿宋" w:cs="Times New Roman"/>
          <w:kern w:val="0"/>
          <w:sz w:val="32"/>
          <w:szCs w:val="30"/>
        </w:rPr>
      </w:pPr>
      <w:r>
        <w:rPr>
          <w:rFonts w:ascii="Times New Roman" w:hAnsi="Times New Roman" w:eastAsia="仿宋" w:cs="Times New Roman"/>
          <w:kern w:val="0"/>
          <w:sz w:val="32"/>
          <w:szCs w:val="30"/>
        </w:rPr>
        <w:t>二十一、项目支出：指在基本支出之外为完成特定的行政工作任务或事业发展目标所发生的支出。</w:t>
      </w:r>
    </w:p>
    <w:p>
      <w:pPr>
        <w:ind w:firstLine="640" w:firstLineChars="200"/>
        <w:jc w:val="left"/>
        <w:rPr>
          <w:rFonts w:ascii="Times New Roman" w:hAnsi="Times New Roman" w:eastAsia="仿宋" w:cs="Times New Roman"/>
          <w:kern w:val="0"/>
          <w:sz w:val="32"/>
          <w:szCs w:val="30"/>
        </w:rPr>
      </w:pPr>
      <w:r>
        <w:rPr>
          <w:rFonts w:ascii="Times New Roman" w:hAnsi="Times New Roman" w:eastAsia="仿宋" w:cs="Times New Roman"/>
          <w:sz w:val="32"/>
          <w:szCs w:val="32"/>
        </w:rPr>
        <w:t>二十二</w:t>
      </w:r>
      <w:r>
        <w:rPr>
          <w:rFonts w:ascii="Times New Roman" w:hAnsi="Times New Roman" w:eastAsia="仿宋" w:cs="Times New Roman"/>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 w:cs="Times New Roman"/>
          <w:color w:val="000000"/>
          <w:kern w:val="0"/>
          <w:sz w:val="32"/>
          <w:szCs w:val="30"/>
        </w:rPr>
      </w:pPr>
      <w:r>
        <w:rPr>
          <w:rFonts w:ascii="Times New Roman" w:hAnsi="Times New Roman" w:eastAsia="仿宋" w:cs="Times New Roman"/>
          <w:kern w:val="0"/>
          <w:sz w:val="32"/>
          <w:szCs w:val="30"/>
        </w:rPr>
        <w:t>二十三、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 w:hAnsi="仿宋" w:eastAsia="仿宋" w:cs="仿宋"/>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700"/>
    <w:rsid w:val="00012345"/>
    <w:rsid w:val="000275DE"/>
    <w:rsid w:val="00032044"/>
    <w:rsid w:val="000404C8"/>
    <w:rsid w:val="00064F6C"/>
    <w:rsid w:val="00072CC6"/>
    <w:rsid w:val="00073422"/>
    <w:rsid w:val="0008439D"/>
    <w:rsid w:val="0008775D"/>
    <w:rsid w:val="000A0035"/>
    <w:rsid w:val="000C56B8"/>
    <w:rsid w:val="000C5AF1"/>
    <w:rsid w:val="000E088A"/>
    <w:rsid w:val="000E40C2"/>
    <w:rsid w:val="000E7F83"/>
    <w:rsid w:val="000F0183"/>
    <w:rsid w:val="000F022F"/>
    <w:rsid w:val="000F5A3B"/>
    <w:rsid w:val="000F7E10"/>
    <w:rsid w:val="00106F9F"/>
    <w:rsid w:val="00107A37"/>
    <w:rsid w:val="001177CD"/>
    <w:rsid w:val="00131533"/>
    <w:rsid w:val="00174FD7"/>
    <w:rsid w:val="00190CB2"/>
    <w:rsid w:val="001A0240"/>
    <w:rsid w:val="001A778F"/>
    <w:rsid w:val="001B72B1"/>
    <w:rsid w:val="001C68C0"/>
    <w:rsid w:val="001D4F2E"/>
    <w:rsid w:val="001D5CB0"/>
    <w:rsid w:val="001D6A99"/>
    <w:rsid w:val="00227D91"/>
    <w:rsid w:val="00247D15"/>
    <w:rsid w:val="0026191D"/>
    <w:rsid w:val="00266886"/>
    <w:rsid w:val="00276FB2"/>
    <w:rsid w:val="002809EE"/>
    <w:rsid w:val="00293807"/>
    <w:rsid w:val="002A7982"/>
    <w:rsid w:val="002E3918"/>
    <w:rsid w:val="002E4BA4"/>
    <w:rsid w:val="002F4700"/>
    <w:rsid w:val="0032634D"/>
    <w:rsid w:val="00333048"/>
    <w:rsid w:val="0035131D"/>
    <w:rsid w:val="00354392"/>
    <w:rsid w:val="0037556E"/>
    <w:rsid w:val="00377C78"/>
    <w:rsid w:val="00383F89"/>
    <w:rsid w:val="00391DDC"/>
    <w:rsid w:val="00392DBE"/>
    <w:rsid w:val="0039494F"/>
    <w:rsid w:val="003964EE"/>
    <w:rsid w:val="003C552E"/>
    <w:rsid w:val="003C57BC"/>
    <w:rsid w:val="003F7C8C"/>
    <w:rsid w:val="0040783C"/>
    <w:rsid w:val="00432A17"/>
    <w:rsid w:val="00442BBE"/>
    <w:rsid w:val="004533AF"/>
    <w:rsid w:val="00486356"/>
    <w:rsid w:val="004874AD"/>
    <w:rsid w:val="00491D05"/>
    <w:rsid w:val="004C1FF2"/>
    <w:rsid w:val="004D4587"/>
    <w:rsid w:val="004D63AF"/>
    <w:rsid w:val="0052264E"/>
    <w:rsid w:val="00547663"/>
    <w:rsid w:val="00576E63"/>
    <w:rsid w:val="005B24A9"/>
    <w:rsid w:val="005E2129"/>
    <w:rsid w:val="006054FB"/>
    <w:rsid w:val="00605940"/>
    <w:rsid w:val="00620031"/>
    <w:rsid w:val="00636E90"/>
    <w:rsid w:val="0065405A"/>
    <w:rsid w:val="0065793F"/>
    <w:rsid w:val="0067375E"/>
    <w:rsid w:val="006817E7"/>
    <w:rsid w:val="00692DE6"/>
    <w:rsid w:val="006E263F"/>
    <w:rsid w:val="006E4D7E"/>
    <w:rsid w:val="006F5216"/>
    <w:rsid w:val="006F7CD3"/>
    <w:rsid w:val="00712C47"/>
    <w:rsid w:val="00723F81"/>
    <w:rsid w:val="00754D8B"/>
    <w:rsid w:val="007700C1"/>
    <w:rsid w:val="00776467"/>
    <w:rsid w:val="00794B1F"/>
    <w:rsid w:val="007A1639"/>
    <w:rsid w:val="007B1BC3"/>
    <w:rsid w:val="007B291F"/>
    <w:rsid w:val="007E25F5"/>
    <w:rsid w:val="007E60FE"/>
    <w:rsid w:val="007F6D83"/>
    <w:rsid w:val="0080673D"/>
    <w:rsid w:val="00806AC4"/>
    <w:rsid w:val="008206C4"/>
    <w:rsid w:val="008250F5"/>
    <w:rsid w:val="00847A76"/>
    <w:rsid w:val="00854547"/>
    <w:rsid w:val="008568AB"/>
    <w:rsid w:val="00862F2D"/>
    <w:rsid w:val="00894132"/>
    <w:rsid w:val="00897DA7"/>
    <w:rsid w:val="008A1613"/>
    <w:rsid w:val="008C44C7"/>
    <w:rsid w:val="008F5573"/>
    <w:rsid w:val="00914C44"/>
    <w:rsid w:val="00930B63"/>
    <w:rsid w:val="00945B08"/>
    <w:rsid w:val="00956D6F"/>
    <w:rsid w:val="00956FE8"/>
    <w:rsid w:val="0096379D"/>
    <w:rsid w:val="00991621"/>
    <w:rsid w:val="009A1AB6"/>
    <w:rsid w:val="009A6651"/>
    <w:rsid w:val="009C7DD6"/>
    <w:rsid w:val="00A04A8A"/>
    <w:rsid w:val="00A076A6"/>
    <w:rsid w:val="00A175F4"/>
    <w:rsid w:val="00A21B3B"/>
    <w:rsid w:val="00A40692"/>
    <w:rsid w:val="00A509C2"/>
    <w:rsid w:val="00A62C8E"/>
    <w:rsid w:val="00A65208"/>
    <w:rsid w:val="00A7029B"/>
    <w:rsid w:val="00A86475"/>
    <w:rsid w:val="00A936A2"/>
    <w:rsid w:val="00AE5882"/>
    <w:rsid w:val="00AF38BA"/>
    <w:rsid w:val="00B07967"/>
    <w:rsid w:val="00B35975"/>
    <w:rsid w:val="00B409BD"/>
    <w:rsid w:val="00B557C3"/>
    <w:rsid w:val="00B56618"/>
    <w:rsid w:val="00B60BDE"/>
    <w:rsid w:val="00B61F74"/>
    <w:rsid w:val="00B80830"/>
    <w:rsid w:val="00B82DB0"/>
    <w:rsid w:val="00B94415"/>
    <w:rsid w:val="00BA09EC"/>
    <w:rsid w:val="00BE20FF"/>
    <w:rsid w:val="00BE730F"/>
    <w:rsid w:val="00C05A92"/>
    <w:rsid w:val="00C124F6"/>
    <w:rsid w:val="00C32D60"/>
    <w:rsid w:val="00C374C0"/>
    <w:rsid w:val="00C409B9"/>
    <w:rsid w:val="00C4366F"/>
    <w:rsid w:val="00C4450F"/>
    <w:rsid w:val="00C44AAC"/>
    <w:rsid w:val="00C465EE"/>
    <w:rsid w:val="00C467F5"/>
    <w:rsid w:val="00C47366"/>
    <w:rsid w:val="00C71E6A"/>
    <w:rsid w:val="00C84938"/>
    <w:rsid w:val="00C84AD2"/>
    <w:rsid w:val="00C877C5"/>
    <w:rsid w:val="00C90C2E"/>
    <w:rsid w:val="00C960BA"/>
    <w:rsid w:val="00C97133"/>
    <w:rsid w:val="00CB1B9A"/>
    <w:rsid w:val="00CB60DE"/>
    <w:rsid w:val="00CE3FE0"/>
    <w:rsid w:val="00D1524E"/>
    <w:rsid w:val="00D446CA"/>
    <w:rsid w:val="00D4489A"/>
    <w:rsid w:val="00D531C6"/>
    <w:rsid w:val="00D66A00"/>
    <w:rsid w:val="00D73C34"/>
    <w:rsid w:val="00D7532B"/>
    <w:rsid w:val="00D81951"/>
    <w:rsid w:val="00D908F1"/>
    <w:rsid w:val="00D958A3"/>
    <w:rsid w:val="00DA1676"/>
    <w:rsid w:val="00DB489A"/>
    <w:rsid w:val="00DB5289"/>
    <w:rsid w:val="00DC107F"/>
    <w:rsid w:val="00DC2114"/>
    <w:rsid w:val="00E132C5"/>
    <w:rsid w:val="00E174B9"/>
    <w:rsid w:val="00E205BB"/>
    <w:rsid w:val="00E5037C"/>
    <w:rsid w:val="00E71DE1"/>
    <w:rsid w:val="00E7466B"/>
    <w:rsid w:val="00E75B19"/>
    <w:rsid w:val="00E849A9"/>
    <w:rsid w:val="00E874E5"/>
    <w:rsid w:val="00EA21EE"/>
    <w:rsid w:val="00EB249F"/>
    <w:rsid w:val="00EC1BC8"/>
    <w:rsid w:val="00EC63B0"/>
    <w:rsid w:val="00EC7C16"/>
    <w:rsid w:val="00ED1B19"/>
    <w:rsid w:val="00EE6441"/>
    <w:rsid w:val="00F163BE"/>
    <w:rsid w:val="00F23FAD"/>
    <w:rsid w:val="00F460F7"/>
    <w:rsid w:val="00F63A72"/>
    <w:rsid w:val="00F74E54"/>
    <w:rsid w:val="00F774A3"/>
    <w:rsid w:val="00FA1C32"/>
    <w:rsid w:val="00FA74E3"/>
    <w:rsid w:val="0A291B46"/>
    <w:rsid w:val="2BE6568F"/>
    <w:rsid w:val="5DBE5B53"/>
    <w:rsid w:val="72731891"/>
    <w:rsid w:val="7CB949F7"/>
    <w:rsid w:val="7D4C7A83"/>
    <w:rsid w:val="7D8E0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customStyle="1" w:styleId="10">
    <w:name w:val="修订1"/>
    <w:hidden/>
    <w:semiHidden/>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906</Words>
  <Characters>5167</Characters>
  <Lines>43</Lines>
  <Paragraphs>12</Paragraphs>
  <TotalTime>290</TotalTime>
  <ScaleCrop>false</ScaleCrop>
  <LinksUpToDate>false</LinksUpToDate>
  <CharactersWithSpaces>6061</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2021-03-05T11:00:00Z</dcterms:created>
  <dc:creator>null,null,总收发</dc:creator>
  <cp:lastModifiedBy>user</cp:lastModifiedBy>
  <dcterms:modified xsi:type="dcterms:W3CDTF">2024-11-25T08:52:13Z</dcterms:modified>
  <dc:title>××年××部门（单位）预算</dc:title>
  <cp:revision>252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