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jc w:val="center"/>
        <w:rPr>
          <w:rFonts w:ascii="Times New Roman" w:hAnsi="Times New Roman"/>
          <w:sz w:val="52"/>
          <w:szCs w:val="52"/>
        </w:rPr>
      </w:pPr>
      <w:r>
        <w:rPr>
          <w:rFonts w:hint="eastAsia" w:ascii="Times New Roman" w:hAnsi="Times New Roman"/>
          <w:sz w:val="52"/>
          <w:szCs w:val="52"/>
        </w:rPr>
        <w:t>2023年</w:t>
      </w:r>
      <w:r>
        <w:rPr>
          <w:rFonts w:hint="eastAsia" w:ascii="Times New Roman" w:hAnsi="Times New Roman"/>
          <w:sz w:val="52"/>
          <w:szCs w:val="52"/>
          <w:lang w:eastAsia="zh-CN"/>
        </w:rPr>
        <w:t>中国共产主义青年团三亚市委员会</w:t>
      </w:r>
      <w:r>
        <w:rPr>
          <w:rFonts w:hint="eastAsia" w:ascii="Times New Roman" w:hAnsi="Times New Roman"/>
          <w:sz w:val="52"/>
          <w:szCs w:val="52"/>
        </w:rPr>
        <w:t>部门预算</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目录</w:t>
      </w:r>
    </w:p>
    <w:p>
      <w:pPr>
        <w:pStyle w:val="9"/>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概况</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主要职能</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lang w:eastAsia="zh-CN"/>
        </w:rPr>
        <w:t>部门预算单位构成</w:t>
      </w:r>
    </w:p>
    <w:p>
      <w:pPr>
        <w:pStyle w:val="9"/>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2023年部门预算表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部门收支总表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部门收入总表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部门支出总表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年部门预算情况说明</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名词解释</w:t>
      </w:r>
    </w:p>
    <w:p>
      <w:pPr>
        <w:pStyle w:val="9"/>
        <w:ind w:left="1320" w:firstLine="0" w:firstLineChars="0"/>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pStyle w:val="9"/>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概况</w:t>
      </w:r>
    </w:p>
    <w:p>
      <w:pPr>
        <w:jc w:val="left"/>
        <w:rPr>
          <w:rFonts w:ascii="Times New Roman" w:hAnsi="Times New Roman" w:eastAsia="仿宋_GB2312" w:cs="仿宋_GB2312"/>
          <w:sz w:val="32"/>
          <w:szCs w:val="32"/>
        </w:rPr>
      </w:pPr>
    </w:p>
    <w:p>
      <w:pPr>
        <w:pStyle w:val="9"/>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主要职能</w:t>
      </w:r>
    </w:p>
    <w:p>
      <w:pPr>
        <w:pStyle w:val="9"/>
        <w:ind w:firstLine="0" w:firstLineChars="0"/>
        <w:jc w:val="left"/>
        <w:rPr>
          <w:rFonts w:ascii="Times New Roman" w:hAnsi="Times New Roman" w:eastAsia="仿宋_GB2312" w:cs="仿宋_GB2312"/>
          <w:sz w:val="32"/>
          <w:szCs w:val="32"/>
        </w:rPr>
      </w:pPr>
      <w:r>
        <w:rPr>
          <w:rFonts w:hint="eastAsia" w:ascii="Times New Roman" w:hAnsi="Times New Roman" w:eastAsia="楷体" w:cs="仿宋_GB2312"/>
          <w:sz w:val="32"/>
          <w:szCs w:val="32"/>
        </w:rPr>
        <w:t>（一）部门主要职能</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领导全市共青团工作。根据市委和团省委的指示，围绕党的中心任务，结合青年特点，提出每个时期团的工作任务，制定全市团的工作目标。</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以爱国主义教育为核心，加强青少年的思想政治工作，动员和带领各级团组织和广大青少年参与和开展主题鲜明、健康向上、富有时代意义的活动，陶冶广大青少年思想情操，引导他们树立正确的世界观、价值观和人生观，培养和造就有理想、有道德、有文化、有纪律的特区一代新人。</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加强全市团组织建设，提高团组织的凝聚力和战斗力。协助党组织管理、考核、选拔和培训团的干部。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组织、带领全市团员青年在建设社会主义市场体制的进程中发挥先锋和突击队作用，完成市委和团省委部署的以青少年为主题的各项任务。认真实施基层团组织建设</w:t>
      </w:r>
      <w:r>
        <w:rPr>
          <w:rFonts w:ascii="Times New Roman" w:hAnsi="Times New Roman" w:eastAsia="仿宋_GB2312"/>
          <w:sz w:val="32"/>
          <w:szCs w:val="32"/>
        </w:rPr>
        <w:t>“</w:t>
      </w:r>
      <w:r>
        <w:rPr>
          <w:rFonts w:hint="eastAsia" w:ascii="Times New Roman" w:hAnsi="Times New Roman" w:eastAsia="仿宋_GB2312"/>
          <w:sz w:val="32"/>
          <w:szCs w:val="32"/>
        </w:rPr>
        <w:t>强活力</w:t>
      </w:r>
      <w:r>
        <w:rPr>
          <w:rFonts w:ascii="Times New Roman" w:hAnsi="Times New Roman" w:eastAsia="仿宋_GB2312"/>
          <w:sz w:val="32"/>
          <w:szCs w:val="32"/>
        </w:rPr>
        <w:t>”</w:t>
      </w:r>
      <w:r>
        <w:rPr>
          <w:rFonts w:hint="eastAsia" w:ascii="Times New Roman" w:hAnsi="Times New Roman" w:eastAsia="仿宋_GB2312"/>
          <w:sz w:val="32"/>
          <w:szCs w:val="32"/>
        </w:rPr>
        <w:t>工程、促进青年就业创业行动、青少年成长导航行动。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负责市青联、学联、少先队和志愿服务工作，指导和管理全市青少年社团组织。</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参与制订全市青少年事业发展规划和青少年工作方针、政策；参与全市有关青少年事务规范性文件的制定和实施，协助党和政府处理、协调与青少年利益相关的事务。</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调查青少年思想动态和青少年工作情况，研究青少年运动、工作理论和思想教育问题，提出相应的对策，开展各种活动。</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会同有关部门做好全市青年统战、民族、宗教工作和青年统战对象的团结教育工作，维护、促进祖国统一和民族团结。</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9.</w:t>
      </w:r>
      <w:r>
        <w:rPr>
          <w:rFonts w:hint="eastAsia" w:ascii="Times New Roman" w:hAnsi="Times New Roman" w:eastAsia="仿宋_GB2312"/>
          <w:sz w:val="32"/>
          <w:szCs w:val="32"/>
        </w:rPr>
        <w:t>会同有关部门对全市青少年外事工作实行归口管理和提供服务，负责市内外青少年友好交流工作。</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10.</w:t>
      </w:r>
      <w:r>
        <w:rPr>
          <w:rFonts w:hint="eastAsia" w:ascii="Times New Roman" w:hAnsi="Times New Roman" w:eastAsia="仿宋_GB2312"/>
          <w:sz w:val="32"/>
          <w:szCs w:val="32"/>
        </w:rPr>
        <w:t>协助政府教育部门组织大、中、小学学生开展各具特色的教育和活动，维护学校稳定和社会安定团结。</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11.</w:t>
      </w:r>
      <w:r>
        <w:rPr>
          <w:rFonts w:hint="eastAsia" w:ascii="Times New Roman" w:hAnsi="Times New Roman" w:eastAsia="仿宋_GB2312"/>
          <w:sz w:val="32"/>
          <w:szCs w:val="32"/>
        </w:rPr>
        <w:t>承担全市实施“希望工程”的有关工作。</w:t>
      </w:r>
    </w:p>
    <w:p>
      <w:pPr>
        <w:spacing w:line="560" w:lineRule="exact"/>
        <w:ind w:firstLine="645"/>
        <w:rPr>
          <w:rFonts w:ascii="Times New Roman" w:hAnsi="Times New Roman" w:eastAsia="仿宋_GB2312"/>
          <w:sz w:val="32"/>
          <w:szCs w:val="32"/>
        </w:rPr>
      </w:pPr>
      <w:r>
        <w:rPr>
          <w:rFonts w:ascii="Times New Roman" w:hAnsi="Times New Roman" w:eastAsia="仿宋_GB2312"/>
          <w:sz w:val="32"/>
          <w:szCs w:val="32"/>
        </w:rPr>
        <w:t>12.</w:t>
      </w:r>
      <w:r>
        <w:rPr>
          <w:rFonts w:hint="eastAsia" w:ascii="Times New Roman" w:hAnsi="Times New Roman" w:eastAsia="仿宋_GB2312"/>
          <w:sz w:val="32"/>
          <w:szCs w:val="32"/>
        </w:rPr>
        <w:t>承办市委、市政府和上级部门交办的工作；指导各区共青团委员会工作。</w:t>
      </w:r>
    </w:p>
    <w:p>
      <w:pPr>
        <w:spacing w:line="560" w:lineRule="exact"/>
        <w:ind w:firstLine="645"/>
        <w:rPr>
          <w:rFonts w:ascii="Times New Roman" w:hAnsi="Times New Roman" w:eastAsia="楷体"/>
          <w:sz w:val="32"/>
          <w:szCs w:val="32"/>
        </w:rPr>
      </w:pPr>
      <w:r>
        <w:rPr>
          <w:rFonts w:hint="eastAsia" w:ascii="Times New Roman" w:hAnsi="Times New Roman" w:eastAsia="楷体"/>
          <w:sz w:val="32"/>
          <w:szCs w:val="32"/>
        </w:rPr>
        <w:t>（二）机构设置情况</w:t>
      </w:r>
    </w:p>
    <w:p>
      <w:pPr>
        <w:spacing w:line="560" w:lineRule="exact"/>
        <w:ind w:firstLine="645"/>
        <w:rPr>
          <w:rFonts w:ascii="Times New Roman" w:hAnsi="Times New Roman" w:eastAsia="仿宋_GB2312" w:cs="仿宋_GB2312"/>
          <w:b/>
          <w:bCs/>
          <w:sz w:val="32"/>
          <w:szCs w:val="32"/>
        </w:rPr>
      </w:pP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b/>
          <w:bCs/>
          <w:sz w:val="32"/>
          <w:szCs w:val="32"/>
        </w:rPr>
        <w:t>1.办公室</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协调承办团市委机关日常事务；负责团市委机关的各种会议、秘书工作；负责审核印发团市委文件及起草有关重要文件；负责文电、文书处理，图书档案管理，信息综合分析；负责团市委和市各有关部门的联系；负责机关财务、车辆、卫生、值班、保密、保卫工作。</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2.组织宣传部（市少先队工作委员会办公室）</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研究制定符合我市实际的共青团组织、干部和团员队伍建设的规定、措施，指导各基层团组织团干队伍和团员队伍的建设，协助各区、学校、企业、机关管理团委领导班子，抓好团干队伍的管理、考核、选拔和培训；根据党的要求，指导团的宣传工作，指导团员青年理论学习，提供和编写团干部教育材料和团课教材；指导青少年活动阵地建设，指导青少年开展健康有益的文化、科技、体育活动；指导全市少先队工作，负责市少工委的日常事务；负责全市各行业团工委的日常工作。</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3.社会工作部（市青年联合会秘书处、市青年文明号创建活动组委会）</w:t>
      </w:r>
    </w:p>
    <w:p>
      <w:pPr>
        <w:spacing w:line="56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团的统战、联络工作，加强与外界的交流，加强对青年社团的指导和管理，负责处理市青年联合会的日常事务；依法维护青少年合法权益，参与保护青少年健康成长的法规、规章制度的修订和监督实施，协助开展预防青少年违法犯罪工作，充分发挥在未成年人保护工作中的职能作用；研究制定青少年社会工作有关政策、制度，指导青少年事务社工专业人才队伍建设，强化社工宣传和培训工作；树立宣传先进青年典型，推进“青年岗位能手”“创建青年文明号行动”“青年创业行动”、“农村青年致富带头人”工作；组织协调、指导社区青年工作、“三下乡”活动；负责指导全市希望工程的相关工作。</w:t>
      </w:r>
    </w:p>
    <w:p>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b/>
          <w:bCs/>
          <w:sz w:val="32"/>
          <w:szCs w:val="32"/>
        </w:rPr>
        <w:t>4.志愿服务部</w:t>
      </w:r>
    </w:p>
    <w:p>
      <w:pPr>
        <w:spacing w:line="560" w:lineRule="exact"/>
        <w:ind w:firstLine="640"/>
        <w:rPr>
          <w:rFonts w:ascii="Times New Roman" w:hAnsi="Times New Roman" w:eastAsia="仿宋_GB2312"/>
          <w:sz w:val="32"/>
          <w:szCs w:val="32"/>
        </w:rPr>
      </w:pPr>
      <w:r>
        <w:rPr>
          <w:rFonts w:hint="eastAsia" w:ascii="Times New Roman" w:hAnsi="Times New Roman" w:eastAsia="仿宋_GB2312"/>
          <w:sz w:val="32"/>
          <w:szCs w:val="32"/>
        </w:rPr>
        <w:t>拟订全市青年志愿服务工作规划和政策制度，指导青年志愿服务工作；指导全市相关组织参与并推动全市志愿服务常态化，协调组织志愿者参与三亚市各项赛会志愿服务；负责三亚市大学生志愿服务中西部计划项目办日常工作；负责志愿服务相关评奖评优工作。</w:t>
      </w:r>
    </w:p>
    <w:p>
      <w:pPr>
        <w:pStyle w:val="18"/>
        <w:numPr>
          <w:ilvl w:val="0"/>
          <w:numId w:val="6"/>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r>
        <w:rPr>
          <w:rFonts w:hint="eastAsia" w:ascii="黑体" w:hAnsi="黑体" w:eastAsia="黑体"/>
          <w:color w:val="auto"/>
          <w:sz w:val="32"/>
          <w:szCs w:val="32"/>
          <w:highlight w:val="none"/>
        </w:rPr>
        <w:t>（单位也需要公开内部构成）</w:t>
      </w:r>
    </w:p>
    <w:p>
      <w:pPr>
        <w:ind w:firstLine="800" w:firstLineChars="250"/>
        <w:jc w:val="left"/>
        <w:rPr>
          <w:rFonts w:ascii="仿宋_GB2312" w:hAnsi="黑体" w:eastAsia="仿宋_GB2312"/>
          <w:sz w:val="32"/>
          <w:szCs w:val="32"/>
        </w:rPr>
      </w:pPr>
      <w:r>
        <w:rPr>
          <w:rFonts w:hint="eastAsia" w:ascii="仿宋_GB2312" w:hAnsi="黑体" w:eastAsia="仿宋_GB2312"/>
          <w:sz w:val="32"/>
          <w:szCs w:val="32"/>
        </w:rPr>
        <w:t>纳入</w:t>
      </w:r>
      <w:r>
        <w:rPr>
          <w:rFonts w:hint="eastAsia" w:ascii="仿宋_GB2312" w:hAnsi="黑体" w:eastAsia="仿宋_GB2312"/>
          <w:sz w:val="32"/>
          <w:szCs w:val="32"/>
          <w:lang w:eastAsia="zh-CN"/>
        </w:rPr>
        <w:t>中国共产主义青年团三亚市委员会</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年部门预算编制范围的二级预算单位包括：</w:t>
      </w:r>
    </w:p>
    <w:p>
      <w:pPr>
        <w:spacing w:line="560" w:lineRule="exact"/>
        <w:ind w:firstLine="640"/>
        <w:rPr>
          <w:rFonts w:ascii="Times New Roman" w:hAnsi="Times New Roman" w:eastAsia="仿宋_GB2312"/>
          <w:b/>
          <w:bCs/>
          <w:sz w:val="32"/>
          <w:szCs w:val="32"/>
        </w:rPr>
      </w:pPr>
      <w:r>
        <w:rPr>
          <w:rFonts w:hint="eastAsia" w:ascii="Times New Roman" w:hAnsi="Times New Roman" w:eastAsia="仿宋_GB2312"/>
          <w:b/>
          <w:bCs/>
          <w:sz w:val="32"/>
          <w:szCs w:val="32"/>
        </w:rPr>
        <w:t>1.三亚市青少年发展服务中心</w:t>
      </w:r>
    </w:p>
    <w:p>
      <w:pPr>
        <w:spacing w:line="560" w:lineRule="exact"/>
        <w:ind w:firstLine="640"/>
        <w:rPr>
          <w:rFonts w:ascii="Times New Roman" w:hAnsi="Times New Roman" w:eastAsia="仿宋_GB2312"/>
          <w:sz w:val="32"/>
          <w:szCs w:val="32"/>
        </w:rPr>
      </w:pPr>
      <w:r>
        <w:rPr>
          <w:rFonts w:hint="eastAsia" w:ascii="Times New Roman" w:hAnsi="Times New Roman" w:eastAsia="仿宋_GB2312"/>
          <w:sz w:val="32"/>
          <w:szCs w:val="32"/>
        </w:rPr>
        <w:t>为青少年爱国主义教育、理想信念教育、心理健康教育等教育工作提供服务。为扶贫助学、关爱弱势青少年群体等慈善工作提供服务，承办全市希望工程的日常事务工作。承办青少年校外素质教育任务，协助组织青少年开展各类比赛、竞赛、交流活动，包括青少年科技创新大赛、文体比赛、联谊交友活动等，服务青少年健康成长。承担各类志愿管理服务工作，承办上级部门交办的其他工作。</w:t>
      </w:r>
    </w:p>
    <w:p>
      <w:pPr>
        <w:spacing w:line="560" w:lineRule="exact"/>
        <w:ind w:firstLine="640"/>
        <w:rPr>
          <w:rFonts w:ascii="Times New Roman" w:hAnsi="Times New Roman" w:eastAsia="仿宋_GB2312"/>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第二部分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年部门预算表</w:t>
      </w:r>
    </w:p>
    <w:p>
      <w:pPr>
        <w:ind w:left="800"/>
        <w:jc w:val="left"/>
        <w:rPr>
          <w:rFonts w:ascii="Times New Roman" w:hAnsi="Times New Roman" w:eastAsia="黑体"/>
          <w:sz w:val="32"/>
          <w:szCs w:val="32"/>
        </w:rPr>
      </w:pPr>
    </w:p>
    <w:p>
      <w:pPr>
        <w:ind w:left="800"/>
        <w:jc w:val="center"/>
        <w:rPr>
          <w:rFonts w:ascii="Times New Roman" w:hAnsi="Times New Roman" w:eastAsia="黑体"/>
          <w:sz w:val="32"/>
          <w:szCs w:val="32"/>
        </w:rPr>
      </w:pPr>
      <w:r>
        <w:rPr>
          <w:rFonts w:hint="eastAsia" w:ascii="仿宋_GB2312" w:hAnsi="黑体" w:eastAsia="仿宋_GB2312"/>
          <w:b/>
          <w:sz w:val="32"/>
          <w:szCs w:val="32"/>
        </w:rPr>
        <w:t>（此部分内容即为部门预算公开表）</w:t>
      </w:r>
    </w:p>
    <w:p>
      <w:pPr>
        <w:ind w:firstLine="480" w:firstLineChars="150"/>
        <w:rPr>
          <w:rFonts w:ascii="Times New Roman" w:hAnsi="Times New Roman" w:eastAsia="黑体"/>
          <w:sz w:val="32"/>
          <w:szCs w:val="32"/>
        </w:rPr>
      </w:pPr>
    </w:p>
    <w:p>
      <w:pPr>
        <w:ind w:firstLine="480" w:firstLineChars="150"/>
        <w:rPr>
          <w:rFonts w:ascii="Times New Roman" w:hAnsi="Times New Roman" w:eastAsia="黑体"/>
          <w:sz w:val="32"/>
          <w:szCs w:val="32"/>
        </w:rPr>
      </w:pPr>
      <w:r>
        <w:rPr>
          <w:rFonts w:hint="eastAsia" w:ascii="Times New Roman" w:hAnsi="Times New Roman" w:eastAsia="黑体"/>
          <w:sz w:val="32"/>
          <w:szCs w:val="32"/>
        </w:rPr>
        <w:t xml:space="preserve">第三部分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年部门预算情况说明</w:t>
      </w:r>
    </w:p>
    <w:p>
      <w:pPr>
        <w:jc w:val="center"/>
        <w:rPr>
          <w:rFonts w:ascii="Times New Roman" w:hAnsi="Times New Roman" w:eastAsia="黑体"/>
          <w:sz w:val="32"/>
          <w:szCs w:val="32"/>
        </w:rPr>
      </w:pPr>
    </w:p>
    <w:p>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cs="Times New Roman"/>
          <w:sz w:val="32"/>
          <w:shd w:val="clear" w:color="auto" w:fill="FFFFFF"/>
        </w:rPr>
        <w:t>（部门）</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年财政拨款收支预算情况的总体说明</w:t>
      </w:r>
    </w:p>
    <w:p>
      <w:pPr>
        <w:spacing w:line="56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sz w:val="32"/>
          <w:szCs w:val="32"/>
        </w:rPr>
        <w:t>2023年财政拨款收支总预算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万元。其中，收入总计</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万元，包括一般公共预算本年收入</w:t>
      </w:r>
      <w:r>
        <w:rPr>
          <w:rFonts w:hint="eastAsia" w:ascii="Times New Roman" w:hAnsi="Times New Roman" w:eastAsia="仿宋_GB2312" w:cs="仿宋_GB2312"/>
          <w:sz w:val="32"/>
          <w:szCs w:val="32"/>
        </w:rPr>
        <w:t>2240.06</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83.13</w:t>
      </w:r>
      <w:r>
        <w:rPr>
          <w:rFonts w:hint="eastAsia" w:ascii="Times New Roman" w:hAnsi="Times New Roman" w:eastAsia="仿宋_GB2312"/>
          <w:sz w:val="32"/>
          <w:szCs w:val="32"/>
        </w:rPr>
        <w:t>万元；</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Times New Roman" w:hAnsi="Times New Roman" w:eastAsia="仿宋_GB2312"/>
          <w:sz w:val="32"/>
          <w:szCs w:val="32"/>
        </w:rPr>
        <w:t>支出总计</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万元，包括一般公共服务支出</w:t>
      </w:r>
      <w:r>
        <w:rPr>
          <w:rFonts w:hint="eastAsia" w:ascii="Times New Roman" w:hAnsi="Times New Roman" w:eastAsia="仿宋_GB2312" w:cs="仿宋_GB2312"/>
          <w:sz w:val="32"/>
          <w:szCs w:val="32"/>
        </w:rPr>
        <w:t>2185.10</w:t>
      </w:r>
      <w:r>
        <w:rPr>
          <w:rFonts w:hint="eastAsia" w:ascii="Times New Roman" w:hAnsi="Times New Roman" w:eastAsia="仿宋_GB2312"/>
          <w:sz w:val="32"/>
          <w:szCs w:val="32"/>
        </w:rPr>
        <w:t>万元、外交支出0万元、国防支出0万元、公共安全支出0万元、教育支出0万元、科学技术支出0万元、文化旅游体育与传媒支出0万元、社会保障和就业支出75.31万元、社会保险基金支出0万元、卫生健康支出38.75万元、节能环保支出0万元、城乡社区支出0万元、农林水支出0万元、交通运输支出0万元、资源勘探信息等支出0万元、商业服务业等支出0万元、金融支出0万元、援助其他地区支出0万元、自然资源海洋气象等支出0万元、住房保障支出24.03万元、粮油物资储备支出0万元、灾害防治及应急管理支出0万元、预备费0万元、其它支出0万元、转移性支出0万元、债务还本支出0万元、债务付息支出0万元、债务发行费用支出，结转下年0万元。</w:t>
      </w:r>
    </w:p>
    <w:p>
      <w:pPr>
        <w:ind w:firstLine="640"/>
        <w:jc w:val="left"/>
        <w:rPr>
          <w:rFonts w:ascii="Times New Roman" w:hAnsi="Times New Roman" w:eastAsia="黑体"/>
          <w:sz w:val="32"/>
          <w:szCs w:val="32"/>
        </w:rPr>
      </w:pPr>
      <w:r>
        <w:rPr>
          <w:rFonts w:hint="eastAsia" w:ascii="Times New Roman" w:hAnsi="Times New Roman" w:eastAsia="黑体"/>
          <w:sz w:val="32"/>
          <w:szCs w:val="32"/>
        </w:rPr>
        <w:t>二、关于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年一般公共预算当年拨款情况说明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（一）一般公共预算当年规模变化情况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年一般公共预算当年拨款</w:t>
      </w:r>
      <w:r>
        <w:rPr>
          <w:rFonts w:hint="eastAsia" w:ascii="Times New Roman" w:hAnsi="Times New Roman" w:eastAsia="仿宋_GB2312" w:cs="仿宋_GB2312"/>
          <w:sz w:val="32"/>
          <w:szCs w:val="32"/>
        </w:rPr>
        <w:t>2240.06</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增加289.54</w:t>
      </w:r>
      <w:r>
        <w:rPr>
          <w:rFonts w:hint="eastAsia" w:ascii="Times New Roman" w:hAnsi="Times New Roman" w:eastAsia="仿宋_GB2312"/>
          <w:sz w:val="32"/>
          <w:szCs w:val="32"/>
        </w:rPr>
        <w:t>万元，主要是原由市委统战部、市委政法委、市政协、市委办四家单位拨付的志愿者人员经费，在今年统一由我委做出预算以便后续支出。</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（二）一般公共预算当年拨款结构情况</w:t>
      </w:r>
    </w:p>
    <w:p>
      <w:pPr>
        <w:ind w:firstLine="800" w:firstLineChars="250"/>
        <w:rPr>
          <w:rFonts w:ascii="Times New Roman" w:hAnsi="Times New Roman" w:eastAsia="仿宋_GB2312"/>
          <w:sz w:val="32"/>
          <w:szCs w:val="32"/>
        </w:rPr>
      </w:pPr>
      <w:r>
        <w:rPr>
          <w:rFonts w:hint="eastAsia" w:ascii="Times New Roman" w:hAnsi="Times New Roman" w:eastAsia="仿宋_GB2312" w:cs="仿宋_GB2312"/>
          <w:sz w:val="32"/>
          <w:szCs w:val="32"/>
        </w:rPr>
        <w:t>一般公共服务（类）支出2185.10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94.06</w:t>
      </w:r>
      <w:r>
        <w:rPr>
          <w:rFonts w:hint="eastAsia" w:ascii="Times New Roman" w:hAnsi="Times New Roman" w:eastAsia="仿宋_GB2312"/>
          <w:sz w:val="32"/>
          <w:szCs w:val="32"/>
        </w:rPr>
        <w:t>%；外交（类）</w:t>
      </w:r>
      <w:r>
        <w:rPr>
          <w:rFonts w:hint="eastAsia" w:ascii="Times New Roman" w:hAnsi="Times New Roman" w:eastAsia="仿宋_GB2312" w:cs="仿宋_GB2312"/>
          <w:sz w:val="32"/>
          <w:szCs w:val="32"/>
        </w:rPr>
        <w:t>支出0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%；教育（类）</w:t>
      </w:r>
      <w:r>
        <w:rPr>
          <w:rFonts w:hint="eastAsia" w:ascii="Times New Roman" w:hAnsi="Times New Roman" w:eastAsia="仿宋_GB2312" w:cs="仿宋_GB2312"/>
          <w:sz w:val="32"/>
          <w:szCs w:val="32"/>
        </w:rPr>
        <w:t>支出0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%；科学技术（类）</w:t>
      </w:r>
      <w:r>
        <w:rPr>
          <w:rFonts w:hint="eastAsia" w:ascii="Times New Roman" w:hAnsi="Times New Roman" w:eastAsia="仿宋_GB2312" w:cs="仿宋_GB2312"/>
          <w:sz w:val="32"/>
          <w:szCs w:val="32"/>
        </w:rPr>
        <w:t>支出0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%；社会保障和就业（类）支出75.31万元，占3.24%；卫生健康（类）支出38.75万元，占1.67%；住房保障（类）支出24.03万元，占1.03%。</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（三）一般公共预算当年拨款具体使用情况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1.一般公共服务（类）群众团体事务（款）行政运行（项）2023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240.30</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增加8.44</w:t>
      </w:r>
      <w:r>
        <w:rPr>
          <w:rFonts w:hint="eastAsia" w:ascii="Times New Roman" w:hAnsi="Times New Roman" w:eastAsia="仿宋_GB2312"/>
          <w:sz w:val="32"/>
          <w:szCs w:val="32"/>
        </w:rPr>
        <w:t>万元，主要是我委于2022年11月新增试用期公务员1名，在职在编人员经费增加。</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2.一般公共服务（类）群众团体事务（款）一般行政管理事务（项）2023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1206.41</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增加286.67</w:t>
      </w:r>
      <w:r>
        <w:rPr>
          <w:rFonts w:hint="eastAsia" w:ascii="Times New Roman" w:hAnsi="Times New Roman" w:eastAsia="仿宋_GB2312"/>
          <w:sz w:val="32"/>
          <w:szCs w:val="32"/>
        </w:rPr>
        <w:t>万元，主要是原由市委统战部、市委政法委、市政协、市委办四家单位拨付的志愿者人员经费，在今年统一由我委做出预算，导致行政运行经费预算增加。</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3.一般公共服务（类）群众团体事务（款）其他群众团体事务支出（项）2023年预算数为738.4万元，比</w:t>
      </w:r>
      <w:r>
        <w:rPr>
          <w:rFonts w:hint="eastAsia" w:ascii="Times New Roman" w:hAnsi="Times New Roman" w:eastAsia="仿宋_GB2312"/>
          <w:sz w:val="32"/>
          <w:szCs w:val="32"/>
        </w:rPr>
        <w:t>上年预算数减少37.59万元，主要是青少年事务工作经费、人才开发专项资金在经市财政局统一进行资金调配后缩减。</w:t>
      </w:r>
    </w:p>
    <w:p>
      <w:pPr>
        <w:ind w:firstLine="640" w:firstLineChars="200"/>
        <w:rPr>
          <w:rFonts w:ascii="Times New Roman" w:hAnsi="Times New Roman" w:eastAsia="仿宋_GB2312"/>
          <w:color w:val="FF0000"/>
          <w:sz w:val="32"/>
          <w:szCs w:val="32"/>
        </w:rPr>
      </w:pPr>
      <w:r>
        <w:rPr>
          <w:rFonts w:hint="eastAsia" w:ascii="Times New Roman" w:hAnsi="Times New Roman" w:eastAsia="仿宋_GB2312"/>
          <w:sz w:val="32"/>
          <w:szCs w:val="32"/>
        </w:rPr>
        <w:t>4.社会保险和就业支出（类）行政事业单位养老支出（款）机关事业单位基本养老保险缴费支出（项）2023年预算数为25.54万元，比上年预算数增加7.12万元，主要是人员增加和人员工资上调，相应机关事业单位基本养老保险缴费支出有所增加。</w:t>
      </w:r>
    </w:p>
    <w:p>
      <w:pPr>
        <w:ind w:firstLine="640" w:firstLineChars="200"/>
        <w:rPr>
          <w:rFonts w:ascii="Times New Roman" w:hAnsi="Times New Roman" w:eastAsia="仿宋_GB2312"/>
          <w:color w:val="FF0000"/>
          <w:sz w:val="32"/>
          <w:szCs w:val="32"/>
        </w:rPr>
      </w:pPr>
      <w:r>
        <w:rPr>
          <w:rFonts w:hint="eastAsia" w:ascii="Times New Roman" w:hAnsi="Times New Roman" w:eastAsia="仿宋_GB2312"/>
          <w:sz w:val="32"/>
          <w:szCs w:val="32"/>
        </w:rPr>
        <w:t>5.社会保险和就业支出（类）行政事业单位养老支出（款）机关事业单位职业年金缴费支出（项）2023年预算数为49.77万元，比上年预算数增加41.77万元，主要是根据三亚市社保局相关文件要求，我委2023年将进行2023年及2014-2015年的职业年金虚账做实工作，因此增加机关事业单位职业年金缴费支出预算。</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6.卫生健康支出（类）行政事业单位医疗（款）行政单位医疗（项）2023年预算数为10.72万元，比上年预算数增加0.93万元，主要是我委人员增加和人员工资上调，相应行政医疗费用有所增加。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7.卫生健康支出（类）行政事业单位医疗（款）公务员医疗补助（项）2023年预算数为28.02万元，比上年预算数增加10万元，主要原因是人员增加和人员工资上调，相应公务员医疗补助有所增加。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8.住房保障支出（类）住房改革支出（款）住房公积金（项）2023年预算数为24.03万元，比上年预算数增加8.4万元，主要原因是人员增加和人员工资上调，相应住房公积金有所增加。</w:t>
      </w:r>
    </w:p>
    <w:p>
      <w:pPr>
        <w:ind w:firstLine="640"/>
        <w:rPr>
          <w:rFonts w:ascii="Times New Roman" w:hAnsi="Times New Roman" w:eastAsia="黑体"/>
          <w:sz w:val="32"/>
          <w:szCs w:val="32"/>
        </w:rPr>
      </w:pPr>
      <w:r>
        <w:rPr>
          <w:rFonts w:hint="eastAsia" w:ascii="Times New Roman" w:hAnsi="Times New Roman" w:eastAsia="黑体"/>
          <w:sz w:val="32"/>
          <w:szCs w:val="32"/>
        </w:rPr>
        <w:t>三、关于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w:t>
      </w:r>
      <w:r>
        <w:rPr>
          <w:rFonts w:hint="eastAsia" w:ascii="Times New Roman" w:hAnsi="Times New Roman" w:eastAsia="仿宋_GB2312" w:cs="仿宋_GB2312"/>
          <w:sz w:val="32"/>
          <w:szCs w:val="32"/>
        </w:rPr>
        <w:t>3</w:t>
      </w:r>
      <w:r>
        <w:rPr>
          <w:rFonts w:hint="eastAsia" w:ascii="Times New Roman" w:hAnsi="Times New Roman" w:eastAsia="黑体"/>
          <w:sz w:val="32"/>
          <w:szCs w:val="32"/>
        </w:rPr>
        <w:t>年一般公共预算基本支出情况说明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年一般公共预算基本支出为</w:t>
      </w:r>
      <w:r>
        <w:rPr>
          <w:rFonts w:hint="eastAsia" w:ascii="Times New Roman" w:hAnsi="Times New Roman" w:eastAsia="仿宋_GB2312" w:cs="仿宋_GB2312"/>
          <w:sz w:val="32"/>
          <w:szCs w:val="32"/>
        </w:rPr>
        <w:t>378.39</w:t>
      </w:r>
      <w:r>
        <w:rPr>
          <w:rFonts w:hint="eastAsia" w:ascii="Times New Roman" w:hAnsi="Times New Roman" w:eastAsia="仿宋_GB2312"/>
          <w:sz w:val="32"/>
          <w:szCs w:val="32"/>
        </w:rPr>
        <w:t>万元，其中：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cs="仿宋_GB2312"/>
          <w:sz w:val="32"/>
          <w:szCs w:val="32"/>
        </w:rPr>
        <w:t>349.29</w:t>
      </w:r>
      <w:r>
        <w:rPr>
          <w:rFonts w:hint="eastAsia" w:ascii="Times New Roman" w:hAnsi="Times New Roman"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cs="仿宋_GB2312"/>
          <w:sz w:val="32"/>
          <w:szCs w:val="32"/>
        </w:rPr>
        <w:t>29.1</w:t>
      </w:r>
      <w:r>
        <w:rPr>
          <w:rFonts w:hint="eastAsia" w:ascii="Times New Roman" w:hAnsi="Times New Roman" w:eastAsia="仿宋_GB2312"/>
          <w:sz w:val="32"/>
          <w:szCs w:val="32"/>
        </w:rPr>
        <w:t>万元，主要包括：其他社会保障缴费、办公费、会议费、培训费、工会经费、福利费、公务用车运行维护费、其他商品和服务支出。</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年“三公”经费预算情况</w:t>
      </w:r>
      <w:r>
        <w:rPr>
          <w:rFonts w:hint="eastAsia"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（一）</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年一般公共预算“三公”经费预算数为</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仿宋_GB2312"/>
          <w:sz w:val="32"/>
          <w:szCs w:val="32"/>
        </w:rPr>
        <w:t>2023年</w:t>
      </w:r>
      <w:r>
        <w:rPr>
          <w:rFonts w:hint="eastAsia" w:ascii="Times New Roman" w:hAnsi="Times New Roman" w:eastAsia="仿宋_GB2312" w:cs="Times New Roman"/>
          <w:sz w:val="32"/>
          <w:shd w:val="clear" w:color="auto" w:fill="FFFFFF"/>
        </w:rPr>
        <w:t>无出国（境）计划安排。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（二）</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年政府性基金预算“三公”经费预算数为</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年</w:t>
      </w:r>
      <w:r>
        <w:rPr>
          <w:rFonts w:hint="eastAsia" w:ascii="Times New Roman" w:hAnsi="Times New Roman" w:eastAsia="仿宋_GB2312" w:cs="Times New Roman"/>
          <w:sz w:val="32"/>
          <w:shd w:val="clear" w:color="auto" w:fill="FFFFFF"/>
        </w:rPr>
        <w:t>无出国（境）计划安排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（一）政府性基金预算当年规模变化情况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年政府性基金预算当年拨款</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万元，与上年预算数</w:t>
      </w:r>
      <w:r>
        <w:rPr>
          <w:rFonts w:hint="eastAsia" w:ascii="Times New Roman" w:hAnsi="Times New Roman" w:eastAsia="仿宋_GB2312" w:cs="仿宋_GB2312"/>
          <w:sz w:val="32"/>
          <w:szCs w:val="32"/>
        </w:rPr>
        <w:t>持平</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（二）政府性基金预算当年拨款结构情况</w:t>
      </w:r>
    </w:p>
    <w:p>
      <w:pPr>
        <w:ind w:firstLine="960" w:firstLineChars="300"/>
        <w:rPr>
          <w:rFonts w:ascii="Times New Roman" w:hAnsi="Times New Roman" w:eastAsia="仿宋_GB2312"/>
          <w:sz w:val="32"/>
          <w:szCs w:val="32"/>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（三）政府性基金预算当年拨款具体使用情况</w:t>
      </w:r>
    </w:p>
    <w:p>
      <w:pPr>
        <w:ind w:firstLine="960" w:firstLineChars="300"/>
        <w:rPr>
          <w:rFonts w:ascii="Times New Roman" w:hAnsi="Times New Roman" w:eastAsia="仿宋_GB2312"/>
          <w:sz w:val="32"/>
          <w:szCs w:val="32"/>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按照综合预算原则，</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所有收入和支出均纳入部门预算管理。收入包括：一般公共预算拨款收入</w:t>
      </w:r>
      <w:r>
        <w:rPr>
          <w:rFonts w:hint="eastAsia" w:ascii="Times New Roman" w:hAnsi="Times New Roman" w:eastAsia="仿宋_GB2312"/>
          <w:sz w:val="32"/>
          <w:szCs w:val="32"/>
        </w:rPr>
        <w:t>；支出包括：一般公共服务支出、社会保障和就业支出、卫生健康支出、住房保障支出。</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sz w:val="32"/>
          <w:szCs w:val="32"/>
        </w:rPr>
        <w:t>2023年收支总预算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收入预算情况说明</w:t>
      </w:r>
    </w:p>
    <w:p>
      <w:p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年收入预算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万元，其中：上年结转</w:t>
      </w:r>
      <w:r>
        <w:rPr>
          <w:rFonts w:hint="eastAsia" w:ascii="Times New Roman" w:hAnsi="Times New Roman" w:eastAsia="仿宋_GB2312" w:cs="仿宋_GB2312"/>
          <w:sz w:val="32"/>
          <w:szCs w:val="32"/>
        </w:rPr>
        <w:t>83.13</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3.58</w:t>
      </w:r>
      <w:r>
        <w:rPr>
          <w:rFonts w:hint="eastAsia" w:ascii="Times New Roman" w:hAnsi="Times New Roman" w:eastAsia="仿宋_GB2312"/>
          <w:sz w:val="32"/>
          <w:szCs w:val="32"/>
        </w:rPr>
        <w:t>%；经费拨款收入</w:t>
      </w:r>
      <w:r>
        <w:rPr>
          <w:rFonts w:hint="eastAsia" w:ascii="Times New Roman" w:hAnsi="Times New Roman" w:eastAsia="仿宋_GB2312" w:cs="仿宋_GB2312"/>
          <w:sz w:val="32"/>
          <w:szCs w:val="32"/>
        </w:rPr>
        <w:t>2240.06</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96.42</w:t>
      </w:r>
      <w:r>
        <w:rPr>
          <w:rFonts w:hint="eastAsia" w:ascii="Times New Roman" w:hAnsi="Times New Roman" w:eastAsia="仿宋_GB2312"/>
          <w:sz w:val="32"/>
          <w:szCs w:val="32"/>
        </w:rPr>
        <w:t>%；</w:t>
      </w:r>
      <w:r>
        <w:rPr>
          <w:rFonts w:hint="eastAsia" w:ascii="仿宋_GB2312" w:hAnsi="黑体" w:eastAsia="仿宋_GB2312"/>
          <w:sz w:val="32"/>
          <w:szCs w:val="32"/>
        </w:rPr>
        <w:t>政府性基</w:t>
      </w:r>
      <w:r>
        <w:rPr>
          <w:rFonts w:hint="eastAsia" w:ascii="Times New Roman" w:hAnsi="Times New Roman" w:eastAsia="仿宋_GB2312" w:cs="仿宋_GB2312"/>
          <w:sz w:val="32"/>
          <w:szCs w:val="32"/>
        </w:rPr>
        <w:t>金收入</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万元，占</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%；专项收入</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万元，占</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增加325.76</w:t>
      </w:r>
      <w:r>
        <w:rPr>
          <w:rFonts w:hint="eastAsia" w:ascii="Times New Roman" w:hAnsi="Times New Roman" w:eastAsia="仿宋_GB2312"/>
          <w:sz w:val="32"/>
          <w:szCs w:val="32"/>
        </w:rPr>
        <w:t>万元，主要是原由市委统战部、市委政法委、市政协、市委办四家单位拨付的志愿者人员经费，在今年统一由我委做出预算以便后续支出，以及大学生志愿服务西部计划补助资金结转结余增加。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w:t>
      </w:r>
      <w:r>
        <w:rPr>
          <w:rFonts w:hint="eastAsia" w:ascii="Times New Roman" w:hAnsi="Times New Roman" w:eastAsia="黑体"/>
          <w:sz w:val="32"/>
          <w:szCs w:val="32"/>
          <w:lang w:eastAsia="zh-CN"/>
        </w:rPr>
        <w:t>中国共产主义青年团三亚市委员会</w:t>
      </w:r>
      <w:r>
        <w:rPr>
          <w:rFonts w:hint="eastAsia" w:ascii="Times New Roman" w:hAnsi="Times New Roman" w:eastAsia="黑体"/>
          <w:sz w:val="32"/>
          <w:szCs w:val="32"/>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年支出预算</w:t>
      </w:r>
      <w:r>
        <w:rPr>
          <w:rFonts w:hint="eastAsia" w:ascii="Times New Roman" w:hAnsi="Times New Roman" w:eastAsia="仿宋_GB2312" w:cs="仿宋_GB2312"/>
          <w:sz w:val="32"/>
          <w:szCs w:val="32"/>
        </w:rPr>
        <w:t>2323.19</w:t>
      </w:r>
      <w:r>
        <w:rPr>
          <w:rFonts w:hint="eastAsia" w:ascii="Times New Roman" w:hAnsi="Times New Roman" w:eastAsia="仿宋_GB2312"/>
          <w:sz w:val="32"/>
          <w:szCs w:val="32"/>
        </w:rPr>
        <w:t>万元，其中：基本支出</w:t>
      </w:r>
      <w:r>
        <w:rPr>
          <w:rFonts w:hint="eastAsia" w:ascii="Times New Roman" w:hAnsi="Times New Roman" w:eastAsia="仿宋_GB2312" w:cs="仿宋_GB2312"/>
          <w:sz w:val="32"/>
          <w:szCs w:val="32"/>
        </w:rPr>
        <w:t>378.39</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16.29</w:t>
      </w:r>
      <w:r>
        <w:rPr>
          <w:rFonts w:hint="eastAsia" w:ascii="Times New Roman" w:hAnsi="Times New Roman" w:eastAsia="仿宋_GB2312"/>
          <w:sz w:val="32"/>
          <w:szCs w:val="32"/>
        </w:rPr>
        <w:t>%；项目支出</w:t>
      </w:r>
      <w:r>
        <w:rPr>
          <w:rFonts w:hint="eastAsia" w:ascii="Times New Roman" w:hAnsi="Times New Roman" w:eastAsia="仿宋_GB2312" w:cs="仿宋_GB2312"/>
          <w:sz w:val="32"/>
          <w:szCs w:val="32"/>
        </w:rPr>
        <w:t>1944.81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83.71</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增加325.76</w:t>
      </w:r>
      <w:r>
        <w:rPr>
          <w:rFonts w:hint="eastAsia" w:ascii="Times New Roman" w:hAnsi="Times New Roman" w:eastAsia="仿宋_GB2312"/>
          <w:sz w:val="32"/>
          <w:szCs w:val="32"/>
        </w:rPr>
        <w:t>万元，主要是根据三亚市社保局相关文件要求，我委2023年将进行2023年及2014-2015年的职业年金虚账做实工作，因此增加机关事业单位职业年金缴费支出预算，以及志愿者人员经费增加。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（一）机关运行经费（行政单位、参照公务员法管理的事业单位需说明，其他单位不需要说明）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等的机关运行经费预算82.7</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（二）政府采购情况</w:t>
      </w:r>
    </w:p>
    <w:p>
      <w:pPr>
        <w:ind w:firstLine="640"/>
        <w:rPr>
          <w:rFonts w:hint="eastAsia" w:ascii="Times New Roman" w:hAnsi="Times New Roman" w:eastAsia="宋体"/>
          <w:sz w:val="32"/>
          <w:szCs w:val="32"/>
          <w:lang w:eastAsia="zh-CN"/>
        </w:rPr>
      </w:pPr>
      <w:r>
        <w:rPr>
          <w:rFonts w:hint="eastAsia" w:ascii="Times New Roman" w:hAnsi="Times New Roman" w:eastAsia="仿宋_GB2312" w:cs="仿宋_GB2312"/>
          <w:sz w:val="32"/>
          <w:szCs w:val="32"/>
        </w:rPr>
        <w:t>2023年</w:t>
      </w:r>
      <w:r>
        <w:rPr>
          <w:rFonts w:hint="eastAsia" w:ascii="Times New Roman" w:hAnsi="Times New Roman" w:eastAsia="仿宋_GB2312" w:cs="仿宋_GB2312"/>
          <w:sz w:val="32"/>
          <w:szCs w:val="32"/>
          <w:lang w:eastAsia="zh-CN"/>
        </w:rPr>
        <w:t>中国共产主义青年团三亚市委员会</w:t>
      </w:r>
      <w:r>
        <w:rPr>
          <w:rFonts w:hint="eastAsia" w:ascii="Times New Roman" w:hAnsi="Times New Roman" w:eastAsia="仿宋_GB2312" w:cs="仿宋_GB2312"/>
          <w:sz w:val="32"/>
          <w:szCs w:val="32"/>
        </w:rPr>
        <w:t>政府采购预算总额0万元。其中：政府采购货物预算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万元，政府采购工程预算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万元，政府采购服务预算</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w:t>
      </w:r>
      <w:bookmarkStart w:id="0" w:name="_GoBack"/>
      <w:bookmarkEnd w:id="0"/>
      <w:r>
        <w:rPr>
          <w:rStyle w:val="8"/>
          <w:rFonts w:hint="eastAsia"/>
          <w:lang w:eastAsia="zh-CN"/>
        </w:rPr>
        <w:t>。</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（三）国有资产占有使用情况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截至2022</w:t>
      </w:r>
      <w:r>
        <w:rPr>
          <w:rFonts w:hint="eastAsia" w:ascii="Times New Roman" w:hAnsi="Times New Roman" w:eastAsia="仿宋_GB2312"/>
          <w:sz w:val="32"/>
          <w:szCs w:val="32"/>
        </w:rPr>
        <w:t>年12月31日，</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（四）绩效目标设置情况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中国共产主义青年团三亚市委员会</w:t>
      </w:r>
      <w:r>
        <w:rPr>
          <w:rFonts w:hint="eastAsia" w:ascii="Times New Roman" w:hAnsi="Times New Roman" w:eastAsia="仿宋_GB2312" w:cs="仿宋_GB2312"/>
          <w:sz w:val="32"/>
          <w:szCs w:val="32"/>
        </w:rPr>
        <w:t>16个项目实行绩效目标管理，涉及一般公共预算2240.06</w:t>
      </w:r>
      <w:r>
        <w:rPr>
          <w:rFonts w:hint="eastAsia" w:ascii="Times New Roman" w:hAnsi="Times New Roman" w:eastAsia="仿宋_GB2312"/>
          <w:sz w:val="32"/>
          <w:szCs w:val="32"/>
        </w:rPr>
        <w:t>万元、政府性基金</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万元、国有资本经营预算资金0万元、财政专户管理资金0万元、单位资金0万元。</w:t>
      </w:r>
    </w:p>
    <w:p>
      <w:pPr>
        <w:jc w:val="center"/>
        <w:rPr>
          <w:rFonts w:ascii="Times New Roman" w:hAnsi="Times New Roman" w:eastAsia="黑体"/>
          <w:sz w:val="32"/>
          <w:szCs w:val="32"/>
        </w:rPr>
      </w:pPr>
    </w:p>
    <w:p>
      <w:pPr>
        <w:jc w:val="left"/>
        <w:rPr>
          <w:rFonts w:ascii="Times New Roman" w:hAnsi="Times New Roman" w:eastAsia="仿宋_GB2312" w:cs="宋体"/>
          <w:color w:val="000000"/>
          <w:kern w:val="0"/>
          <w:sz w:val="32"/>
          <w:szCs w:val="30"/>
        </w:rPr>
      </w:pPr>
    </w:p>
    <w:p>
      <w:pPr>
        <w:jc w:val="center"/>
        <w:rPr>
          <w:rFonts w:ascii="Times New Roman" w:hAnsi="Times New Roman" w:eastAsia="黑体"/>
          <w:b/>
          <w:sz w:val="32"/>
          <w:szCs w:val="32"/>
        </w:rPr>
      </w:pPr>
      <w:r>
        <w:rPr>
          <w:rFonts w:hint="eastAsia" w:ascii="Times New Roman" w:hAnsi="Times New Roman" w:eastAsia="黑体"/>
          <w:b/>
          <w:sz w:val="32"/>
          <w:szCs w:val="32"/>
        </w:rPr>
        <w:t>第四部分  名词解释</w:t>
      </w:r>
    </w:p>
    <w:p>
      <w:pPr>
        <w:ind w:firstLine="640" w:firstLineChars="200"/>
        <w:jc w:val="left"/>
        <w:rPr>
          <w:rFonts w:ascii="Times New Roman" w:hAnsi="Times New Roman" w:eastAsia="仿宋_GB2312" w:cs="宋体"/>
          <w:bCs/>
          <w:color w:val="000000"/>
          <w:kern w:val="0"/>
          <w:sz w:val="32"/>
          <w:szCs w:val="32"/>
          <w:lang w:val="zh-CN"/>
        </w:rPr>
      </w:pP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一、财政拨款收入：指本级财政当年拨付的资金。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宋体"/>
          <w:color w:val="000000"/>
          <w:kern w:val="0"/>
          <w:sz w:val="32"/>
          <w:szCs w:val="30"/>
        </w:rPr>
      </w:pPr>
    </w:p>
    <w:p>
      <w:pPr>
        <w:ind w:firstLine="640" w:firstLineChars="200"/>
        <w:rPr>
          <w:rFonts w:ascii="Times New Roman" w:hAnsi="Times New Roman" w:eastAsia="仿宋_GB2312" w:cs="仿宋_GB2312"/>
          <w:sz w:val="32"/>
          <w:szCs w:val="32"/>
        </w:rPr>
      </w:pPr>
    </w:p>
    <w:p>
      <w:pPr>
        <w:ind w:firstLine="640" w:firstLineChars="200"/>
        <w:jc w:val="left"/>
        <w:rPr>
          <w:rFonts w:ascii="Times New Roman" w:hAnsi="Times New Roman"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FF11FBF"/>
    <w:multiLevelType w:val="multilevel"/>
    <w:tmpl w:val="4FF11FBF"/>
    <w:lvl w:ilvl="0" w:tentative="0">
      <w:start w:val="2"/>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172A27"/>
    <w:rsid w:val="00035831"/>
    <w:rsid w:val="000A7AC0"/>
    <w:rsid w:val="00172A27"/>
    <w:rsid w:val="00271B57"/>
    <w:rsid w:val="003B03AC"/>
    <w:rsid w:val="004C35E4"/>
    <w:rsid w:val="004C5C5B"/>
    <w:rsid w:val="005604C4"/>
    <w:rsid w:val="005D13CF"/>
    <w:rsid w:val="00617108"/>
    <w:rsid w:val="0067000D"/>
    <w:rsid w:val="006D0DB9"/>
    <w:rsid w:val="00716F47"/>
    <w:rsid w:val="00771E33"/>
    <w:rsid w:val="00872411"/>
    <w:rsid w:val="008E29F7"/>
    <w:rsid w:val="00941945"/>
    <w:rsid w:val="009C757F"/>
    <w:rsid w:val="00A4560F"/>
    <w:rsid w:val="00A532B4"/>
    <w:rsid w:val="00A64E45"/>
    <w:rsid w:val="00AE6805"/>
    <w:rsid w:val="00B05DF3"/>
    <w:rsid w:val="00C35EE2"/>
    <w:rsid w:val="01DF5B87"/>
    <w:rsid w:val="03115ECD"/>
    <w:rsid w:val="03CD35E9"/>
    <w:rsid w:val="04AC08AB"/>
    <w:rsid w:val="06235599"/>
    <w:rsid w:val="082D76FE"/>
    <w:rsid w:val="08DD13DA"/>
    <w:rsid w:val="0C0C25FB"/>
    <w:rsid w:val="0DC21375"/>
    <w:rsid w:val="0FDE0F33"/>
    <w:rsid w:val="111F3177"/>
    <w:rsid w:val="13851FB6"/>
    <w:rsid w:val="147B392C"/>
    <w:rsid w:val="148A7A07"/>
    <w:rsid w:val="15C63A57"/>
    <w:rsid w:val="194B135F"/>
    <w:rsid w:val="198E1C48"/>
    <w:rsid w:val="19D5DA33"/>
    <w:rsid w:val="1BE44317"/>
    <w:rsid w:val="1D621178"/>
    <w:rsid w:val="1E115128"/>
    <w:rsid w:val="1E5A2A48"/>
    <w:rsid w:val="1E8D5B54"/>
    <w:rsid w:val="1EA024DB"/>
    <w:rsid w:val="1FBF8E30"/>
    <w:rsid w:val="247C67FD"/>
    <w:rsid w:val="25AB09AD"/>
    <w:rsid w:val="272B738D"/>
    <w:rsid w:val="27437027"/>
    <w:rsid w:val="27D622F2"/>
    <w:rsid w:val="2842432B"/>
    <w:rsid w:val="291628B3"/>
    <w:rsid w:val="2B201169"/>
    <w:rsid w:val="2B7A47CA"/>
    <w:rsid w:val="2BDF0DC0"/>
    <w:rsid w:val="2CB4082F"/>
    <w:rsid w:val="2F8540CA"/>
    <w:rsid w:val="2FF7110D"/>
    <w:rsid w:val="2FFFCED3"/>
    <w:rsid w:val="323F67BA"/>
    <w:rsid w:val="32A464D5"/>
    <w:rsid w:val="337F662D"/>
    <w:rsid w:val="33E62F14"/>
    <w:rsid w:val="341616AE"/>
    <w:rsid w:val="345A01BB"/>
    <w:rsid w:val="34C65874"/>
    <w:rsid w:val="35722B3B"/>
    <w:rsid w:val="369A3BEA"/>
    <w:rsid w:val="387970D1"/>
    <w:rsid w:val="3A1D1EE4"/>
    <w:rsid w:val="3A4F4AA5"/>
    <w:rsid w:val="3AEA0041"/>
    <w:rsid w:val="3B432756"/>
    <w:rsid w:val="3DC062E2"/>
    <w:rsid w:val="3F3B6D0F"/>
    <w:rsid w:val="3F7FB4B5"/>
    <w:rsid w:val="3FAD4D11"/>
    <w:rsid w:val="42246953"/>
    <w:rsid w:val="430B3D9B"/>
    <w:rsid w:val="465A5BA4"/>
    <w:rsid w:val="48717380"/>
    <w:rsid w:val="48C47EE3"/>
    <w:rsid w:val="491F7800"/>
    <w:rsid w:val="4B775377"/>
    <w:rsid w:val="4D872746"/>
    <w:rsid w:val="4DFA2222"/>
    <w:rsid w:val="4E174C65"/>
    <w:rsid w:val="4FB80849"/>
    <w:rsid w:val="51002D2D"/>
    <w:rsid w:val="51700AE7"/>
    <w:rsid w:val="51B4657A"/>
    <w:rsid w:val="552C1052"/>
    <w:rsid w:val="55ED3A15"/>
    <w:rsid w:val="56692B18"/>
    <w:rsid w:val="568E5279"/>
    <w:rsid w:val="56A02B14"/>
    <w:rsid w:val="56B315B9"/>
    <w:rsid w:val="57224193"/>
    <w:rsid w:val="57DB3C2F"/>
    <w:rsid w:val="5A1300D5"/>
    <w:rsid w:val="5A1C3648"/>
    <w:rsid w:val="5B8065CA"/>
    <w:rsid w:val="5BBB4A3F"/>
    <w:rsid w:val="5CDF7EE3"/>
    <w:rsid w:val="5D7667B7"/>
    <w:rsid w:val="5DB7E539"/>
    <w:rsid w:val="5DD45B65"/>
    <w:rsid w:val="5DFB711E"/>
    <w:rsid w:val="60614BE8"/>
    <w:rsid w:val="6258208C"/>
    <w:rsid w:val="62CE30C2"/>
    <w:rsid w:val="64813550"/>
    <w:rsid w:val="663B212F"/>
    <w:rsid w:val="66B21850"/>
    <w:rsid w:val="66DACB0B"/>
    <w:rsid w:val="672A41EA"/>
    <w:rsid w:val="68897CAE"/>
    <w:rsid w:val="697BF56A"/>
    <w:rsid w:val="6AD02C75"/>
    <w:rsid w:val="6AF631F4"/>
    <w:rsid w:val="6B6CE30F"/>
    <w:rsid w:val="6C7F1319"/>
    <w:rsid w:val="6DDF74AC"/>
    <w:rsid w:val="6FAF0D8D"/>
    <w:rsid w:val="6FCFCADC"/>
    <w:rsid w:val="6FFA4FE6"/>
    <w:rsid w:val="7174ABB8"/>
    <w:rsid w:val="722B7659"/>
    <w:rsid w:val="72387E97"/>
    <w:rsid w:val="73CA5A33"/>
    <w:rsid w:val="75FB0B04"/>
    <w:rsid w:val="76492BD8"/>
    <w:rsid w:val="78F53238"/>
    <w:rsid w:val="79792D53"/>
    <w:rsid w:val="79F7B683"/>
    <w:rsid w:val="7C6D4B48"/>
    <w:rsid w:val="7D73BCCE"/>
    <w:rsid w:val="7DE79FA0"/>
    <w:rsid w:val="7DEBCAFF"/>
    <w:rsid w:val="7E0736C5"/>
    <w:rsid w:val="7EB85194"/>
    <w:rsid w:val="7EDD8B29"/>
    <w:rsid w:val="7FA514C2"/>
    <w:rsid w:val="7FBB362F"/>
    <w:rsid w:val="7FF73252"/>
    <w:rsid w:val="7FFDF15C"/>
    <w:rsid w:val="93F36975"/>
    <w:rsid w:val="AADF2E0B"/>
    <w:rsid w:val="AF3F5406"/>
    <w:rsid w:val="B7BDB8E6"/>
    <w:rsid w:val="B9D2CE32"/>
    <w:rsid w:val="BB7F118A"/>
    <w:rsid w:val="BFFBBED2"/>
    <w:rsid w:val="C7EB2CB0"/>
    <w:rsid w:val="CD2464D5"/>
    <w:rsid w:val="DE7FF6A4"/>
    <w:rsid w:val="DEFF07CB"/>
    <w:rsid w:val="E79BB625"/>
    <w:rsid w:val="ED1F89C3"/>
    <w:rsid w:val="F3DAEB57"/>
    <w:rsid w:val="F6DEF973"/>
    <w:rsid w:val="FB3D6908"/>
    <w:rsid w:val="FBB7B09C"/>
    <w:rsid w:val="FCEF298F"/>
    <w:rsid w:val="FEB7BAAB"/>
    <w:rsid w:val="FF1D4DC2"/>
    <w:rsid w:val="FFF4E2CB"/>
    <w:rsid w:val="FFFD75E1"/>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7"/>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41"/>
    <w:basedOn w:val="7"/>
    <w:qFormat/>
    <w:uiPriority w:val="0"/>
    <w:rPr>
      <w:rFonts w:hint="eastAsia" w:ascii="宋体" w:hAnsi="宋体" w:eastAsia="宋体" w:cs="宋体"/>
      <w:color w:val="000000"/>
      <w:sz w:val="22"/>
      <w:szCs w:val="22"/>
      <w:u w:val="none"/>
    </w:rPr>
  </w:style>
  <w:style w:type="character" w:customStyle="1" w:styleId="15">
    <w:name w:val="font51"/>
    <w:basedOn w:val="7"/>
    <w:qFormat/>
    <w:uiPriority w:val="0"/>
    <w:rPr>
      <w:rFonts w:hint="eastAsia" w:ascii="宋体" w:hAnsi="宋体" w:eastAsia="宋体" w:cs="宋体"/>
      <w:color w:val="000000"/>
      <w:sz w:val="22"/>
      <w:szCs w:val="22"/>
      <w:u w:val="none"/>
    </w:rPr>
  </w:style>
  <w:style w:type="character" w:customStyle="1" w:styleId="16">
    <w:name w:val="批注文字 字符"/>
    <w:basedOn w:val="7"/>
    <w:link w:val="2"/>
    <w:semiHidden/>
    <w:qFormat/>
    <w:uiPriority w:val="0"/>
    <w:rPr>
      <w:rFonts w:ascii="Calibri" w:hAnsi="Calibri" w:eastAsia="宋体" w:cs="黑体"/>
      <w:kern w:val="2"/>
      <w:sz w:val="21"/>
      <w:szCs w:val="22"/>
    </w:rPr>
  </w:style>
  <w:style w:type="character" w:customStyle="1" w:styleId="17">
    <w:name w:val="批注主题 字符"/>
    <w:basedOn w:val="16"/>
    <w:link w:val="5"/>
    <w:semiHidden/>
    <w:qFormat/>
    <w:uiPriority w:val="0"/>
    <w:rPr>
      <w:rFonts w:ascii="Calibri" w:hAnsi="Calibri" w:eastAsia="宋体" w:cs="黑体"/>
      <w:b/>
      <w:bCs/>
      <w:kern w:val="2"/>
      <w:sz w:val="21"/>
      <w:szCs w:val="22"/>
    </w:rPr>
  </w:style>
  <w:style w:type="paragraph" w:customStyle="1" w:styleId="18">
    <w:name w:val="列表段落2"/>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963</Words>
  <Characters>5492</Characters>
  <Lines>45</Lines>
  <Paragraphs>12</Paragraphs>
  <TotalTime>4</TotalTime>
  <ScaleCrop>false</ScaleCrop>
  <LinksUpToDate>false</LinksUpToDate>
  <CharactersWithSpaces>6443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wz</cp:lastModifiedBy>
  <dcterms:modified xsi:type="dcterms:W3CDTF">2024-07-19T07:01:26Z</dcterms:modified>
  <dc:title>××年××部门（单位）预算</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4B1B398A9A7E400B9B45214D1D9357B7_13</vt:lpwstr>
  </property>
</Properties>
</file>