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54600B">
      <w:pPr>
        <w:jc w:val="center"/>
        <w:rPr>
          <w:b/>
          <w:bCs/>
          <w:sz w:val="52"/>
          <w:szCs w:val="52"/>
        </w:rPr>
      </w:pPr>
    </w:p>
    <w:p w14:paraId="6E840B33">
      <w:pPr>
        <w:jc w:val="center"/>
        <w:rPr>
          <w:b/>
          <w:bCs/>
          <w:sz w:val="52"/>
          <w:szCs w:val="52"/>
        </w:rPr>
      </w:pPr>
    </w:p>
    <w:p w14:paraId="6AE48C40">
      <w:pPr>
        <w:jc w:val="center"/>
        <w:rPr>
          <w:b/>
          <w:bCs/>
          <w:sz w:val="52"/>
          <w:szCs w:val="52"/>
        </w:rPr>
      </w:pPr>
    </w:p>
    <w:p w14:paraId="47F7AF4F">
      <w:pPr>
        <w:jc w:val="center"/>
        <w:rPr>
          <w:b/>
          <w:bCs/>
          <w:sz w:val="52"/>
          <w:szCs w:val="52"/>
        </w:rPr>
      </w:pPr>
    </w:p>
    <w:p w14:paraId="3D4D2E0A">
      <w:pPr>
        <w:jc w:val="center"/>
        <w:rPr>
          <w:b/>
          <w:bCs/>
          <w:sz w:val="52"/>
          <w:szCs w:val="52"/>
        </w:rPr>
      </w:pPr>
    </w:p>
    <w:p w14:paraId="4ECE65E2">
      <w:pPr>
        <w:jc w:val="center"/>
        <w:rPr>
          <w:b/>
          <w:bCs/>
          <w:sz w:val="52"/>
          <w:szCs w:val="52"/>
        </w:rPr>
      </w:pPr>
    </w:p>
    <w:p w14:paraId="78EBE7C7">
      <w:pPr>
        <w:jc w:val="center"/>
        <w:rPr>
          <w:b/>
          <w:bCs/>
          <w:sz w:val="52"/>
          <w:szCs w:val="52"/>
        </w:rPr>
      </w:pPr>
      <w:r>
        <w:rPr>
          <w:rFonts w:hint="eastAsia"/>
          <w:b/>
          <w:bCs/>
          <w:sz w:val="52"/>
          <w:szCs w:val="52"/>
        </w:rPr>
        <w:t>2023年三亚市农业机械化管理局单位预算</w:t>
      </w:r>
    </w:p>
    <w:p w14:paraId="5A4CE1C6">
      <w:pPr>
        <w:ind w:firstLine="1680"/>
        <w:jc w:val="center"/>
        <w:rPr>
          <w:sz w:val="84"/>
          <w:szCs w:val="84"/>
        </w:rPr>
      </w:pPr>
    </w:p>
    <w:p w14:paraId="29588B99">
      <w:pPr>
        <w:ind w:firstLine="1680"/>
        <w:jc w:val="center"/>
        <w:rPr>
          <w:sz w:val="84"/>
          <w:szCs w:val="84"/>
        </w:rPr>
      </w:pPr>
    </w:p>
    <w:p w14:paraId="0D33C4B9">
      <w:pPr>
        <w:ind w:firstLine="1680"/>
        <w:jc w:val="center"/>
        <w:rPr>
          <w:sz w:val="84"/>
          <w:szCs w:val="84"/>
        </w:rPr>
      </w:pPr>
    </w:p>
    <w:p w14:paraId="5B36284B">
      <w:pPr>
        <w:ind w:firstLine="1680"/>
        <w:jc w:val="center"/>
        <w:rPr>
          <w:sz w:val="84"/>
          <w:szCs w:val="84"/>
        </w:rPr>
      </w:pPr>
    </w:p>
    <w:p w14:paraId="210FEA7D">
      <w:pPr>
        <w:ind w:firstLine="1680"/>
        <w:jc w:val="center"/>
        <w:rPr>
          <w:sz w:val="84"/>
          <w:szCs w:val="84"/>
        </w:rPr>
      </w:pPr>
    </w:p>
    <w:p w14:paraId="21336B1A">
      <w:pPr>
        <w:rPr>
          <w:sz w:val="84"/>
          <w:szCs w:val="84"/>
        </w:rPr>
      </w:pPr>
    </w:p>
    <w:p w14:paraId="0033912B">
      <w:pPr>
        <w:tabs>
          <w:tab w:val="left" w:pos="825"/>
          <w:tab w:val="center" w:pos="4153"/>
        </w:tabs>
        <w:jc w:val="left"/>
        <w:rPr>
          <w:rFonts w:ascii="黑体" w:hAnsi="黑体" w:eastAsia="黑体"/>
          <w:sz w:val="52"/>
          <w:szCs w:val="52"/>
        </w:rPr>
      </w:pPr>
      <w:r>
        <w:rPr>
          <w:rFonts w:ascii="黑体" w:hAnsi="黑体" w:eastAsia="黑体"/>
          <w:sz w:val="52"/>
          <w:szCs w:val="52"/>
        </w:rPr>
        <w:tab/>
      </w:r>
      <w:r>
        <w:rPr>
          <w:rFonts w:ascii="黑体" w:hAnsi="黑体" w:eastAsia="黑体"/>
          <w:sz w:val="52"/>
          <w:szCs w:val="52"/>
        </w:rPr>
        <w:tab/>
      </w:r>
      <w:r>
        <w:rPr>
          <w:rFonts w:hint="eastAsia" w:ascii="黑体" w:hAnsi="黑体" w:eastAsia="黑体"/>
          <w:sz w:val="52"/>
          <w:szCs w:val="52"/>
        </w:rPr>
        <w:t>目录</w:t>
      </w:r>
    </w:p>
    <w:p w14:paraId="72750C02">
      <w:pPr>
        <w:jc w:val="center"/>
        <w:rPr>
          <w:rFonts w:ascii="黑体" w:hAnsi="黑体" w:eastAsia="黑体"/>
          <w:sz w:val="52"/>
          <w:szCs w:val="52"/>
        </w:rPr>
      </w:pPr>
    </w:p>
    <w:p w14:paraId="47B85AB5">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三亚市农业机械化管理局单位概况</w:t>
      </w:r>
    </w:p>
    <w:p w14:paraId="2C40C0AA">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14:paraId="2D5DB2EB">
      <w:pPr>
        <w:pStyle w:val="10"/>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14:paraId="1BA9A306">
      <w:pPr>
        <w:pStyle w:val="8"/>
        <w:numPr>
          <w:ilvl w:val="0"/>
          <w:numId w:val="1"/>
        </w:numPr>
        <w:ind w:firstLineChars="0"/>
        <w:rPr>
          <w:rFonts w:ascii="黑体" w:hAnsi="黑体" w:eastAsia="黑体"/>
          <w:sz w:val="32"/>
          <w:szCs w:val="32"/>
        </w:rPr>
      </w:pPr>
      <w:r>
        <w:rPr>
          <w:rFonts w:hint="eastAsia" w:ascii="黑体" w:hAnsi="黑体" w:eastAsia="黑体"/>
          <w:sz w:val="32"/>
          <w:szCs w:val="32"/>
        </w:rPr>
        <w:t>三亚市农业机械化管理局2023年单位预算表</w:t>
      </w:r>
    </w:p>
    <w:p w14:paraId="31C4FE98">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14:paraId="6B6D5D66">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14:paraId="0F0FD5D9">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14:paraId="450CCD38">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14:paraId="5FAF9989">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14:paraId="3E5EF45A">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14:paraId="0AE0975A">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14:paraId="7AD5C0AD">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14:paraId="326D76E3">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14:paraId="5F179DDC">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14:paraId="753A57AF">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三亚市农业机械化管理局2023年单位预算情况明</w:t>
      </w:r>
    </w:p>
    <w:p w14:paraId="14704487">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14:paraId="118DEF1D">
      <w:pPr>
        <w:jc w:val="left"/>
        <w:rPr>
          <w:rFonts w:ascii="黑体" w:hAnsi="黑体" w:eastAsia="黑体"/>
          <w:sz w:val="32"/>
          <w:szCs w:val="32"/>
        </w:rPr>
      </w:pPr>
    </w:p>
    <w:p w14:paraId="43CD88CE">
      <w:pPr>
        <w:jc w:val="left"/>
        <w:rPr>
          <w:rFonts w:ascii="黑体" w:hAnsi="黑体" w:eastAsia="黑体"/>
          <w:sz w:val="32"/>
          <w:szCs w:val="32"/>
        </w:rPr>
      </w:pPr>
    </w:p>
    <w:p w14:paraId="63C4939D">
      <w:pPr>
        <w:jc w:val="left"/>
        <w:rPr>
          <w:rFonts w:ascii="黑体" w:hAnsi="黑体" w:eastAsia="黑体"/>
          <w:sz w:val="32"/>
          <w:szCs w:val="32"/>
        </w:rPr>
      </w:pPr>
    </w:p>
    <w:p w14:paraId="6E35B304">
      <w:pPr>
        <w:jc w:val="left"/>
        <w:rPr>
          <w:rFonts w:ascii="黑体" w:hAnsi="黑体" w:eastAsia="黑体"/>
          <w:sz w:val="32"/>
          <w:szCs w:val="32"/>
        </w:rPr>
      </w:pPr>
    </w:p>
    <w:p w14:paraId="16B55DD8">
      <w:pPr>
        <w:jc w:val="left"/>
        <w:rPr>
          <w:rFonts w:ascii="黑体" w:hAnsi="黑体" w:eastAsia="黑体"/>
          <w:sz w:val="32"/>
          <w:szCs w:val="32"/>
        </w:rPr>
      </w:pPr>
    </w:p>
    <w:p w14:paraId="339E5F7A">
      <w:pPr>
        <w:jc w:val="left"/>
        <w:rPr>
          <w:rFonts w:ascii="黑体" w:hAnsi="黑体" w:eastAsia="黑体"/>
          <w:sz w:val="32"/>
          <w:szCs w:val="32"/>
        </w:rPr>
      </w:pPr>
    </w:p>
    <w:p w14:paraId="48D76DCD">
      <w:pPr>
        <w:jc w:val="left"/>
        <w:rPr>
          <w:rFonts w:ascii="黑体" w:hAnsi="黑体" w:eastAsia="黑体"/>
          <w:sz w:val="32"/>
          <w:szCs w:val="32"/>
        </w:rPr>
      </w:pPr>
    </w:p>
    <w:p w14:paraId="59DB7CED">
      <w:pPr>
        <w:pStyle w:val="8"/>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三亚市农业机械化管理局单位概况</w:t>
      </w:r>
    </w:p>
    <w:p w14:paraId="7FFE8CE5">
      <w:pPr>
        <w:pStyle w:val="8"/>
        <w:ind w:firstLine="0" w:firstLineChars="0"/>
        <w:rPr>
          <w:rFonts w:ascii="仿宋_GB2312" w:hAnsi="仿宋_GB2312" w:eastAsia="仿宋_GB2312" w:cs="仿宋_GB2312"/>
          <w:sz w:val="32"/>
          <w:szCs w:val="32"/>
        </w:rPr>
      </w:pPr>
    </w:p>
    <w:p w14:paraId="690517E6">
      <w:pPr>
        <w:pStyle w:val="10"/>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r>
        <w:rPr>
          <w:rFonts w:hint="eastAsia" w:ascii="仿宋_GB2312" w:hAnsi="仿宋_GB2312" w:eastAsia="仿宋_GB2312" w:cs="仿宋_GB2312"/>
          <w:sz w:val="32"/>
          <w:szCs w:val="32"/>
          <w:lang w:val="zh-CN"/>
        </w:rPr>
        <w:t>贯彻执行国家有关农业机械管理和推广的法律、法规。负责农业机械化发展规划草案并组织实施。负责对全市农业机械化的管理，协调农机系统各单位的组织工作，协调农业机械教育培训、安全监督工作。指导农机维修管理工作，制定管理规范和技术措施，并监督实施。负责全市农机化新技术、新机具的引进、试验、示范推广和总结工作。负责指导全市各镇农机化技术推广机构 及农机化技术推广体系队伍的建设。</w:t>
      </w:r>
    </w:p>
    <w:p w14:paraId="5B7EEE70">
      <w:pPr>
        <w:pStyle w:val="10"/>
        <w:widowControl w:val="0"/>
        <w:numPr>
          <w:ilvl w:val="0"/>
          <w:numId w:val="0"/>
        </w:numPr>
        <w:jc w:val="left"/>
        <w:rPr>
          <w:rFonts w:hint="eastAsia" w:ascii="仿宋_GB2312" w:hAnsi="仿宋_GB2312" w:eastAsia="仿宋_GB2312" w:cs="仿宋_GB2312"/>
          <w:sz w:val="32"/>
          <w:szCs w:val="32"/>
          <w:lang w:val="zh-CN"/>
        </w:rPr>
      </w:pPr>
    </w:p>
    <w:p w14:paraId="421C7EC7">
      <w:pPr>
        <w:pStyle w:val="10"/>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bookmarkStart w:id="0" w:name="_GoBack"/>
      <w:bookmarkEnd w:id="0"/>
    </w:p>
    <w:p w14:paraId="44D5E403">
      <w:pPr>
        <w:ind w:firstLine="640" w:firstLineChars="200"/>
        <w:rPr>
          <w:rFonts w:hint="eastAsia" w:ascii="仿宋_GB2312" w:hAnsi="仿宋_GB2312" w:eastAsia="仿宋_GB2312" w:cs="仿宋_GB2312"/>
          <w:i w:val="0"/>
          <w:iCs w:val="0"/>
          <w:caps w:val="0"/>
          <w:spacing w:val="0"/>
          <w:sz w:val="32"/>
          <w:szCs w:val="32"/>
          <w:shd w:val="clear"/>
          <w:lang w:val="zh-CN"/>
        </w:rPr>
      </w:pPr>
      <w:r>
        <w:rPr>
          <w:rFonts w:hint="eastAsia" w:ascii="仿宋_GB2312" w:hAnsi="仿宋_GB2312" w:eastAsia="仿宋_GB2312" w:cs="仿宋_GB2312"/>
          <w:i w:val="0"/>
          <w:iCs w:val="0"/>
          <w:caps w:val="0"/>
          <w:spacing w:val="0"/>
          <w:sz w:val="32"/>
          <w:szCs w:val="32"/>
          <w:shd w:val="clear"/>
          <w:lang w:val="zh-CN"/>
        </w:rPr>
        <w:t>根据上述职责，内设办公室、农机综合服务窗口。办公室主要负责起草和审核有关综合性文件和重要报告；负责会务、秘书事务、信息综合、文电处理、文书档案管理和机要保密工作；负责本单位机构编制、人事、财务和党群等工作；负责日常行政管理工作，制定内部规章制度；负责计划生育、安全保卫等工作。农机综合服务窗口主要负责实施农机惠民政策实施，指导各区（除育才生态区外）对农业机械实施注册、变更、转移、注销登记、安全技术检验、核发牌证等工作。负责对农业机械驾驶和操作人员的安全教育、考试、发证、审验换证工作。指导各区开展农机安全生产工作，对农机安全监理业务进行监督、检查。</w:t>
      </w:r>
    </w:p>
    <w:p w14:paraId="32B5CF0D">
      <w:pPr>
        <w:ind w:firstLine="640" w:firstLineChars="200"/>
        <w:rPr>
          <w:rFonts w:hint="eastAsia" w:ascii="仿宋_GB2312" w:hAnsi="仿宋_GB2312" w:eastAsia="仿宋_GB2312" w:cs="仿宋_GB2312"/>
          <w:i w:val="0"/>
          <w:iCs w:val="0"/>
          <w:caps w:val="0"/>
          <w:spacing w:val="0"/>
          <w:sz w:val="32"/>
          <w:szCs w:val="32"/>
          <w:shd w:val="clear"/>
          <w:lang w:val="zh-CN"/>
        </w:rPr>
      </w:pPr>
    </w:p>
    <w:p w14:paraId="4BD0E02C">
      <w:pPr>
        <w:rPr>
          <w:rFonts w:ascii="黑体" w:hAnsi="黑体" w:eastAsia="黑体"/>
          <w:sz w:val="32"/>
          <w:szCs w:val="32"/>
        </w:rPr>
      </w:pPr>
      <w:r>
        <w:rPr>
          <w:rFonts w:hint="eastAsia" w:ascii="黑体" w:hAnsi="黑体" w:eastAsia="黑体"/>
          <w:sz w:val="32"/>
          <w:szCs w:val="32"/>
        </w:rPr>
        <w:t>第二部分 三亚市农业机械化管理局2023年单位预算表</w:t>
      </w:r>
    </w:p>
    <w:p w14:paraId="2F999B82">
      <w:pPr>
        <w:rPr>
          <w:rFonts w:ascii="黑体" w:hAnsi="黑体" w:eastAsia="黑体"/>
          <w:sz w:val="32"/>
          <w:szCs w:val="32"/>
        </w:rPr>
      </w:pPr>
    </w:p>
    <w:p w14:paraId="1BBEEFE2">
      <w:pPr>
        <w:pStyle w:val="8"/>
        <w:spacing w:line="560" w:lineRule="exact"/>
        <w:ind w:left="180" w:firstLine="0" w:firstLineChars="0"/>
        <w:jc w:val="center"/>
        <w:rPr>
          <w:rFonts w:ascii="Times New Roman" w:hAnsi="Times New Roman" w:cs="Times New Roman" w:eastAsiaTheme="majorEastAsia"/>
          <w:b/>
          <w:bCs/>
          <w:sz w:val="36"/>
          <w:szCs w:val="36"/>
        </w:rPr>
      </w:pPr>
      <w:r>
        <w:rPr>
          <w:rFonts w:ascii="Times New Roman" w:hAnsi="Times New Roman" w:eastAsia="仿宋" w:cs="Times New Roman"/>
          <w:sz w:val="32"/>
          <w:szCs w:val="32"/>
        </w:rPr>
        <w:t>（详见单位预算公开表）</w:t>
      </w:r>
    </w:p>
    <w:p w14:paraId="3691F1C4">
      <w:pPr>
        <w:rPr>
          <w:rFonts w:ascii="黑体" w:hAnsi="黑体" w:eastAsia="黑体"/>
          <w:sz w:val="32"/>
          <w:szCs w:val="32"/>
        </w:rPr>
      </w:pPr>
    </w:p>
    <w:p w14:paraId="2B181606">
      <w:pPr>
        <w:rPr>
          <w:rFonts w:ascii="黑体" w:hAnsi="黑体" w:eastAsia="黑体"/>
          <w:sz w:val="32"/>
          <w:szCs w:val="32"/>
        </w:rPr>
      </w:pPr>
      <w:r>
        <w:rPr>
          <w:rFonts w:hint="eastAsia" w:ascii="黑体" w:hAnsi="黑体" w:eastAsia="黑体"/>
          <w:sz w:val="32"/>
          <w:szCs w:val="32"/>
        </w:rPr>
        <w:t>第三部分   三亚市农业机械化管理局2023年单位预算情况说明</w:t>
      </w:r>
    </w:p>
    <w:p w14:paraId="08D224F6">
      <w:pPr>
        <w:ind w:firstLine="640" w:firstLineChars="200"/>
        <w:jc w:val="left"/>
        <w:rPr>
          <w:rFonts w:ascii="黑体" w:hAnsi="黑体" w:eastAsia="黑体"/>
          <w:sz w:val="32"/>
          <w:szCs w:val="32"/>
        </w:rPr>
      </w:pPr>
      <w:r>
        <w:rPr>
          <w:rFonts w:hint="eastAsia" w:ascii="黑体" w:hAnsi="黑体" w:eastAsia="黑体"/>
          <w:sz w:val="32"/>
          <w:szCs w:val="32"/>
        </w:rPr>
        <w:t>一、关于三亚市农业机械化管理局单位2023年财政拨款收支预算情况的总体说明</w:t>
      </w:r>
    </w:p>
    <w:p w14:paraId="7BDC4BD6">
      <w:pPr>
        <w:ind w:firstLine="640" w:firstLineChars="200"/>
        <w:jc w:val="left"/>
        <w:rPr>
          <w:rFonts w:ascii="仿宋_GB2312" w:hAnsi="黑体" w:eastAsia="仿宋_GB2312"/>
          <w:sz w:val="32"/>
          <w:szCs w:val="32"/>
        </w:rPr>
      </w:pPr>
      <w:r>
        <w:rPr>
          <w:rFonts w:hint="eastAsia" w:ascii="仿宋_GB2312" w:hAnsi="仿宋_GB2312" w:eastAsia="仿宋_GB2312" w:cs="仿宋_GB2312"/>
          <w:sz w:val="32"/>
          <w:szCs w:val="32"/>
        </w:rPr>
        <w:t>三亚市农业机械化管理局单位2023年财政拨款收支总预算347.16万元。其中，收入总计347.16万元，包括一般公共预算本年收入318.64万元、上年结转28.33万元，政府性基金预算本年收入0万元、上</w:t>
      </w:r>
      <w:r>
        <w:rPr>
          <w:rFonts w:hint="eastAsia" w:ascii="仿宋_GB2312" w:hAnsi="黑体" w:eastAsia="仿宋_GB2312"/>
          <w:sz w:val="32"/>
          <w:szCs w:val="32"/>
        </w:rPr>
        <w:t>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347.16</w:t>
      </w:r>
      <w:r>
        <w:rPr>
          <w:rFonts w:hint="eastAsia" w:ascii="仿宋_GB2312" w:hAnsi="黑体" w:eastAsia="仿宋_GB2312"/>
          <w:sz w:val="32"/>
          <w:szCs w:val="32"/>
        </w:rPr>
        <w:t>万元，包括社会保障和就业支出19.68万元、卫生健康支出13.04万元、农林水支出309.6万元、住房保障支出4.83万元，结转下年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14:paraId="1EF83033">
      <w:pPr>
        <w:ind w:firstLine="640"/>
        <w:jc w:val="left"/>
        <w:rPr>
          <w:rFonts w:ascii="黑体" w:hAnsi="黑体" w:eastAsia="黑体"/>
          <w:sz w:val="32"/>
          <w:szCs w:val="32"/>
        </w:rPr>
      </w:pPr>
      <w:r>
        <w:rPr>
          <w:rFonts w:hint="eastAsia" w:ascii="黑体" w:hAnsi="黑体" w:eastAsia="黑体"/>
          <w:sz w:val="32"/>
          <w:szCs w:val="32"/>
        </w:rPr>
        <w:t>二、关于三亚市农业机械化管理局单位</w:t>
      </w:r>
      <w:r>
        <w:rPr>
          <w:rFonts w:hint="eastAsia" w:ascii="仿宋_GB2312" w:hAnsi="黑体" w:eastAsia="仿宋_GB2312" w:cs="仿宋_GB2312"/>
          <w:sz w:val="32"/>
          <w:szCs w:val="32"/>
        </w:rPr>
        <w:t>2023</w:t>
      </w:r>
      <w:r>
        <w:rPr>
          <w:rFonts w:hint="eastAsia" w:ascii="黑体" w:hAnsi="黑体" w:eastAsia="黑体"/>
          <w:sz w:val="32"/>
          <w:szCs w:val="32"/>
        </w:rPr>
        <w:t>年一般公共预算当年拨款情况说明</w:t>
      </w:r>
    </w:p>
    <w:p w14:paraId="0449EF69">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0F7728B0">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三亚市农业机械化管理局单位2023年一般公共预算当年拨款</w:t>
      </w:r>
      <w:r>
        <w:rPr>
          <w:rFonts w:hint="eastAsia" w:ascii="仿宋_GB2312" w:hAnsi="黑体" w:eastAsia="仿宋_GB2312" w:cs="仿宋_GB2312"/>
          <w:sz w:val="32"/>
          <w:szCs w:val="32"/>
        </w:rPr>
        <w:t>318.84</w:t>
      </w:r>
      <w:r>
        <w:rPr>
          <w:rFonts w:hint="eastAsia" w:ascii="仿宋_GB2312" w:hAnsi="仿宋_GB2312" w:eastAsia="仿宋_GB2312" w:cs="仿宋_GB2312"/>
          <w:sz w:val="32"/>
          <w:szCs w:val="32"/>
        </w:rPr>
        <w:t>万元，比上年预算数减少18万元，</w:t>
      </w:r>
      <w:r>
        <w:rPr>
          <w:rFonts w:hint="eastAsia" w:ascii="仿宋_GB2312" w:hAnsi="黑体" w:eastAsia="仿宋_GB2312" w:cs="仿宋_GB2312"/>
          <w:sz w:val="32"/>
          <w:szCs w:val="32"/>
        </w:rPr>
        <w:t>主要是预算项目减少</w:t>
      </w:r>
      <w:r>
        <w:rPr>
          <w:rFonts w:hint="eastAsia" w:ascii="仿宋_GB2312" w:hAnsi="仿宋_GB2312" w:eastAsia="仿宋_GB2312" w:cs="仿宋_GB2312"/>
          <w:sz w:val="32"/>
          <w:szCs w:val="32"/>
        </w:rPr>
        <w:t>。</w:t>
      </w:r>
    </w:p>
    <w:p w14:paraId="666E81FC">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14:paraId="7B93BB97">
      <w:pPr>
        <w:ind w:firstLine="800" w:firstLineChars="250"/>
        <w:rPr>
          <w:rFonts w:ascii="仿宋" w:hAnsi="仿宋" w:eastAsia="仿宋" w:cs="仿宋"/>
          <w:sz w:val="32"/>
          <w:szCs w:val="32"/>
          <w:highlight w:val="yellow"/>
        </w:rPr>
      </w:pPr>
      <w:r>
        <w:rPr>
          <w:rFonts w:hint="eastAsia" w:ascii="仿宋" w:hAnsi="仿宋" w:eastAsia="仿宋" w:cs="仿宋"/>
          <w:sz w:val="32"/>
          <w:szCs w:val="32"/>
        </w:rPr>
        <w:t>社会保障和就业支出（类）19.68元，占5.67%；卫生健康支出（类）13.04万元，占3.76%；农林水支出（类）309.6万元，占89.18%；住房保障支出（类）4.83万元，占1.39%；</w:t>
      </w:r>
    </w:p>
    <w:p w14:paraId="5DBE56D6">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14:paraId="77536EC0">
      <w:pPr>
        <w:ind w:firstLine="640" w:firstLineChars="200"/>
        <w:rPr>
          <w:rFonts w:hint="eastAsia" w:ascii="仿宋_GB2312" w:hAnsi="黑体" w:eastAsia="仿宋_GB2312"/>
          <w:sz w:val="32"/>
          <w:szCs w:val="32"/>
          <w:highlight w:val="none"/>
        </w:rPr>
      </w:pPr>
      <w:r>
        <w:rPr>
          <w:rFonts w:hint="eastAsia" w:ascii="仿宋_GB2312" w:hAnsi="黑体" w:eastAsia="仿宋_GB2312" w:cs="仿宋_GB2312"/>
          <w:sz w:val="32"/>
          <w:szCs w:val="32"/>
        </w:rPr>
        <w:t>1.社会保障和就业支出（类）行政事业单位养老支出（款）</w:t>
      </w:r>
      <w:r>
        <w:rPr>
          <w:rFonts w:hint="eastAsia" w:ascii="仿宋" w:hAnsi="仿宋" w:eastAsia="仿宋" w:cs="仿宋"/>
          <w:sz w:val="32"/>
          <w:szCs w:val="32"/>
        </w:rPr>
        <w:t>机关事业单位基本养老保险缴费支出（项）</w:t>
      </w:r>
      <w:r>
        <w:rPr>
          <w:rFonts w:hint="eastAsia" w:ascii="仿宋_GB2312" w:hAnsi="黑体" w:eastAsia="仿宋_GB2312" w:cs="仿宋_GB2312"/>
          <w:sz w:val="32"/>
          <w:szCs w:val="32"/>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4.83</w:t>
      </w:r>
      <w:r>
        <w:rPr>
          <w:rFonts w:hint="eastAsia" w:ascii="仿宋_GB2312" w:hAnsi="黑体" w:eastAsia="仿宋_GB2312"/>
          <w:sz w:val="32"/>
          <w:szCs w:val="32"/>
        </w:rPr>
        <w:t>万元，比上年减少0.02万元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人员调动，导致基本养老保险缴费数减少</w:t>
      </w:r>
      <w:r>
        <w:rPr>
          <w:rFonts w:hint="eastAsia" w:ascii="仿宋_GB2312" w:hAnsi="黑体" w:eastAsia="仿宋_GB2312"/>
          <w:sz w:val="32"/>
          <w:szCs w:val="32"/>
          <w:highlight w:val="none"/>
        </w:rPr>
        <w:t>。</w:t>
      </w:r>
    </w:p>
    <w:p w14:paraId="19A8BAA4">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2.社会保障和就业支出（类）行政事业单位养老支出（款）</w:t>
      </w:r>
      <w:r>
        <w:rPr>
          <w:rFonts w:hint="eastAsia" w:ascii="仿宋" w:hAnsi="仿宋" w:eastAsia="仿宋" w:cs="仿宋"/>
          <w:sz w:val="32"/>
          <w:szCs w:val="32"/>
        </w:rPr>
        <w:t>机关事业单位职业年金缴费支出（项）</w:t>
      </w:r>
      <w:r>
        <w:rPr>
          <w:rFonts w:hint="eastAsia" w:ascii="仿宋_GB2312" w:hAnsi="黑体" w:eastAsia="仿宋_GB2312" w:cs="仿宋_GB2312"/>
          <w:sz w:val="32"/>
          <w:szCs w:val="32"/>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10.41</w:t>
      </w:r>
      <w:r>
        <w:rPr>
          <w:rFonts w:hint="eastAsia" w:ascii="仿宋_GB2312" w:hAnsi="黑体" w:eastAsia="仿宋_GB2312"/>
          <w:sz w:val="32"/>
          <w:szCs w:val="32"/>
        </w:rPr>
        <w:t>万元，比上年增加2.41万元，主要是职业年金基数增加。</w:t>
      </w:r>
    </w:p>
    <w:p w14:paraId="6E4B1B71">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社会保障和就业支出（类）抚恤（款）其他优抚支出（项）2023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4.44</w:t>
      </w:r>
      <w:r>
        <w:rPr>
          <w:rFonts w:hint="eastAsia" w:ascii="仿宋_GB2312" w:hAnsi="黑体" w:eastAsia="仿宋_GB2312"/>
          <w:sz w:val="32"/>
          <w:szCs w:val="32"/>
        </w:rPr>
        <w:t>万元，比上年增加0.17万元。主要是</w:t>
      </w:r>
      <w:r>
        <w:rPr>
          <w:rFonts w:hint="eastAsia" w:ascii="仿宋_GB2312" w:hAnsi="黑体" w:eastAsia="仿宋_GB2312" w:cs="仿宋_GB2312"/>
          <w:sz w:val="32"/>
          <w:szCs w:val="32"/>
        </w:rPr>
        <w:t>抚恤</w:t>
      </w:r>
      <w:r>
        <w:rPr>
          <w:rFonts w:hint="eastAsia" w:ascii="仿宋_GB2312" w:hAnsi="黑体" w:eastAsia="仿宋_GB2312"/>
          <w:sz w:val="32"/>
          <w:szCs w:val="32"/>
        </w:rPr>
        <w:t>经费增加。</w:t>
      </w:r>
    </w:p>
    <w:p w14:paraId="5ADF20FA">
      <w:pPr>
        <w:ind w:firstLine="640" w:firstLineChars="200"/>
        <w:rPr>
          <w:rFonts w:ascii="仿宋_GB2312" w:hAnsi="黑体" w:eastAsia="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 xml:space="preserve"> 卫生健康支出（类）行政事业单位医疗（款）行政单位医疗（项）2023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2.05</w:t>
      </w:r>
      <w:r>
        <w:rPr>
          <w:rFonts w:hint="eastAsia" w:ascii="仿宋_GB2312" w:hAnsi="黑体" w:eastAsia="仿宋_GB2312"/>
          <w:sz w:val="32"/>
          <w:szCs w:val="32"/>
        </w:rPr>
        <w:t>万元，比上年减少0.53万元，主要是2022年有退休人员。</w:t>
      </w:r>
    </w:p>
    <w:p w14:paraId="2F5E5668">
      <w:pPr>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cs="仿宋_GB2312"/>
          <w:sz w:val="32"/>
          <w:szCs w:val="32"/>
        </w:rPr>
        <w:t xml:space="preserve"> 卫生健康支出（类）行政事业单位医疗（款）公务员医疗补助（项）2023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10.99</w:t>
      </w:r>
      <w:r>
        <w:rPr>
          <w:rFonts w:hint="eastAsia" w:ascii="仿宋_GB2312" w:hAnsi="黑体" w:eastAsia="仿宋_GB2312"/>
          <w:sz w:val="32"/>
          <w:szCs w:val="32"/>
        </w:rPr>
        <w:t>万元，比上年减少0.48万元，主要是2022年有退休人员。</w:t>
      </w:r>
    </w:p>
    <w:p w14:paraId="5E9AAE05">
      <w:pPr>
        <w:ind w:firstLine="640" w:firstLineChars="200"/>
        <w:rPr>
          <w:rFonts w:ascii="仿宋" w:hAnsi="仿宋" w:eastAsia="仿宋" w:cs="仿宋"/>
          <w:sz w:val="32"/>
          <w:szCs w:val="32"/>
        </w:rPr>
      </w:pPr>
      <w:r>
        <w:rPr>
          <w:rFonts w:hint="eastAsia" w:ascii="仿宋" w:hAnsi="仿宋" w:eastAsia="仿宋" w:cs="仿宋"/>
          <w:sz w:val="32"/>
          <w:szCs w:val="32"/>
        </w:rPr>
        <w:t>5.农林水支出（类）农业农村（款）行政运行（项）2023年预算数为56.53万元，比上年预算数减少17.69万元，主要是预算项目减少；</w:t>
      </w:r>
    </w:p>
    <w:p w14:paraId="2588DFAD">
      <w:pPr>
        <w:ind w:firstLine="640" w:firstLineChars="200"/>
        <w:rPr>
          <w:rFonts w:ascii="仿宋" w:hAnsi="仿宋" w:eastAsia="仿宋" w:cs="仿宋"/>
          <w:sz w:val="32"/>
          <w:szCs w:val="32"/>
        </w:rPr>
      </w:pPr>
      <w:r>
        <w:rPr>
          <w:rFonts w:hint="eastAsia" w:ascii="仿宋" w:hAnsi="仿宋" w:eastAsia="仿宋" w:cs="仿宋"/>
          <w:sz w:val="32"/>
          <w:szCs w:val="32"/>
        </w:rPr>
        <w:t>6.农林水支出（类）农业农村（款）</w:t>
      </w:r>
      <w:r>
        <w:rPr>
          <w:rFonts w:hint="eastAsia" w:ascii="仿宋_GB2312" w:hAnsi="黑体" w:eastAsia="仿宋_GB2312"/>
          <w:sz w:val="32"/>
          <w:szCs w:val="32"/>
        </w:rPr>
        <w:t>一般行政管理事务（</w:t>
      </w:r>
      <w:r>
        <w:rPr>
          <w:rFonts w:hint="eastAsia" w:ascii="仿宋_GB2312" w:hAnsi="黑体" w:eastAsia="仿宋_GB2312" w:cs="仿宋_GB2312"/>
          <w:sz w:val="32"/>
          <w:szCs w:val="32"/>
        </w:rPr>
        <w:t>项）2023</w:t>
      </w:r>
      <w:r>
        <w:rPr>
          <w:rFonts w:hint="eastAsia" w:ascii="仿宋_GB2312" w:hAnsi="黑体" w:eastAsia="仿宋_GB2312"/>
          <w:sz w:val="32"/>
          <w:szCs w:val="32"/>
        </w:rPr>
        <w:t>年预算数为12万元，和上年预算持平。</w:t>
      </w:r>
    </w:p>
    <w:p w14:paraId="2EAC7AE5">
      <w:pPr>
        <w:ind w:firstLine="640" w:firstLineChars="200"/>
        <w:rPr>
          <w:rFonts w:ascii="仿宋" w:hAnsi="仿宋" w:eastAsia="仿宋" w:cs="仿宋"/>
          <w:sz w:val="32"/>
          <w:szCs w:val="32"/>
        </w:rPr>
      </w:pPr>
      <w:r>
        <w:rPr>
          <w:rFonts w:hint="eastAsia" w:ascii="仿宋" w:hAnsi="仿宋" w:eastAsia="仿宋" w:cs="仿宋"/>
          <w:sz w:val="32"/>
          <w:szCs w:val="32"/>
        </w:rPr>
        <w:t>7.农林水支出（类）农业农村（款）科技转化与推广服务支出（项）2023年预算数为43万元，比上年预算数减少22万元，主要是预算项目减少；</w:t>
      </w:r>
    </w:p>
    <w:p w14:paraId="386411A8">
      <w:pPr>
        <w:ind w:firstLine="640" w:firstLineChars="200"/>
        <w:rPr>
          <w:rFonts w:ascii="仿宋" w:hAnsi="仿宋" w:eastAsia="仿宋" w:cs="仿宋"/>
          <w:sz w:val="32"/>
          <w:szCs w:val="32"/>
        </w:rPr>
      </w:pPr>
      <w:r>
        <w:rPr>
          <w:rFonts w:hint="eastAsia" w:ascii="仿宋" w:hAnsi="仿宋" w:eastAsia="仿宋" w:cs="仿宋"/>
          <w:sz w:val="32"/>
          <w:szCs w:val="32"/>
        </w:rPr>
        <w:t>8.农林水支出（类）农业农村（款）农业生产发展支出（项）2023年预算数为168.33万元，比上年预算数减少172.09万元，主要是项目资金减少；</w:t>
      </w:r>
    </w:p>
    <w:p w14:paraId="2270E6DF">
      <w:pPr>
        <w:ind w:firstLine="640" w:firstLineChars="200"/>
        <w:rPr>
          <w:rFonts w:ascii="仿宋" w:hAnsi="仿宋" w:eastAsia="仿宋" w:cs="仿宋"/>
          <w:sz w:val="32"/>
          <w:szCs w:val="32"/>
        </w:rPr>
      </w:pPr>
      <w:r>
        <w:rPr>
          <w:rFonts w:hint="eastAsia" w:ascii="仿宋" w:hAnsi="仿宋" w:eastAsia="仿宋" w:cs="仿宋"/>
          <w:sz w:val="32"/>
          <w:szCs w:val="32"/>
        </w:rPr>
        <w:t>9.农林水支出（类）农业农村（款）其他农业农村支出（项）2023年预算数为29.75万元，比上年预算数增加24.75元，主要是预算项目增加；</w:t>
      </w:r>
    </w:p>
    <w:p w14:paraId="49E1F870">
      <w:pPr>
        <w:ind w:firstLine="640" w:firstLineChars="200"/>
        <w:rPr>
          <w:rFonts w:ascii="仿宋" w:hAnsi="仿宋" w:eastAsia="仿宋" w:cs="仿宋"/>
          <w:sz w:val="32"/>
          <w:szCs w:val="32"/>
        </w:rPr>
      </w:pPr>
      <w:r>
        <w:rPr>
          <w:rFonts w:hint="eastAsia" w:ascii="仿宋" w:hAnsi="仿宋" w:eastAsia="仿宋" w:cs="仿宋"/>
          <w:sz w:val="32"/>
          <w:szCs w:val="32"/>
        </w:rPr>
        <w:t>10.住房保障支出（类）住房改革支出（款）住房公积金（项）2023年预算数为4.83万元，比上年预算数增加0.67万元，主要是公积金缴费基数增加。</w:t>
      </w:r>
    </w:p>
    <w:p w14:paraId="188D20C5">
      <w:pPr>
        <w:ind w:firstLine="640" w:firstLineChars="200"/>
        <w:rPr>
          <w:rFonts w:ascii="仿宋_GB2312" w:hAnsi="黑体" w:eastAsia="仿宋_GB2312"/>
          <w:sz w:val="32"/>
          <w:szCs w:val="32"/>
          <w:highlight w:val="yellow"/>
        </w:rPr>
      </w:pPr>
    </w:p>
    <w:p w14:paraId="52427665">
      <w:pPr>
        <w:ind w:firstLine="640"/>
        <w:rPr>
          <w:rFonts w:ascii="黑体" w:hAnsi="黑体" w:eastAsia="黑体"/>
          <w:sz w:val="32"/>
          <w:szCs w:val="32"/>
        </w:rPr>
      </w:pPr>
      <w:r>
        <w:rPr>
          <w:rFonts w:hint="eastAsia" w:ascii="黑体" w:hAnsi="黑体" w:eastAsia="黑体"/>
          <w:sz w:val="32"/>
          <w:szCs w:val="32"/>
        </w:rPr>
        <w:t>三、关于三亚市农业机械化管理局单位</w:t>
      </w:r>
      <w:r>
        <w:rPr>
          <w:rFonts w:hint="eastAsia" w:ascii="仿宋_GB2312" w:hAnsi="黑体" w:eastAsia="仿宋_GB2312"/>
          <w:sz w:val="32"/>
          <w:szCs w:val="32"/>
        </w:rPr>
        <w:t>2023</w:t>
      </w:r>
      <w:r>
        <w:rPr>
          <w:rFonts w:hint="eastAsia" w:ascii="黑体" w:hAnsi="黑体" w:eastAsia="黑体"/>
          <w:sz w:val="32"/>
          <w:szCs w:val="32"/>
        </w:rPr>
        <w:t>年一般公共预算基本支出情况说明</w:t>
      </w:r>
    </w:p>
    <w:p w14:paraId="35DB59D8">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三亚市农业机械化管理局单位2023年一般公共预算基本支出为94.09万元，其中：</w:t>
      </w:r>
    </w:p>
    <w:p w14:paraId="3AEFCA0B">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81.48</w:t>
      </w:r>
      <w:r>
        <w:rPr>
          <w:rFonts w:hint="eastAsia" w:ascii="仿宋_GB2312" w:hAnsi="黑体" w:eastAsia="仿宋_GB2312"/>
          <w:sz w:val="32"/>
          <w:szCs w:val="32"/>
        </w:rPr>
        <w:t>万元，主要包括：基本工资10.05万元、津贴补贴15.43万元、奖金8.99万元、机关事业单位基本养老保险缴费4.83万元、职业年金缴费10.41、城镇职工基本医疗保险缴费2.05万元、公务员医疗补助缴费10.99万元、其他社会保障缴费0.17万元、住房公积金4.83万元、医疗费1.66万元、其他工资和福利支出5万元、商品和服务支出2.63万元、邮电费0.29万元、其他交通费用2.34万元、对个人和家庭离的补助4.44万元。</w:t>
      </w:r>
    </w:p>
    <w:p w14:paraId="055B2C21">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12.61</w:t>
      </w:r>
      <w:r>
        <w:rPr>
          <w:rFonts w:hint="eastAsia" w:ascii="仿宋_GB2312" w:hAnsi="黑体" w:eastAsia="仿宋_GB2312"/>
          <w:sz w:val="32"/>
          <w:szCs w:val="32"/>
        </w:rPr>
        <w:t>万元，主要包括：其他社会保障缴费8万元、商品和服务支出4.61万元、办公费0.69万元、培训费0.09万元、工会经费0.65万元、福利费0.03万元、公务用车运行维护费1.65万元、其他商品和服务支出1.5万元。</w:t>
      </w:r>
    </w:p>
    <w:p w14:paraId="69D50F53">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三亚市农业机械化管理局</w:t>
      </w:r>
      <w:r>
        <w:rPr>
          <w:rFonts w:hint="eastAsia" w:ascii="黑体" w:hAnsi="黑体" w:eastAsia="黑体" w:cs="Times New Roman"/>
          <w:sz w:val="32"/>
          <w:shd w:val="clear" w:color="auto" w:fill="FFFFFF"/>
        </w:rPr>
        <w:t>单位2023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14:paraId="58EADF6F">
      <w:pPr>
        <w:ind w:firstLine="640" w:firstLineChars="200"/>
        <w:rPr>
          <w:rFonts w:ascii="仿宋_GB2312" w:hAnsi="黑体" w:eastAsia="仿宋_GB2312" w:cs="Times New Roman"/>
          <w:sz w:val="32"/>
          <w:szCs w:val="32"/>
        </w:rPr>
      </w:pPr>
      <w:r>
        <w:rPr>
          <w:rFonts w:hint="eastAsia" w:ascii="仿宋_GB2312" w:hAnsi="仿宋_GB2312" w:eastAsia="仿宋_GB2312" w:cs="仿宋_GB2312"/>
          <w:sz w:val="32"/>
          <w:szCs w:val="32"/>
        </w:rPr>
        <w:t>（一）三亚市农业机械化管理局单位2022年一般公共预算“三公”经费预算数为1.65万元，</w:t>
      </w:r>
      <w:r>
        <w:rPr>
          <w:rFonts w:hint="eastAsia" w:ascii="仿宋_GB2312" w:hAnsi="黑体" w:eastAsia="仿宋_GB2312"/>
          <w:sz w:val="32"/>
          <w:szCs w:val="32"/>
        </w:rPr>
        <w:t>其中：</w:t>
      </w:r>
    </w:p>
    <w:p w14:paraId="60DCA2A6">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14:paraId="401A07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（二）三亚市农业机械化管理局单位2023年政府性基金预算“三公”经费预算数为0万元，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仿宋_GB2312" w:hAnsi="仿宋_GB2312" w:eastAsia="仿宋_GB2312" w:cs="仿宋_GB2312"/>
          <w:sz w:val="32"/>
          <w:szCs w:val="32"/>
        </w:rPr>
        <w:t>其中：</w:t>
      </w:r>
    </w:p>
    <w:p w14:paraId="4BB5BA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i w:val="0"/>
          <w:caps w:val="0"/>
          <w:color w:val="222222"/>
          <w:spacing w:val="0"/>
          <w:sz w:val="24"/>
          <w:szCs w:val="24"/>
        </w:rPr>
      </w:pPr>
      <w:r>
        <w:rPr>
          <w:rFonts w:hint="eastAsia" w:ascii="仿宋_GB2312" w:hAnsi="仿宋_GB2312" w:eastAsia="仿宋_GB2312" w:cs="仿宋_GB2312"/>
          <w:sz w:val="32"/>
          <w:szCs w:val="32"/>
        </w:rPr>
        <w:t>因公出国（境）经费0万元，与上年预算持平。根据安排的2023年出国计划，拟安排出国（境）组0次，出国（境）0人。公务用车购置及运行费0万元（其中，公务用车购置费0万元，公务用车运行维护费0万元），与上年预算持平。公务车保有量0辆，计划购置0辆。公务接待费0万元，与上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仿宋_GB2312" w:hAnsi="仿宋_GB2312" w:eastAsia="仿宋_GB2312" w:cs="仿宋_GB2312"/>
          <w:sz w:val="32"/>
          <w:szCs w:val="32"/>
          <w:lang w:eastAsia="zh-CN"/>
        </w:rPr>
        <w:t>。</w:t>
      </w:r>
    </w:p>
    <w:p w14:paraId="464AA507">
      <w:pPr>
        <w:rPr>
          <w:rFonts w:ascii="Times New Roman" w:hAnsi="Times New Roman" w:eastAsia="仿宋_GB2312" w:cs="Times New Roman"/>
          <w:sz w:val="32"/>
          <w:shd w:val="clear" w:color="auto" w:fill="FFFFFF"/>
        </w:rPr>
      </w:pPr>
    </w:p>
    <w:p w14:paraId="33D00BE7">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三亚市农业机械化管理局</w:t>
      </w:r>
      <w:r>
        <w:rPr>
          <w:rFonts w:hint="eastAsia" w:ascii="黑体" w:hAnsi="黑体" w:eastAsia="黑体" w:cs="Times New Roman"/>
          <w:sz w:val="32"/>
          <w:shd w:val="clear" w:color="auto" w:fill="FFFFFF"/>
        </w:rPr>
        <w:t>单位2023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14:paraId="672CFEE2">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14:paraId="5723DF9F">
      <w:pPr>
        <w:ind w:firstLine="800" w:firstLineChars="250"/>
        <w:rPr>
          <w:rFonts w:ascii="仿宋_GB2312" w:hAnsi="黑体" w:eastAsia="仿宋_GB2312"/>
          <w:sz w:val="32"/>
          <w:szCs w:val="32"/>
        </w:rPr>
      </w:pPr>
      <w:r>
        <w:rPr>
          <w:rFonts w:hint="eastAsia" w:ascii="仿宋_GB2312" w:hAnsi="仿宋_GB2312" w:eastAsia="仿宋_GB2312" w:cs="仿宋_GB2312"/>
          <w:sz w:val="32"/>
          <w:szCs w:val="32"/>
        </w:rPr>
        <w:t>三亚市农业机械化管理局单位2023年政府性基金预算当年拨款0万元，与上年预算数</w:t>
      </w:r>
      <w:r>
        <w:rPr>
          <w:rFonts w:hint="eastAsia" w:ascii="仿宋_GB2312" w:hAnsi="黑体" w:eastAsia="仿宋_GB2312" w:cs="仿宋_GB2312"/>
          <w:sz w:val="32"/>
          <w:szCs w:val="32"/>
        </w:rPr>
        <w:t>持平。</w:t>
      </w:r>
    </w:p>
    <w:p w14:paraId="292ADA5E">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14:paraId="29EB9132">
      <w:p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p>
    <w:p w14:paraId="383575D8">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14:paraId="2137939A">
      <w:p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p>
    <w:p w14:paraId="07408141">
      <w:pPr>
        <w:rPr>
          <w:rFonts w:ascii="仿宋_GB2312" w:hAnsi="黑体" w:eastAsia="仿宋_GB2312"/>
          <w:sz w:val="32"/>
          <w:szCs w:val="32"/>
        </w:rPr>
      </w:pPr>
    </w:p>
    <w:p w14:paraId="6E5372AE">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三亚市农业机械化管理局</w:t>
      </w:r>
      <w:r>
        <w:rPr>
          <w:rFonts w:hint="eastAsia" w:ascii="黑体" w:hAnsi="黑体" w:eastAsia="黑体" w:cs="Times New Roman"/>
          <w:sz w:val="32"/>
          <w:shd w:val="clear" w:color="auto" w:fill="FFFFFF"/>
        </w:rPr>
        <w:t>单位2023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14:paraId="27D2370B">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按照综合预算原则，三亚市农业机械化管理局单位所有</w:t>
      </w:r>
      <w:r>
        <w:rPr>
          <w:rFonts w:hint="eastAsia" w:ascii="仿宋_GB2312" w:hAnsi="黑体" w:eastAsia="仿宋_GB2312" w:cs="仿宋_GB2312"/>
          <w:sz w:val="32"/>
          <w:szCs w:val="32"/>
        </w:rPr>
        <w:t>收入和支出均纳入部门预算管理。收入包括：一般公共预算收入、政府性基金收入、其他财政资金收入、事业收入等</w:t>
      </w:r>
      <w:r>
        <w:rPr>
          <w:rFonts w:hint="eastAsia" w:ascii="仿宋_GB2312" w:hAnsi="黑体" w:eastAsia="仿宋_GB2312"/>
          <w:sz w:val="32"/>
          <w:szCs w:val="32"/>
        </w:rPr>
        <w:t>；支出包括：社会保障和就业支出</w:t>
      </w:r>
      <w:r>
        <w:rPr>
          <w:rFonts w:hint="eastAsia" w:ascii="仿宋_GB2312" w:hAnsi="仿宋_GB2312" w:eastAsia="仿宋_GB2312" w:cs="仿宋_GB2312"/>
          <w:sz w:val="32"/>
          <w:szCs w:val="32"/>
        </w:rPr>
        <w:t>、卫生健康支出、农林水支出、住房保障支出。三亚市农业机械化管理局单位2023收支总预算347.16万元。</w:t>
      </w:r>
    </w:p>
    <w:p w14:paraId="45112EB2">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三亚市农业机械化管理局</w:t>
      </w:r>
      <w:r>
        <w:rPr>
          <w:rFonts w:hint="eastAsia" w:ascii="黑体" w:hAnsi="黑体" w:eastAsia="黑体" w:cs="Times New Roman"/>
          <w:sz w:val="32"/>
          <w:shd w:val="clear" w:color="auto" w:fill="FFFFFF"/>
        </w:rPr>
        <w:t>单位2023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14:paraId="1A5665FD">
      <w:pPr>
        <w:ind w:firstLine="640" w:firstLineChars="200"/>
        <w:rPr>
          <w:rFonts w:ascii="仿宋_GB2312" w:hAnsi="黑体" w:eastAsia="仿宋_GB2312" w:cs="仿宋_GB2312"/>
          <w:sz w:val="32"/>
          <w:szCs w:val="32"/>
        </w:rPr>
      </w:pPr>
      <w:r>
        <w:rPr>
          <w:rFonts w:hint="eastAsia" w:ascii="仿宋_GB2312" w:hAnsi="仿宋_GB2312" w:eastAsia="仿宋_GB2312" w:cs="仿宋_GB2312"/>
          <w:sz w:val="32"/>
          <w:szCs w:val="32"/>
        </w:rPr>
        <w:t>三亚市农业机械化管理局</w:t>
      </w:r>
      <w:r>
        <w:rPr>
          <w:rFonts w:hint="eastAsia" w:ascii="仿宋_GB2312" w:hAnsi="黑体" w:eastAsia="仿宋_GB2312" w:cs="仿宋_GB2312"/>
          <w:sz w:val="32"/>
          <w:szCs w:val="32"/>
        </w:rPr>
        <w:t>单位2023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347.16</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28.33</w:t>
      </w:r>
      <w:r>
        <w:rPr>
          <w:rFonts w:hint="eastAsia" w:ascii="仿宋_GB2312" w:hAnsi="黑体" w:eastAsia="仿宋_GB2312"/>
          <w:sz w:val="32"/>
          <w:szCs w:val="32"/>
        </w:rPr>
        <w:t>万元，占</w:t>
      </w:r>
      <w:r>
        <w:rPr>
          <w:rFonts w:hint="eastAsia" w:ascii="仿宋_GB2312" w:hAnsi="黑体" w:eastAsia="仿宋_GB2312" w:cs="仿宋_GB2312"/>
          <w:sz w:val="32"/>
          <w:szCs w:val="32"/>
        </w:rPr>
        <w:t>8.16</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318.84</w:t>
      </w:r>
      <w:r>
        <w:rPr>
          <w:rFonts w:hint="eastAsia" w:ascii="仿宋_GB2312" w:hAnsi="黑体" w:eastAsia="仿宋_GB2312"/>
          <w:sz w:val="32"/>
          <w:szCs w:val="32"/>
        </w:rPr>
        <w:t>万元，占</w:t>
      </w:r>
      <w:r>
        <w:rPr>
          <w:rFonts w:hint="eastAsia" w:ascii="仿宋_GB2312" w:hAnsi="黑体" w:eastAsia="仿宋_GB2312" w:cs="仿宋_GB2312"/>
          <w:sz w:val="32"/>
          <w:szCs w:val="32"/>
        </w:rPr>
        <w:t>91.84</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减少200.1万元，主要是项目经费减少及上年项目结转。</w:t>
      </w:r>
    </w:p>
    <w:p w14:paraId="739072BC">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三亚市农业机械化管理局</w:t>
      </w:r>
      <w:r>
        <w:rPr>
          <w:rFonts w:hint="eastAsia" w:ascii="黑体" w:hAnsi="黑体" w:eastAsia="黑体" w:cs="Times New Roman"/>
          <w:sz w:val="32"/>
          <w:shd w:val="clear" w:color="auto" w:fill="FFFFFF"/>
        </w:rPr>
        <w:t>单位2023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14:paraId="284A06F9">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三亚市农业机械化管理局单位2</w:t>
      </w:r>
      <w:r>
        <w:rPr>
          <w:rFonts w:hint="eastAsia" w:ascii="仿宋_GB2312" w:hAnsi="黑体" w:eastAsia="仿宋_GB2312" w:cs="仿宋_GB2312"/>
          <w:sz w:val="32"/>
          <w:szCs w:val="32"/>
        </w:rPr>
        <w:t>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347.16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94.09</w:t>
      </w:r>
      <w:r>
        <w:rPr>
          <w:rFonts w:hint="eastAsia" w:ascii="仿宋_GB2312" w:hAnsi="黑体" w:eastAsia="仿宋_GB2312"/>
          <w:sz w:val="32"/>
          <w:szCs w:val="32"/>
        </w:rPr>
        <w:t>万元，占</w:t>
      </w:r>
      <w:r>
        <w:rPr>
          <w:rFonts w:hint="eastAsia" w:ascii="仿宋_GB2312" w:hAnsi="黑体" w:eastAsia="仿宋_GB2312" w:cs="仿宋_GB2312"/>
          <w:sz w:val="32"/>
          <w:szCs w:val="32"/>
        </w:rPr>
        <w:t>27.13</w:t>
      </w:r>
      <w:r>
        <w:rPr>
          <w:rFonts w:hint="eastAsia" w:ascii="仿宋_GB2312" w:hAnsi="黑体" w:eastAsia="仿宋_GB2312"/>
          <w:sz w:val="32"/>
          <w:szCs w:val="32"/>
        </w:rPr>
        <w:t>%；项目支出</w:t>
      </w:r>
      <w:r>
        <w:rPr>
          <w:rFonts w:hint="eastAsia" w:ascii="仿宋_GB2312" w:hAnsi="黑体" w:eastAsia="仿宋_GB2312" w:cs="仿宋_GB2312"/>
          <w:sz w:val="32"/>
          <w:szCs w:val="32"/>
        </w:rPr>
        <w:t>253.08</w:t>
      </w:r>
      <w:r>
        <w:rPr>
          <w:rFonts w:hint="eastAsia" w:ascii="仿宋_GB2312" w:hAnsi="黑体" w:eastAsia="仿宋_GB2312"/>
          <w:sz w:val="32"/>
          <w:szCs w:val="32"/>
        </w:rPr>
        <w:t>万元，占</w:t>
      </w:r>
      <w:r>
        <w:rPr>
          <w:rFonts w:hint="eastAsia" w:ascii="仿宋_GB2312" w:hAnsi="黑体" w:eastAsia="仿宋_GB2312" w:cs="仿宋_GB2312"/>
          <w:sz w:val="32"/>
          <w:szCs w:val="32"/>
        </w:rPr>
        <w:t>72.9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减少200.1</w:t>
      </w:r>
      <w:r>
        <w:rPr>
          <w:rFonts w:hint="eastAsia" w:ascii="仿宋_GB2312" w:hAnsi="黑体" w:eastAsia="仿宋_GB2312"/>
          <w:sz w:val="32"/>
          <w:szCs w:val="32"/>
        </w:rPr>
        <w:t>万元，</w:t>
      </w:r>
      <w:r>
        <w:rPr>
          <w:rFonts w:hint="eastAsia" w:ascii="仿宋_GB2312" w:hAnsi="黑体" w:eastAsia="仿宋_GB2312" w:cs="仿宋_GB2312"/>
          <w:sz w:val="32"/>
          <w:szCs w:val="32"/>
        </w:rPr>
        <w:t>主要是项目经费减少及上年项目结转</w:t>
      </w:r>
      <w:r>
        <w:rPr>
          <w:rFonts w:hint="eastAsia" w:ascii="仿宋_GB2312" w:hAnsi="黑体" w:eastAsia="仿宋_GB2312"/>
          <w:sz w:val="32"/>
          <w:szCs w:val="32"/>
        </w:rPr>
        <w:t>。</w:t>
      </w:r>
    </w:p>
    <w:p w14:paraId="47CC6311">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14:paraId="707F0770">
      <w:pPr>
        <w:ind w:firstLine="640" w:firstLineChars="200"/>
        <w:rPr>
          <w:rFonts w:ascii="楷体" w:hAnsi="楷体" w:eastAsia="楷体"/>
          <w:sz w:val="32"/>
          <w:szCs w:val="32"/>
        </w:rPr>
      </w:pPr>
      <w:r>
        <w:rPr>
          <w:rFonts w:hint="eastAsia" w:ascii="楷体" w:hAnsi="楷体" w:eastAsia="楷体"/>
          <w:sz w:val="32"/>
          <w:szCs w:val="32"/>
        </w:rPr>
        <w:t>（一）机关运行经费</w:t>
      </w:r>
    </w:p>
    <w:p w14:paraId="3CCC609B">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w:t>
      </w:r>
      <w:r>
        <w:rPr>
          <w:rFonts w:hint="eastAsia" w:ascii="仿宋_GB2312" w:hAnsi="仿宋_GB2312" w:eastAsia="仿宋_GB2312" w:cs="仿宋_GB2312"/>
          <w:sz w:val="32"/>
          <w:szCs w:val="32"/>
        </w:rPr>
        <w:t>023年三亚市农业机械化管理局单位（公</w:t>
      </w:r>
      <w:r>
        <w:rPr>
          <w:rFonts w:hint="eastAsia" w:ascii="仿宋_GB2312" w:hAnsi="黑体" w:eastAsia="仿宋_GB2312" w:cs="仿宋_GB2312"/>
          <w:sz w:val="32"/>
          <w:szCs w:val="32"/>
        </w:rPr>
        <w:t>开部门预算时罗列下属参照公务员法管理的事业单位）等的机关运行经费预算12</w:t>
      </w:r>
      <w:r>
        <w:rPr>
          <w:rFonts w:hint="eastAsia" w:ascii="仿宋_GB2312" w:hAnsi="黑体" w:eastAsia="仿宋_GB2312"/>
          <w:sz w:val="32"/>
          <w:szCs w:val="32"/>
        </w:rPr>
        <w:t>万元。</w:t>
      </w:r>
    </w:p>
    <w:p w14:paraId="4DBCA697">
      <w:pPr>
        <w:ind w:firstLine="640" w:firstLineChars="200"/>
        <w:rPr>
          <w:rFonts w:ascii="楷体" w:hAnsi="楷体" w:eastAsia="楷体"/>
          <w:sz w:val="32"/>
          <w:szCs w:val="32"/>
        </w:rPr>
      </w:pPr>
      <w:r>
        <w:rPr>
          <w:rFonts w:hint="eastAsia" w:ascii="楷体" w:hAnsi="楷体" w:eastAsia="楷体"/>
          <w:sz w:val="32"/>
          <w:szCs w:val="32"/>
        </w:rPr>
        <w:t>（二）政府采购情况</w:t>
      </w:r>
    </w:p>
    <w:p w14:paraId="4DD3693F">
      <w:pPr>
        <w:ind w:firstLine="640"/>
        <w:rPr>
          <w:rFonts w:ascii="仿宋_GB2312" w:hAnsi="黑体" w:eastAsia="仿宋_GB2312"/>
          <w:sz w:val="32"/>
          <w:szCs w:val="32"/>
        </w:rPr>
      </w:pPr>
      <w:r>
        <w:rPr>
          <w:rFonts w:hint="eastAsia" w:ascii="仿宋_GB2312" w:hAnsi="仿宋_GB2312" w:eastAsia="仿宋_GB2312" w:cs="仿宋_GB2312"/>
          <w:sz w:val="32"/>
          <w:szCs w:val="32"/>
        </w:rPr>
        <w:t>2023年三亚市农业机械化管理局单位</w:t>
      </w:r>
      <w:r>
        <w:rPr>
          <w:rFonts w:hint="eastAsia" w:ascii="仿宋_GB2312" w:hAnsi="黑体" w:eastAsia="仿宋_GB2312" w:cs="仿宋_GB2312"/>
          <w:sz w:val="32"/>
          <w:szCs w:val="32"/>
        </w:rPr>
        <w:t>政府采购预算总额1.3</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1.3</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14:paraId="7A696A96">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14:paraId="7F36E5D5">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w:t>
      </w:r>
      <w:r>
        <w:rPr>
          <w:rFonts w:hint="eastAsia" w:ascii="仿宋_GB2312" w:hAnsi="仿宋_GB2312" w:eastAsia="仿宋_GB2312" w:cs="仿宋_GB2312"/>
          <w:sz w:val="32"/>
          <w:szCs w:val="32"/>
        </w:rPr>
        <w:t>1日，三亚市农业机械化管理局单位本级及下属各预算单位共有车辆1辆，其中，</w:t>
      </w:r>
      <w:r>
        <w:rPr>
          <w:rFonts w:hint="eastAsia" w:ascii="仿宋_GB2312" w:hAnsi="黑体" w:eastAsia="仿宋_GB2312" w:cs="仿宋_GB2312"/>
          <w:sz w:val="32"/>
          <w:szCs w:val="32"/>
        </w:rPr>
        <w:t>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辆、其他用车1辆。单位价值100万元以上设备0台（套）。</w:t>
      </w:r>
    </w:p>
    <w:p w14:paraId="2D9B477C">
      <w:pPr>
        <w:ind w:firstLine="640" w:firstLineChars="200"/>
        <w:rPr>
          <w:rFonts w:ascii="楷体" w:hAnsi="楷体" w:eastAsia="楷体"/>
          <w:sz w:val="32"/>
          <w:szCs w:val="32"/>
        </w:rPr>
      </w:pPr>
      <w:r>
        <w:rPr>
          <w:rFonts w:hint="eastAsia" w:ascii="楷体" w:hAnsi="楷体" w:eastAsia="楷体"/>
          <w:sz w:val="32"/>
          <w:szCs w:val="32"/>
        </w:rPr>
        <w:t>（四）绩效目标设置情况</w:t>
      </w:r>
    </w:p>
    <w:p w14:paraId="76CE6B6E">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仿宋_GB2312" w:eastAsia="仿宋_GB2312" w:cs="仿宋_GB2312"/>
          <w:sz w:val="32"/>
          <w:szCs w:val="32"/>
        </w:rPr>
        <w:t>年三亚市农业机械化管理局单位16个项目实行绩效目标管理，涉及一般公共预算318.84万元</w:t>
      </w:r>
      <w:r>
        <w:rPr>
          <w:rFonts w:hint="eastAsia" w:ascii="仿宋_GB2312" w:hAnsi="仿宋_GB2312" w:eastAsia="仿宋_GB2312" w:cs="仿宋_GB2312"/>
          <w:sz w:val="32"/>
          <w:szCs w:val="32"/>
          <w:lang w:eastAsia="zh-CN"/>
        </w:rPr>
        <w:t>、</w:t>
      </w:r>
      <w:r>
        <w:rPr>
          <w:rFonts w:hint="eastAsia" w:ascii="仿宋_GB2312" w:hAnsi="黑体" w:eastAsia="仿宋_GB2312"/>
          <w:sz w:val="32"/>
          <w:szCs w:val="32"/>
        </w:rPr>
        <w:t>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38D885AE">
      <w:pPr>
        <w:jc w:val="center"/>
        <w:rPr>
          <w:rFonts w:ascii="黑体" w:hAnsi="黑体" w:eastAsia="黑体"/>
          <w:sz w:val="32"/>
          <w:szCs w:val="32"/>
        </w:rPr>
      </w:pPr>
    </w:p>
    <w:p w14:paraId="080A3033">
      <w:pPr>
        <w:jc w:val="center"/>
        <w:rPr>
          <w:rFonts w:ascii="黑体" w:hAnsi="黑体" w:eastAsia="黑体"/>
          <w:sz w:val="32"/>
          <w:szCs w:val="32"/>
        </w:rPr>
      </w:pPr>
    </w:p>
    <w:p w14:paraId="36157EA0">
      <w:pPr>
        <w:jc w:val="center"/>
        <w:rPr>
          <w:rFonts w:ascii="黑体" w:hAnsi="黑体" w:eastAsia="黑体"/>
          <w:sz w:val="32"/>
          <w:szCs w:val="32"/>
        </w:rPr>
      </w:pPr>
    </w:p>
    <w:p w14:paraId="69C18803">
      <w:pPr>
        <w:jc w:val="center"/>
        <w:rPr>
          <w:rFonts w:ascii="黑体" w:hAnsi="黑体" w:eastAsia="黑体"/>
          <w:sz w:val="32"/>
          <w:szCs w:val="32"/>
        </w:rPr>
      </w:pPr>
    </w:p>
    <w:p w14:paraId="3C625647">
      <w:pPr>
        <w:jc w:val="center"/>
        <w:rPr>
          <w:rFonts w:ascii="黑体" w:hAnsi="黑体" w:eastAsia="黑体"/>
          <w:sz w:val="32"/>
          <w:szCs w:val="32"/>
        </w:rPr>
      </w:pPr>
    </w:p>
    <w:p w14:paraId="211DFD1E">
      <w:pPr>
        <w:jc w:val="left"/>
        <w:rPr>
          <w:rFonts w:ascii="仿宋_GB2312" w:hAnsi="宋体" w:eastAsia="仿宋_GB2312" w:cs="宋体"/>
          <w:color w:val="000000"/>
          <w:kern w:val="0"/>
          <w:sz w:val="32"/>
          <w:szCs w:val="30"/>
        </w:rPr>
      </w:pPr>
    </w:p>
    <w:p w14:paraId="6C87692B">
      <w:pPr>
        <w:jc w:val="center"/>
        <w:rPr>
          <w:rFonts w:ascii="黑体" w:hAnsi="黑体" w:eastAsia="黑体"/>
          <w:b/>
          <w:sz w:val="32"/>
          <w:szCs w:val="32"/>
        </w:rPr>
      </w:pPr>
      <w:r>
        <w:rPr>
          <w:rFonts w:hint="eastAsia" w:ascii="黑体" w:hAnsi="黑体" w:eastAsia="黑体"/>
          <w:b/>
          <w:sz w:val="32"/>
          <w:szCs w:val="32"/>
        </w:rPr>
        <w:t>第四部分  名词解释</w:t>
      </w:r>
    </w:p>
    <w:p w14:paraId="09E22A6E">
      <w:pPr>
        <w:ind w:firstLine="640" w:firstLineChars="200"/>
        <w:jc w:val="left"/>
        <w:rPr>
          <w:rFonts w:ascii="仿宋_GB2312" w:eastAsia="仿宋_GB2312" w:cs="宋体"/>
          <w:bCs/>
          <w:color w:val="000000"/>
          <w:kern w:val="0"/>
          <w:sz w:val="32"/>
          <w:szCs w:val="32"/>
          <w:lang w:val="zh-CN"/>
        </w:rPr>
      </w:pPr>
    </w:p>
    <w:p w14:paraId="50004B3F">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14:paraId="159712FA">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14:paraId="744E3A07">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14:paraId="516272B3">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14:paraId="5B9814AF">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14:paraId="2A0BE0B9">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14:paraId="01B3AD6A">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14:paraId="039D3F8D">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14:paraId="25C0714B">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14:paraId="61678611">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14:paraId="42E079DB">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14:paraId="0A9B9198">
      <w:pPr>
        <w:ind w:firstLine="640" w:firstLineChars="200"/>
        <w:jc w:val="left"/>
        <w:rPr>
          <w:rFonts w:ascii="仿宋_GB2312" w:hAnsi="宋体" w:eastAsia="仿宋_GB2312" w:cs="宋体"/>
          <w:color w:val="000000"/>
          <w:kern w:val="0"/>
          <w:sz w:val="32"/>
          <w:szCs w:val="30"/>
        </w:rPr>
        <w:sectPr>
          <w:footerReference r:id="rId3" w:type="default"/>
          <w:pgSz w:w="11906" w:h="16838"/>
          <w:pgMar w:top="382" w:right="1800" w:bottom="1440" w:left="1800" w:header="431" w:footer="992" w:gutter="0"/>
          <w:cols w:space="720" w:num="1"/>
          <w:docGrid w:type="lines" w:linePitch="312" w:charSpace="0"/>
        </w:sect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716A0DE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A02BE">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DA5DC6F">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w:t>
                          </w:r>
                          <w:r>
                            <w:rPr>
                              <w:rFonts w:hint="eastAsia"/>
                              <w:sz w:val="18"/>
                            </w:rPr>
                            <w:fldChar w:fldCharType="end"/>
                          </w:r>
                          <w:r>
                            <w:rPr>
                              <w:rFonts w:hint="eastAsia"/>
                              <w:sz w:val="18"/>
                            </w:rPr>
                            <w:t xml:space="preserve"> 页 共 </w:t>
                          </w:r>
                          <w:r>
                            <w:fldChar w:fldCharType="begin"/>
                          </w:r>
                          <w:r>
                            <w:instrText xml:space="preserve"> NUMPAGES  \* MERGEFORMAT </w:instrText>
                          </w:r>
                          <w:r>
                            <w:fldChar w:fldCharType="separate"/>
                          </w:r>
                          <w:r>
                            <w:rPr>
                              <w:sz w:val="18"/>
                            </w:rPr>
                            <w:t>11</w:t>
                          </w:r>
                          <w:r>
                            <w:rPr>
                              <w:sz w:val="18"/>
                            </w:rPr>
                            <w:fldChar w:fldCharType="end"/>
                          </w:r>
                          <w:r>
                            <w:rPr>
                              <w:rFonts w:hint="eastAsia"/>
                              <w:sz w:val="1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DA5DC6F">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w:t>
                    </w:r>
                    <w:r>
                      <w:rPr>
                        <w:rFonts w:hint="eastAsia"/>
                        <w:sz w:val="18"/>
                      </w:rPr>
                      <w:fldChar w:fldCharType="end"/>
                    </w:r>
                    <w:r>
                      <w:rPr>
                        <w:rFonts w:hint="eastAsia"/>
                        <w:sz w:val="18"/>
                      </w:rPr>
                      <w:t xml:space="preserve"> 页 共 </w:t>
                    </w:r>
                    <w:r>
                      <w:fldChar w:fldCharType="begin"/>
                    </w:r>
                    <w:r>
                      <w:instrText xml:space="preserve"> NUMPAGES  \* MERGEFORMAT </w:instrText>
                    </w:r>
                    <w:r>
                      <w:fldChar w:fldCharType="separate"/>
                    </w:r>
                    <w:r>
                      <w:rPr>
                        <w:sz w:val="18"/>
                      </w:rPr>
                      <w:t>11</w:t>
                    </w:r>
                    <w:r>
                      <w:rPr>
                        <w:sz w:val="18"/>
                      </w:rPr>
                      <w:fldChar w:fldCharType="end"/>
                    </w:r>
                    <w:r>
                      <w:rPr>
                        <w:rFonts w:hint="eastAsia"/>
                        <w:sz w:val="1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xNTc0NWNlNDAwNjhkODY0ODdhNzcwYmM3Y2VjMjgifQ=="/>
  </w:docVars>
  <w:rsids>
    <w:rsidRoot w:val="007B076F"/>
    <w:rsid w:val="00043670"/>
    <w:rsid w:val="00121BC7"/>
    <w:rsid w:val="001F1279"/>
    <w:rsid w:val="005017BF"/>
    <w:rsid w:val="005160B2"/>
    <w:rsid w:val="00681466"/>
    <w:rsid w:val="00765877"/>
    <w:rsid w:val="007B076F"/>
    <w:rsid w:val="00817D94"/>
    <w:rsid w:val="00955994"/>
    <w:rsid w:val="009C462C"/>
    <w:rsid w:val="00E60DA5"/>
    <w:rsid w:val="0157367C"/>
    <w:rsid w:val="035A3448"/>
    <w:rsid w:val="04100D42"/>
    <w:rsid w:val="19CC4A1C"/>
    <w:rsid w:val="1E106856"/>
    <w:rsid w:val="2A81541B"/>
    <w:rsid w:val="3C593C30"/>
    <w:rsid w:val="70F268BC"/>
    <w:rsid w:val="7B6E61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spacing w:before="0" w:beforeAutospacing="1" w:after="0" w:afterAutospacing="1"/>
      <w:ind w:left="0" w:right="0"/>
      <w:jc w:val="left"/>
    </w:pPr>
    <w:rPr>
      <w:kern w:val="0"/>
      <w:sz w:val="24"/>
      <w:lang w:val="en-US" w:eastAsia="zh-CN" w:bidi="ar"/>
    </w:rPr>
  </w:style>
  <w:style w:type="character" w:customStyle="1" w:styleId="7">
    <w:name w:val="页脚 Char"/>
    <w:basedOn w:val="6"/>
    <w:link w:val="2"/>
    <w:qFormat/>
    <w:uiPriority w:val="0"/>
    <w:rPr>
      <w:rFonts w:ascii="Calibri" w:hAnsi="Calibri" w:eastAsia="宋体" w:cs="黑体"/>
      <w:sz w:val="18"/>
    </w:rPr>
  </w:style>
  <w:style w:type="paragraph" w:customStyle="1" w:styleId="8">
    <w:name w:val="列出段落1"/>
    <w:basedOn w:val="1"/>
    <w:qFormat/>
    <w:uiPriority w:val="34"/>
    <w:pPr>
      <w:ind w:firstLine="420" w:firstLineChars="200"/>
    </w:pPr>
  </w:style>
  <w:style w:type="character" w:customStyle="1" w:styleId="9">
    <w:name w:val="页眉 Char"/>
    <w:basedOn w:val="6"/>
    <w:link w:val="3"/>
    <w:semiHidden/>
    <w:qFormat/>
    <w:uiPriority w:val="99"/>
    <w:rPr>
      <w:rFonts w:ascii="Calibri" w:hAnsi="Calibri" w:eastAsia="宋体" w:cs="黑体"/>
      <w:kern w:val="2"/>
      <w:sz w:val="18"/>
      <w:szCs w:val="18"/>
    </w:r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3928</Words>
  <Characters>4367</Characters>
  <Lines>30</Lines>
  <Paragraphs>8</Paragraphs>
  <TotalTime>1</TotalTime>
  <ScaleCrop>false</ScaleCrop>
  <LinksUpToDate>false</LinksUpToDate>
  <CharactersWithSpaces>4386</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2023-02-13T02:07:00Z</dcterms:created>
  <dc:creator>Administrator</dc:creator>
  <cp:lastModifiedBy>零始紀辰</cp:lastModifiedBy>
  <dcterms:modified xsi:type="dcterms:W3CDTF">2024-07-19T10:16:26Z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43AB363CFCEB46039ED07D7AED46F47A_12</vt:lpwstr>
  </property>
</Properties>
</file>